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5144D" w14:textId="5366524F" w:rsidR="004F2AC2" w:rsidRPr="00490C53" w:rsidRDefault="00AD7032" w:rsidP="00F2246F">
      <w:pPr>
        <w:tabs>
          <w:tab w:val="left" w:pos="9923"/>
        </w:tabs>
        <w:jc w:val="right"/>
        <w:sectPr w:rsidR="004F2AC2" w:rsidRPr="00490C53" w:rsidSect="00B85EE0">
          <w:headerReference w:type="default" r:id="rId12"/>
          <w:footerReference w:type="default" r:id="rId13"/>
          <w:headerReference w:type="first" r:id="rId14"/>
          <w:type w:val="continuous"/>
          <w:pgSz w:w="11906" w:h="16838" w:code="9"/>
          <w:pgMar w:top="675" w:right="680" w:bottom="680" w:left="907" w:header="567" w:footer="624" w:gutter="0"/>
          <w:cols w:space="708"/>
          <w:titlePg/>
          <w:docGrid w:linePitch="360"/>
        </w:sectPr>
      </w:pPr>
      <w:r w:rsidRPr="00846F78">
        <w:rPr>
          <w:noProof/>
        </w:rPr>
        <w:drawing>
          <wp:inline distT="0" distB="0" distL="0" distR="0" wp14:anchorId="57F3EF73" wp14:editId="221DC02A">
            <wp:extent cx="2124000" cy="792000"/>
            <wp:effectExtent l="0" t="0" r="0" b="8255"/>
            <wp:docPr id="1" name="Graphic 1" descr="British Business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ritish Business Bank logo"/>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124000" cy="792000"/>
                    </a:xfrm>
                    <a:prstGeom prst="rect">
                      <a:avLst/>
                    </a:prstGeom>
                  </pic:spPr>
                </pic:pic>
              </a:graphicData>
            </a:graphic>
          </wp:inline>
        </w:drawing>
      </w:r>
    </w:p>
    <w:p w14:paraId="28600D33" w14:textId="4A8D08F0" w:rsidR="0089668B" w:rsidRPr="00490C53" w:rsidRDefault="0089668B" w:rsidP="0089668B">
      <w:pPr>
        <w:jc w:val="right"/>
        <w:sectPr w:rsidR="0089668B" w:rsidRPr="00490C53" w:rsidSect="00B85EE0">
          <w:type w:val="continuous"/>
          <w:pgSz w:w="11906" w:h="16838" w:code="9"/>
          <w:pgMar w:top="675" w:right="680" w:bottom="680" w:left="907" w:header="567" w:footer="624" w:gutter="0"/>
          <w:cols w:space="708"/>
          <w:titlePg/>
          <w:docGrid w:linePitch="360"/>
        </w:sectPr>
      </w:pPr>
    </w:p>
    <w:p w14:paraId="1C6454DF" w14:textId="7384EAA4" w:rsidR="00F272F9" w:rsidRDefault="00F272F9" w:rsidP="004F2AC2">
      <w:pPr>
        <w:pStyle w:val="Title"/>
      </w:pPr>
      <w:r>
        <w:t xml:space="preserve">Year 2 </w:t>
      </w:r>
      <w:r w:rsidR="00BB5C8B" w:rsidRPr="00490C53">
        <w:t>Evaluation of the Bounce Back Loan Scheme, Coronavirus Business Interruption Loan Scheme, and Coronavirus Large Business Interruption Loan Scheme</w:t>
      </w:r>
      <w:r w:rsidR="00CB24DA">
        <w:t xml:space="preserve"> </w:t>
      </w:r>
    </w:p>
    <w:p w14:paraId="12F4997D" w14:textId="26E07C05" w:rsidR="004F2AC2" w:rsidRPr="00490C53" w:rsidRDefault="00090FB9" w:rsidP="00236B73">
      <w:pPr>
        <w:pStyle w:val="Title"/>
      </w:pPr>
      <w:r w:rsidRPr="00236B73">
        <w:rPr>
          <w:rFonts w:asciiTheme="minorHAnsi" w:hAnsiTheme="minorHAnsi" w:cstheme="minorHAnsi"/>
          <w:sz w:val="32"/>
          <w:szCs w:val="32"/>
        </w:rPr>
        <w:br/>
      </w:r>
      <w:r w:rsidR="00D20EF7" w:rsidRPr="00236B73">
        <w:rPr>
          <w:rFonts w:asciiTheme="minorHAnsi" w:hAnsiTheme="minorHAnsi" w:cstheme="minorHAnsi"/>
          <w:sz w:val="28"/>
          <w:szCs w:val="28"/>
        </w:rPr>
        <w:br/>
      </w:r>
      <w:r w:rsidRPr="00236B73">
        <w:rPr>
          <w:rFonts w:asciiTheme="minorHAnsi" w:hAnsiTheme="minorHAnsi" w:cstheme="minorHAnsi"/>
          <w:color w:val="auto"/>
          <w:sz w:val="28"/>
          <w:szCs w:val="28"/>
        </w:rPr>
        <w:t>November 2023</w:t>
      </w:r>
      <w:r w:rsidR="00D20EF7" w:rsidRPr="00236B73">
        <w:rPr>
          <w:rFonts w:asciiTheme="minorHAnsi" w:hAnsiTheme="minorHAnsi" w:cstheme="minorHAnsi"/>
          <w:sz w:val="28"/>
          <w:szCs w:val="28"/>
        </w:rPr>
        <w:br/>
      </w:r>
      <w:r w:rsidR="004F2AC2" w:rsidRPr="00490C53">
        <w:br w:type="column"/>
      </w:r>
    </w:p>
    <w:p w14:paraId="683B702A" w14:textId="0D0286F0" w:rsidR="00016B1D" w:rsidRPr="00236B73" w:rsidRDefault="00016B1D" w:rsidP="00BB5C8B">
      <w:pPr>
        <w:pStyle w:val="Date"/>
        <w:rPr>
          <w:sz w:val="32"/>
          <w:szCs w:val="32"/>
        </w:rPr>
        <w:sectPr w:rsidR="00016B1D" w:rsidRPr="00236B73" w:rsidSect="00B85EE0">
          <w:type w:val="continuous"/>
          <w:pgSz w:w="11906" w:h="16838" w:code="9"/>
          <w:pgMar w:top="675" w:right="680" w:bottom="680" w:left="907" w:header="567" w:footer="624" w:gutter="0"/>
          <w:cols w:num="2" w:space="284" w:equalWidth="0">
            <w:col w:w="6980" w:space="284"/>
            <w:col w:w="3055"/>
          </w:cols>
          <w:titlePg/>
          <w:docGrid w:linePitch="360"/>
        </w:sectPr>
      </w:pPr>
    </w:p>
    <w:p w14:paraId="6A462E56" w14:textId="6BCDE0DC" w:rsidR="00F56FD5" w:rsidRPr="00490C53" w:rsidRDefault="00F56FD5" w:rsidP="004F2AC2"/>
    <w:p w14:paraId="54384C49" w14:textId="66810D93" w:rsidR="00B85EE0" w:rsidRPr="00490C53" w:rsidRDefault="00B85EE0" w:rsidP="004F2AC2"/>
    <w:p w14:paraId="7FF2A181" w14:textId="2B03DD4E" w:rsidR="00BB5C8B" w:rsidRPr="00490C53" w:rsidRDefault="00BB5C8B" w:rsidP="004F2AC2"/>
    <w:p w14:paraId="089E01BD" w14:textId="2E80EB0C" w:rsidR="00F56FD5" w:rsidRPr="00490C53" w:rsidRDefault="006924B0" w:rsidP="00F56FD5">
      <w:pPr>
        <w:pStyle w:val="Closing"/>
      </w:pPr>
      <w:hyperlink r:id="rId17" w:history="1">
        <w:r w:rsidR="00F56FD5" w:rsidRPr="00490C53">
          <w:rPr>
            <w:rStyle w:val="Hyperlink"/>
          </w:rPr>
          <w:t>british-business-bank.co.uk</w:t>
        </w:r>
      </w:hyperlink>
    </w:p>
    <w:p w14:paraId="3BA83417" w14:textId="30B56DA1" w:rsidR="00F56FD5" w:rsidRPr="00490C53" w:rsidRDefault="00F56FD5" w:rsidP="00F56FD5">
      <w:pPr>
        <w:pStyle w:val="Closing"/>
      </w:pPr>
      <w:r w:rsidRPr="00490C53">
        <w:t>@britishbbank</w:t>
      </w:r>
    </w:p>
    <w:p w14:paraId="07C05D67" w14:textId="77777777" w:rsidR="004F2AC2" w:rsidRPr="00490C53" w:rsidRDefault="004F2AC2" w:rsidP="004F2AC2">
      <w:pPr>
        <w:sectPr w:rsidR="004F2AC2" w:rsidRPr="00490C53" w:rsidSect="00B85EE0">
          <w:type w:val="continuous"/>
          <w:pgSz w:w="11906" w:h="16838" w:code="9"/>
          <w:pgMar w:top="675" w:right="680" w:bottom="680" w:left="907" w:header="567" w:footer="624" w:gutter="0"/>
          <w:cols w:space="284"/>
          <w:titlePg/>
          <w:docGrid w:linePitch="360"/>
        </w:sectPr>
      </w:pPr>
    </w:p>
    <w:p w14:paraId="79F75912" w14:textId="7FA68271" w:rsidR="004F2AC2" w:rsidRPr="00490C53" w:rsidRDefault="00F731CB" w:rsidP="00C62D36">
      <w:pPr>
        <w:pStyle w:val="Contentsheading"/>
      </w:pPr>
      <w:r w:rsidRPr="00490C53">
        <w:lastRenderedPageBreak/>
        <w:t>Contents</w:t>
      </w:r>
    </w:p>
    <w:p w14:paraId="3D847384" w14:textId="2D6955D0" w:rsidR="00397D49" w:rsidRDefault="00C62D36" w:rsidP="00503351">
      <w:pPr>
        <w:pStyle w:val="TOC1"/>
        <w:rPr>
          <w:rFonts w:eastAsiaTheme="minorEastAsia"/>
          <w:noProof/>
          <w:color w:val="auto"/>
          <w:kern w:val="2"/>
          <w:sz w:val="22"/>
          <w:lang w:eastAsia="en-GB"/>
          <w14:ligatures w14:val="standardContextual"/>
        </w:rPr>
      </w:pPr>
      <w:r w:rsidRPr="00F2246F">
        <w:fldChar w:fldCharType="begin"/>
      </w:r>
      <w:r w:rsidRPr="00472935">
        <w:instrText xml:space="preserve"> TOC \o "1-3" \h \z \u </w:instrText>
      </w:r>
      <w:r w:rsidRPr="00F2246F">
        <w:fldChar w:fldCharType="separate"/>
      </w:r>
      <w:hyperlink w:anchor="_Toc151549865" w:history="1">
        <w:r w:rsidR="00397D49" w:rsidRPr="00D75DC5">
          <w:rPr>
            <w:rStyle w:val="Hyperlink"/>
            <w:noProof/>
          </w:rPr>
          <w:t>List of terms</w:t>
        </w:r>
        <w:r w:rsidR="00397D49">
          <w:rPr>
            <w:noProof/>
            <w:webHidden/>
          </w:rPr>
          <w:tab/>
        </w:r>
        <w:r w:rsidR="00397D49">
          <w:rPr>
            <w:noProof/>
            <w:webHidden/>
          </w:rPr>
          <w:fldChar w:fldCharType="begin"/>
        </w:r>
        <w:r w:rsidR="00397D49">
          <w:rPr>
            <w:noProof/>
            <w:webHidden/>
          </w:rPr>
          <w:instrText xml:space="preserve"> PAGEREF _Toc151549865 \h </w:instrText>
        </w:r>
        <w:r w:rsidR="00397D49">
          <w:rPr>
            <w:noProof/>
            <w:webHidden/>
          </w:rPr>
        </w:r>
        <w:r w:rsidR="00397D49">
          <w:rPr>
            <w:noProof/>
            <w:webHidden/>
          </w:rPr>
          <w:fldChar w:fldCharType="separate"/>
        </w:r>
        <w:r w:rsidR="00397D49">
          <w:rPr>
            <w:noProof/>
            <w:webHidden/>
          </w:rPr>
          <w:t>3</w:t>
        </w:r>
        <w:r w:rsidR="00397D49">
          <w:rPr>
            <w:noProof/>
            <w:webHidden/>
          </w:rPr>
          <w:fldChar w:fldCharType="end"/>
        </w:r>
      </w:hyperlink>
    </w:p>
    <w:p w14:paraId="1D505A2F" w14:textId="564D519E" w:rsidR="00397D49" w:rsidRDefault="006924B0" w:rsidP="00503351">
      <w:pPr>
        <w:pStyle w:val="TOC1"/>
        <w:rPr>
          <w:rFonts w:eastAsiaTheme="minorEastAsia"/>
          <w:noProof/>
          <w:color w:val="auto"/>
          <w:kern w:val="2"/>
          <w:sz w:val="22"/>
          <w:lang w:eastAsia="en-GB"/>
          <w14:ligatures w14:val="standardContextual"/>
        </w:rPr>
      </w:pPr>
      <w:hyperlink w:anchor="_Toc151549866" w:history="1">
        <w:r w:rsidR="00397D49" w:rsidRPr="00D75DC5">
          <w:rPr>
            <w:rStyle w:val="Hyperlink"/>
            <w:noProof/>
          </w:rPr>
          <w:t>Executive summary</w:t>
        </w:r>
        <w:r w:rsidR="00397D49">
          <w:rPr>
            <w:noProof/>
            <w:webHidden/>
          </w:rPr>
          <w:tab/>
        </w:r>
        <w:r w:rsidR="00397D49">
          <w:rPr>
            <w:noProof/>
            <w:webHidden/>
          </w:rPr>
          <w:fldChar w:fldCharType="begin"/>
        </w:r>
        <w:r w:rsidR="00397D49">
          <w:rPr>
            <w:noProof/>
            <w:webHidden/>
          </w:rPr>
          <w:instrText xml:space="preserve"> PAGEREF _Toc151549866 \h </w:instrText>
        </w:r>
        <w:r w:rsidR="00397D49">
          <w:rPr>
            <w:noProof/>
            <w:webHidden/>
          </w:rPr>
        </w:r>
        <w:r w:rsidR="00397D49">
          <w:rPr>
            <w:noProof/>
            <w:webHidden/>
          </w:rPr>
          <w:fldChar w:fldCharType="separate"/>
        </w:r>
        <w:r w:rsidR="00397D49">
          <w:rPr>
            <w:noProof/>
            <w:webHidden/>
          </w:rPr>
          <w:t>6</w:t>
        </w:r>
        <w:r w:rsidR="00397D49">
          <w:rPr>
            <w:noProof/>
            <w:webHidden/>
          </w:rPr>
          <w:fldChar w:fldCharType="end"/>
        </w:r>
      </w:hyperlink>
    </w:p>
    <w:p w14:paraId="2EA07EA3" w14:textId="2DC08D7A" w:rsidR="00397D49" w:rsidRDefault="006924B0">
      <w:pPr>
        <w:pStyle w:val="TOC2"/>
        <w:rPr>
          <w:rFonts w:eastAsiaTheme="minorEastAsia"/>
          <w:noProof/>
          <w:color w:val="auto"/>
          <w:kern w:val="2"/>
          <w:sz w:val="22"/>
          <w:lang w:eastAsia="en-GB"/>
          <w14:ligatures w14:val="standardContextual"/>
        </w:rPr>
      </w:pPr>
      <w:hyperlink w:anchor="_Toc151549867" w:history="1">
        <w:r w:rsidR="00397D49" w:rsidRPr="00D75DC5">
          <w:rPr>
            <w:rStyle w:val="Hyperlink"/>
            <w:noProof/>
          </w:rPr>
          <w:t>Key findings</w:t>
        </w:r>
        <w:r w:rsidR="00397D49">
          <w:rPr>
            <w:noProof/>
            <w:webHidden/>
          </w:rPr>
          <w:tab/>
        </w:r>
        <w:r w:rsidR="00397D49">
          <w:rPr>
            <w:noProof/>
            <w:webHidden/>
          </w:rPr>
          <w:fldChar w:fldCharType="begin"/>
        </w:r>
        <w:r w:rsidR="00397D49">
          <w:rPr>
            <w:noProof/>
            <w:webHidden/>
          </w:rPr>
          <w:instrText xml:space="preserve"> PAGEREF _Toc151549867 \h </w:instrText>
        </w:r>
        <w:r w:rsidR="00397D49">
          <w:rPr>
            <w:noProof/>
            <w:webHidden/>
          </w:rPr>
        </w:r>
        <w:r w:rsidR="00397D49">
          <w:rPr>
            <w:noProof/>
            <w:webHidden/>
          </w:rPr>
          <w:fldChar w:fldCharType="separate"/>
        </w:r>
        <w:r w:rsidR="00397D49">
          <w:rPr>
            <w:noProof/>
            <w:webHidden/>
          </w:rPr>
          <w:t>6</w:t>
        </w:r>
        <w:r w:rsidR="00397D49">
          <w:rPr>
            <w:noProof/>
            <w:webHidden/>
          </w:rPr>
          <w:fldChar w:fldCharType="end"/>
        </w:r>
      </w:hyperlink>
    </w:p>
    <w:p w14:paraId="5E270A94" w14:textId="56CAFE36" w:rsidR="00397D49" w:rsidRDefault="006924B0">
      <w:pPr>
        <w:pStyle w:val="TOC2"/>
        <w:rPr>
          <w:rFonts w:eastAsiaTheme="minorEastAsia"/>
          <w:noProof/>
          <w:color w:val="auto"/>
          <w:kern w:val="2"/>
          <w:sz w:val="22"/>
          <w:lang w:eastAsia="en-GB"/>
          <w14:ligatures w14:val="standardContextual"/>
        </w:rPr>
      </w:pPr>
      <w:hyperlink w:anchor="_Toc151549868" w:history="1">
        <w:r w:rsidR="00397D49" w:rsidRPr="00D75DC5">
          <w:rPr>
            <w:rStyle w:val="Hyperlink"/>
            <w:noProof/>
          </w:rPr>
          <w:t>Context</w:t>
        </w:r>
        <w:r w:rsidR="00397D49">
          <w:rPr>
            <w:noProof/>
            <w:webHidden/>
          </w:rPr>
          <w:tab/>
        </w:r>
        <w:r w:rsidR="00397D49">
          <w:rPr>
            <w:noProof/>
            <w:webHidden/>
          </w:rPr>
          <w:fldChar w:fldCharType="begin"/>
        </w:r>
        <w:r w:rsidR="00397D49">
          <w:rPr>
            <w:noProof/>
            <w:webHidden/>
          </w:rPr>
          <w:instrText xml:space="preserve"> PAGEREF _Toc151549868 \h </w:instrText>
        </w:r>
        <w:r w:rsidR="00397D49">
          <w:rPr>
            <w:noProof/>
            <w:webHidden/>
          </w:rPr>
        </w:r>
        <w:r w:rsidR="00397D49">
          <w:rPr>
            <w:noProof/>
            <w:webHidden/>
          </w:rPr>
          <w:fldChar w:fldCharType="separate"/>
        </w:r>
        <w:r w:rsidR="00397D49">
          <w:rPr>
            <w:noProof/>
            <w:webHidden/>
          </w:rPr>
          <w:t>9</w:t>
        </w:r>
        <w:r w:rsidR="00397D49">
          <w:rPr>
            <w:noProof/>
            <w:webHidden/>
          </w:rPr>
          <w:fldChar w:fldCharType="end"/>
        </w:r>
      </w:hyperlink>
    </w:p>
    <w:p w14:paraId="1ACDC807" w14:textId="12A0D298" w:rsidR="00397D49" w:rsidRDefault="006924B0">
      <w:pPr>
        <w:pStyle w:val="TOC2"/>
        <w:rPr>
          <w:rFonts w:eastAsiaTheme="minorEastAsia"/>
          <w:noProof/>
          <w:color w:val="auto"/>
          <w:kern w:val="2"/>
          <w:sz w:val="22"/>
          <w:lang w:eastAsia="en-GB"/>
          <w14:ligatures w14:val="standardContextual"/>
        </w:rPr>
      </w:pPr>
      <w:hyperlink w:anchor="_Toc151549869" w:history="1">
        <w:r w:rsidR="00397D49" w:rsidRPr="00D75DC5">
          <w:rPr>
            <w:rStyle w:val="Hyperlink"/>
            <w:noProof/>
          </w:rPr>
          <w:t>Approach</w:t>
        </w:r>
        <w:r w:rsidR="00397D49">
          <w:rPr>
            <w:noProof/>
            <w:webHidden/>
          </w:rPr>
          <w:tab/>
        </w:r>
        <w:r w:rsidR="00397D49">
          <w:rPr>
            <w:noProof/>
            <w:webHidden/>
          </w:rPr>
          <w:fldChar w:fldCharType="begin"/>
        </w:r>
        <w:r w:rsidR="00397D49">
          <w:rPr>
            <w:noProof/>
            <w:webHidden/>
          </w:rPr>
          <w:instrText xml:space="preserve"> PAGEREF _Toc151549869 \h </w:instrText>
        </w:r>
        <w:r w:rsidR="00397D49">
          <w:rPr>
            <w:noProof/>
            <w:webHidden/>
          </w:rPr>
        </w:r>
        <w:r w:rsidR="00397D49">
          <w:rPr>
            <w:noProof/>
            <w:webHidden/>
          </w:rPr>
          <w:fldChar w:fldCharType="separate"/>
        </w:r>
        <w:r w:rsidR="00397D49">
          <w:rPr>
            <w:noProof/>
            <w:webHidden/>
          </w:rPr>
          <w:t>10</w:t>
        </w:r>
        <w:r w:rsidR="00397D49">
          <w:rPr>
            <w:noProof/>
            <w:webHidden/>
          </w:rPr>
          <w:fldChar w:fldCharType="end"/>
        </w:r>
      </w:hyperlink>
    </w:p>
    <w:p w14:paraId="637F7C79" w14:textId="4389FCF1" w:rsidR="00397D49" w:rsidRDefault="006924B0">
      <w:pPr>
        <w:pStyle w:val="TOC2"/>
        <w:rPr>
          <w:rFonts w:eastAsiaTheme="minorEastAsia"/>
          <w:noProof/>
          <w:color w:val="auto"/>
          <w:kern w:val="2"/>
          <w:sz w:val="22"/>
          <w:lang w:eastAsia="en-GB"/>
          <w14:ligatures w14:val="standardContextual"/>
        </w:rPr>
      </w:pPr>
      <w:hyperlink w:anchor="_Toc151549870" w:history="1">
        <w:r w:rsidR="00397D49" w:rsidRPr="00D75DC5">
          <w:rPr>
            <w:rStyle w:val="Hyperlink"/>
            <w:noProof/>
          </w:rPr>
          <w:t>Summary of findings</w:t>
        </w:r>
        <w:r w:rsidR="00397D49">
          <w:rPr>
            <w:noProof/>
            <w:webHidden/>
          </w:rPr>
          <w:tab/>
        </w:r>
        <w:r w:rsidR="00397D49">
          <w:rPr>
            <w:noProof/>
            <w:webHidden/>
          </w:rPr>
          <w:fldChar w:fldCharType="begin"/>
        </w:r>
        <w:r w:rsidR="00397D49">
          <w:rPr>
            <w:noProof/>
            <w:webHidden/>
          </w:rPr>
          <w:instrText xml:space="preserve"> PAGEREF _Toc151549870 \h </w:instrText>
        </w:r>
        <w:r w:rsidR="00397D49">
          <w:rPr>
            <w:noProof/>
            <w:webHidden/>
          </w:rPr>
        </w:r>
        <w:r w:rsidR="00397D49">
          <w:rPr>
            <w:noProof/>
            <w:webHidden/>
          </w:rPr>
          <w:fldChar w:fldCharType="separate"/>
        </w:r>
        <w:r w:rsidR="00397D49">
          <w:rPr>
            <w:noProof/>
            <w:webHidden/>
          </w:rPr>
          <w:t>12</w:t>
        </w:r>
        <w:r w:rsidR="00397D49">
          <w:rPr>
            <w:noProof/>
            <w:webHidden/>
          </w:rPr>
          <w:fldChar w:fldCharType="end"/>
        </w:r>
      </w:hyperlink>
    </w:p>
    <w:p w14:paraId="2CD7162F" w14:textId="29C77274" w:rsidR="00397D49" w:rsidRDefault="006924B0">
      <w:pPr>
        <w:pStyle w:val="TOC2"/>
        <w:rPr>
          <w:rFonts w:eastAsiaTheme="minorEastAsia"/>
          <w:noProof/>
          <w:color w:val="auto"/>
          <w:kern w:val="2"/>
          <w:sz w:val="22"/>
          <w:lang w:eastAsia="en-GB"/>
          <w14:ligatures w14:val="standardContextual"/>
        </w:rPr>
      </w:pPr>
      <w:hyperlink w:anchor="_Toc151549871" w:history="1">
        <w:r w:rsidR="00397D49" w:rsidRPr="00D75DC5">
          <w:rPr>
            <w:rStyle w:val="Hyperlink"/>
            <w:noProof/>
          </w:rPr>
          <w:t>Process evaluation findings</w:t>
        </w:r>
        <w:r w:rsidR="00397D49">
          <w:rPr>
            <w:noProof/>
            <w:webHidden/>
          </w:rPr>
          <w:tab/>
        </w:r>
        <w:r w:rsidR="00397D49">
          <w:rPr>
            <w:noProof/>
            <w:webHidden/>
          </w:rPr>
          <w:fldChar w:fldCharType="begin"/>
        </w:r>
        <w:r w:rsidR="00397D49">
          <w:rPr>
            <w:noProof/>
            <w:webHidden/>
          </w:rPr>
          <w:instrText xml:space="preserve"> PAGEREF _Toc151549871 \h </w:instrText>
        </w:r>
        <w:r w:rsidR="00397D49">
          <w:rPr>
            <w:noProof/>
            <w:webHidden/>
          </w:rPr>
        </w:r>
        <w:r w:rsidR="00397D49">
          <w:rPr>
            <w:noProof/>
            <w:webHidden/>
          </w:rPr>
          <w:fldChar w:fldCharType="separate"/>
        </w:r>
        <w:r w:rsidR="00397D49">
          <w:rPr>
            <w:noProof/>
            <w:webHidden/>
          </w:rPr>
          <w:t>15</w:t>
        </w:r>
        <w:r w:rsidR="00397D49">
          <w:rPr>
            <w:noProof/>
            <w:webHidden/>
          </w:rPr>
          <w:fldChar w:fldCharType="end"/>
        </w:r>
      </w:hyperlink>
    </w:p>
    <w:p w14:paraId="527AD5F3" w14:textId="07DE5778" w:rsidR="00397D49" w:rsidRDefault="006924B0">
      <w:pPr>
        <w:pStyle w:val="TOC2"/>
        <w:rPr>
          <w:rFonts w:eastAsiaTheme="minorEastAsia"/>
          <w:noProof/>
          <w:color w:val="auto"/>
          <w:kern w:val="2"/>
          <w:sz w:val="22"/>
          <w:lang w:eastAsia="en-GB"/>
          <w14:ligatures w14:val="standardContextual"/>
        </w:rPr>
      </w:pPr>
      <w:hyperlink w:anchor="_Toc151549872" w:history="1">
        <w:r w:rsidR="00397D49" w:rsidRPr="00D75DC5">
          <w:rPr>
            <w:rStyle w:val="Hyperlink"/>
            <w:noProof/>
          </w:rPr>
          <w:t>Year 2 impact evaluation</w:t>
        </w:r>
        <w:r w:rsidR="00397D49">
          <w:rPr>
            <w:noProof/>
            <w:webHidden/>
          </w:rPr>
          <w:tab/>
        </w:r>
        <w:r w:rsidR="00397D49">
          <w:rPr>
            <w:noProof/>
            <w:webHidden/>
          </w:rPr>
          <w:fldChar w:fldCharType="begin"/>
        </w:r>
        <w:r w:rsidR="00397D49">
          <w:rPr>
            <w:noProof/>
            <w:webHidden/>
          </w:rPr>
          <w:instrText xml:space="preserve"> PAGEREF _Toc151549872 \h </w:instrText>
        </w:r>
        <w:r w:rsidR="00397D49">
          <w:rPr>
            <w:noProof/>
            <w:webHidden/>
          </w:rPr>
        </w:r>
        <w:r w:rsidR="00397D49">
          <w:rPr>
            <w:noProof/>
            <w:webHidden/>
          </w:rPr>
          <w:fldChar w:fldCharType="separate"/>
        </w:r>
        <w:r w:rsidR="00397D49">
          <w:rPr>
            <w:noProof/>
            <w:webHidden/>
          </w:rPr>
          <w:t>18</w:t>
        </w:r>
        <w:r w:rsidR="00397D49">
          <w:rPr>
            <w:noProof/>
            <w:webHidden/>
          </w:rPr>
          <w:fldChar w:fldCharType="end"/>
        </w:r>
      </w:hyperlink>
    </w:p>
    <w:p w14:paraId="4D6EB30D" w14:textId="4104DA50" w:rsidR="00397D49" w:rsidRDefault="006924B0">
      <w:pPr>
        <w:pStyle w:val="TOC2"/>
        <w:rPr>
          <w:rFonts w:eastAsiaTheme="minorEastAsia"/>
          <w:noProof/>
          <w:color w:val="auto"/>
          <w:kern w:val="2"/>
          <w:sz w:val="22"/>
          <w:lang w:eastAsia="en-GB"/>
          <w14:ligatures w14:val="standardContextual"/>
        </w:rPr>
      </w:pPr>
      <w:hyperlink w:anchor="_Toc151549873" w:history="1">
        <w:r w:rsidR="00397D49" w:rsidRPr="00D75DC5">
          <w:rPr>
            <w:rStyle w:val="Hyperlink"/>
            <w:noProof/>
          </w:rPr>
          <w:t>Secondary analysis of Year 1 early impact evaluation</w:t>
        </w:r>
        <w:r w:rsidR="00397D49">
          <w:rPr>
            <w:noProof/>
            <w:webHidden/>
          </w:rPr>
          <w:tab/>
        </w:r>
        <w:r w:rsidR="00397D49">
          <w:rPr>
            <w:noProof/>
            <w:webHidden/>
          </w:rPr>
          <w:fldChar w:fldCharType="begin"/>
        </w:r>
        <w:r w:rsidR="00397D49">
          <w:rPr>
            <w:noProof/>
            <w:webHidden/>
          </w:rPr>
          <w:instrText xml:space="preserve"> PAGEREF _Toc151549873 \h </w:instrText>
        </w:r>
        <w:r w:rsidR="00397D49">
          <w:rPr>
            <w:noProof/>
            <w:webHidden/>
          </w:rPr>
        </w:r>
        <w:r w:rsidR="00397D49">
          <w:rPr>
            <w:noProof/>
            <w:webHidden/>
          </w:rPr>
          <w:fldChar w:fldCharType="separate"/>
        </w:r>
        <w:r w:rsidR="00397D49">
          <w:rPr>
            <w:noProof/>
            <w:webHidden/>
          </w:rPr>
          <w:t>21</w:t>
        </w:r>
        <w:r w:rsidR="00397D49">
          <w:rPr>
            <w:noProof/>
            <w:webHidden/>
          </w:rPr>
          <w:fldChar w:fldCharType="end"/>
        </w:r>
      </w:hyperlink>
    </w:p>
    <w:p w14:paraId="2AD7E984" w14:textId="6B5B5058" w:rsidR="00397D49" w:rsidRDefault="006924B0" w:rsidP="00503351">
      <w:pPr>
        <w:pStyle w:val="TOC1"/>
        <w:rPr>
          <w:rFonts w:eastAsiaTheme="minorEastAsia"/>
          <w:noProof/>
          <w:color w:val="auto"/>
          <w:kern w:val="2"/>
          <w:sz w:val="22"/>
          <w:lang w:eastAsia="en-GB"/>
          <w14:ligatures w14:val="standardContextual"/>
        </w:rPr>
      </w:pPr>
      <w:hyperlink w:anchor="_Toc151549874" w:history="1">
        <w:r w:rsidR="00397D49" w:rsidRPr="00D75DC5">
          <w:rPr>
            <w:rStyle w:val="Hyperlink"/>
            <w:noProof/>
          </w:rPr>
          <w:t>Introduction</w:t>
        </w:r>
        <w:r w:rsidR="00397D49">
          <w:rPr>
            <w:noProof/>
            <w:webHidden/>
          </w:rPr>
          <w:tab/>
        </w:r>
        <w:r w:rsidR="00397D49">
          <w:rPr>
            <w:noProof/>
            <w:webHidden/>
          </w:rPr>
          <w:fldChar w:fldCharType="begin"/>
        </w:r>
        <w:r w:rsidR="00397D49">
          <w:rPr>
            <w:noProof/>
            <w:webHidden/>
          </w:rPr>
          <w:instrText xml:space="preserve"> PAGEREF _Toc151549874 \h </w:instrText>
        </w:r>
        <w:r w:rsidR="00397D49">
          <w:rPr>
            <w:noProof/>
            <w:webHidden/>
          </w:rPr>
        </w:r>
        <w:r w:rsidR="00397D49">
          <w:rPr>
            <w:noProof/>
            <w:webHidden/>
          </w:rPr>
          <w:fldChar w:fldCharType="separate"/>
        </w:r>
        <w:r w:rsidR="00397D49">
          <w:rPr>
            <w:noProof/>
            <w:webHidden/>
          </w:rPr>
          <w:t>29</w:t>
        </w:r>
        <w:r w:rsidR="00397D49">
          <w:rPr>
            <w:noProof/>
            <w:webHidden/>
          </w:rPr>
          <w:fldChar w:fldCharType="end"/>
        </w:r>
      </w:hyperlink>
    </w:p>
    <w:p w14:paraId="38264718" w14:textId="3B562B49" w:rsidR="00397D49" w:rsidRDefault="006924B0">
      <w:pPr>
        <w:pStyle w:val="TOC2"/>
        <w:rPr>
          <w:rFonts w:eastAsiaTheme="minorEastAsia"/>
          <w:noProof/>
          <w:color w:val="auto"/>
          <w:kern w:val="2"/>
          <w:sz w:val="22"/>
          <w:lang w:eastAsia="en-GB"/>
          <w14:ligatures w14:val="standardContextual"/>
        </w:rPr>
      </w:pPr>
      <w:hyperlink w:anchor="_Toc151549875" w:history="1">
        <w:r w:rsidR="00397D49" w:rsidRPr="00D75DC5">
          <w:rPr>
            <w:rStyle w:val="Hyperlink"/>
            <w:noProof/>
          </w:rPr>
          <w:t>Policy context</w:t>
        </w:r>
        <w:r w:rsidR="00397D49">
          <w:rPr>
            <w:noProof/>
            <w:webHidden/>
          </w:rPr>
          <w:tab/>
        </w:r>
        <w:r w:rsidR="00397D49">
          <w:rPr>
            <w:noProof/>
            <w:webHidden/>
          </w:rPr>
          <w:fldChar w:fldCharType="begin"/>
        </w:r>
        <w:r w:rsidR="00397D49">
          <w:rPr>
            <w:noProof/>
            <w:webHidden/>
          </w:rPr>
          <w:instrText xml:space="preserve"> PAGEREF _Toc151549875 \h </w:instrText>
        </w:r>
        <w:r w:rsidR="00397D49">
          <w:rPr>
            <w:noProof/>
            <w:webHidden/>
          </w:rPr>
        </w:r>
        <w:r w:rsidR="00397D49">
          <w:rPr>
            <w:noProof/>
            <w:webHidden/>
          </w:rPr>
          <w:fldChar w:fldCharType="separate"/>
        </w:r>
        <w:r w:rsidR="00397D49">
          <w:rPr>
            <w:noProof/>
            <w:webHidden/>
          </w:rPr>
          <w:t>29</w:t>
        </w:r>
        <w:r w:rsidR="00397D49">
          <w:rPr>
            <w:noProof/>
            <w:webHidden/>
          </w:rPr>
          <w:fldChar w:fldCharType="end"/>
        </w:r>
      </w:hyperlink>
    </w:p>
    <w:p w14:paraId="2F822AE7" w14:textId="410583EB" w:rsidR="00397D49" w:rsidRDefault="006924B0">
      <w:pPr>
        <w:pStyle w:val="TOC2"/>
        <w:rPr>
          <w:rFonts w:eastAsiaTheme="minorEastAsia"/>
          <w:noProof/>
          <w:color w:val="auto"/>
          <w:kern w:val="2"/>
          <w:sz w:val="22"/>
          <w:lang w:eastAsia="en-GB"/>
          <w14:ligatures w14:val="standardContextual"/>
        </w:rPr>
      </w:pPr>
      <w:hyperlink w:anchor="_Toc151549876" w:history="1">
        <w:r w:rsidR="00397D49" w:rsidRPr="00D75DC5">
          <w:rPr>
            <w:rStyle w:val="Hyperlink"/>
            <w:noProof/>
          </w:rPr>
          <w:t>Key objectives</w:t>
        </w:r>
        <w:r w:rsidR="00397D49">
          <w:rPr>
            <w:noProof/>
            <w:webHidden/>
          </w:rPr>
          <w:tab/>
        </w:r>
        <w:r w:rsidR="00397D49">
          <w:rPr>
            <w:noProof/>
            <w:webHidden/>
          </w:rPr>
          <w:fldChar w:fldCharType="begin"/>
        </w:r>
        <w:r w:rsidR="00397D49">
          <w:rPr>
            <w:noProof/>
            <w:webHidden/>
          </w:rPr>
          <w:instrText xml:space="preserve"> PAGEREF _Toc151549876 \h </w:instrText>
        </w:r>
        <w:r w:rsidR="00397D49">
          <w:rPr>
            <w:noProof/>
            <w:webHidden/>
          </w:rPr>
        </w:r>
        <w:r w:rsidR="00397D49">
          <w:rPr>
            <w:noProof/>
            <w:webHidden/>
          </w:rPr>
          <w:fldChar w:fldCharType="separate"/>
        </w:r>
        <w:r w:rsidR="00397D49">
          <w:rPr>
            <w:noProof/>
            <w:webHidden/>
          </w:rPr>
          <w:t>30</w:t>
        </w:r>
        <w:r w:rsidR="00397D49">
          <w:rPr>
            <w:noProof/>
            <w:webHidden/>
          </w:rPr>
          <w:fldChar w:fldCharType="end"/>
        </w:r>
      </w:hyperlink>
    </w:p>
    <w:p w14:paraId="2FB4A8D3" w14:textId="78A64219" w:rsidR="00397D49" w:rsidRDefault="006924B0">
      <w:pPr>
        <w:pStyle w:val="TOC2"/>
        <w:rPr>
          <w:rFonts w:eastAsiaTheme="minorEastAsia"/>
          <w:noProof/>
          <w:color w:val="auto"/>
          <w:kern w:val="2"/>
          <w:sz w:val="22"/>
          <w:lang w:eastAsia="en-GB"/>
          <w14:ligatures w14:val="standardContextual"/>
        </w:rPr>
      </w:pPr>
      <w:hyperlink w:anchor="_Toc151549877" w:history="1">
        <w:r w:rsidR="00397D49" w:rsidRPr="00D75DC5">
          <w:rPr>
            <w:rStyle w:val="Hyperlink"/>
            <w:noProof/>
          </w:rPr>
          <w:t>Evaluation context</w:t>
        </w:r>
        <w:r w:rsidR="00397D49">
          <w:rPr>
            <w:noProof/>
            <w:webHidden/>
          </w:rPr>
          <w:tab/>
        </w:r>
        <w:r w:rsidR="00397D49">
          <w:rPr>
            <w:noProof/>
            <w:webHidden/>
          </w:rPr>
          <w:fldChar w:fldCharType="begin"/>
        </w:r>
        <w:r w:rsidR="00397D49">
          <w:rPr>
            <w:noProof/>
            <w:webHidden/>
          </w:rPr>
          <w:instrText xml:space="preserve"> PAGEREF _Toc151549877 \h </w:instrText>
        </w:r>
        <w:r w:rsidR="00397D49">
          <w:rPr>
            <w:noProof/>
            <w:webHidden/>
          </w:rPr>
        </w:r>
        <w:r w:rsidR="00397D49">
          <w:rPr>
            <w:noProof/>
            <w:webHidden/>
          </w:rPr>
          <w:fldChar w:fldCharType="separate"/>
        </w:r>
        <w:r w:rsidR="00397D49">
          <w:rPr>
            <w:noProof/>
            <w:webHidden/>
          </w:rPr>
          <w:t>32</w:t>
        </w:r>
        <w:r w:rsidR="00397D49">
          <w:rPr>
            <w:noProof/>
            <w:webHidden/>
          </w:rPr>
          <w:fldChar w:fldCharType="end"/>
        </w:r>
      </w:hyperlink>
    </w:p>
    <w:p w14:paraId="40BD7660" w14:textId="2385FA5F" w:rsidR="00397D49" w:rsidRDefault="006924B0" w:rsidP="00503351">
      <w:pPr>
        <w:pStyle w:val="TOC1"/>
        <w:rPr>
          <w:rFonts w:eastAsiaTheme="minorEastAsia"/>
          <w:noProof/>
          <w:color w:val="auto"/>
          <w:kern w:val="2"/>
          <w:sz w:val="22"/>
          <w:lang w:eastAsia="en-GB"/>
          <w14:ligatures w14:val="standardContextual"/>
        </w:rPr>
      </w:pPr>
      <w:hyperlink w:anchor="_Toc151549878" w:history="1">
        <w:r w:rsidR="00397D49" w:rsidRPr="00D75DC5">
          <w:rPr>
            <w:rStyle w:val="Hyperlink"/>
            <w:noProof/>
          </w:rPr>
          <w:t>Process evaluation</w:t>
        </w:r>
        <w:r w:rsidR="00397D49">
          <w:rPr>
            <w:noProof/>
            <w:webHidden/>
          </w:rPr>
          <w:tab/>
        </w:r>
        <w:r w:rsidR="00397D49">
          <w:rPr>
            <w:noProof/>
            <w:webHidden/>
          </w:rPr>
          <w:fldChar w:fldCharType="begin"/>
        </w:r>
        <w:r w:rsidR="00397D49">
          <w:rPr>
            <w:noProof/>
            <w:webHidden/>
          </w:rPr>
          <w:instrText xml:space="preserve"> PAGEREF _Toc151549878 \h </w:instrText>
        </w:r>
        <w:r w:rsidR="00397D49">
          <w:rPr>
            <w:noProof/>
            <w:webHidden/>
          </w:rPr>
        </w:r>
        <w:r w:rsidR="00397D49">
          <w:rPr>
            <w:noProof/>
            <w:webHidden/>
          </w:rPr>
          <w:fldChar w:fldCharType="separate"/>
        </w:r>
        <w:r w:rsidR="00397D49">
          <w:rPr>
            <w:noProof/>
            <w:webHidden/>
          </w:rPr>
          <w:t>34</w:t>
        </w:r>
        <w:r w:rsidR="00397D49">
          <w:rPr>
            <w:noProof/>
            <w:webHidden/>
          </w:rPr>
          <w:fldChar w:fldCharType="end"/>
        </w:r>
      </w:hyperlink>
    </w:p>
    <w:p w14:paraId="3F7324E8" w14:textId="4B85C70D" w:rsidR="00397D49" w:rsidRDefault="006924B0">
      <w:pPr>
        <w:pStyle w:val="TOC2"/>
        <w:rPr>
          <w:rFonts w:eastAsiaTheme="minorEastAsia"/>
          <w:noProof/>
          <w:color w:val="auto"/>
          <w:kern w:val="2"/>
          <w:sz w:val="22"/>
          <w:lang w:eastAsia="en-GB"/>
          <w14:ligatures w14:val="standardContextual"/>
        </w:rPr>
      </w:pPr>
      <w:hyperlink w:anchor="_Toc151549879" w:history="1">
        <w:r w:rsidR="00397D49" w:rsidRPr="00D75DC5">
          <w:rPr>
            <w:rStyle w:val="Hyperlink"/>
            <w:noProof/>
          </w:rPr>
          <w:t>Research questions</w:t>
        </w:r>
        <w:r w:rsidR="00397D49">
          <w:rPr>
            <w:noProof/>
            <w:webHidden/>
          </w:rPr>
          <w:tab/>
        </w:r>
        <w:r w:rsidR="00397D49">
          <w:rPr>
            <w:noProof/>
            <w:webHidden/>
          </w:rPr>
          <w:fldChar w:fldCharType="begin"/>
        </w:r>
        <w:r w:rsidR="00397D49">
          <w:rPr>
            <w:noProof/>
            <w:webHidden/>
          </w:rPr>
          <w:instrText xml:space="preserve"> PAGEREF _Toc151549879 \h </w:instrText>
        </w:r>
        <w:r w:rsidR="00397D49">
          <w:rPr>
            <w:noProof/>
            <w:webHidden/>
          </w:rPr>
        </w:r>
        <w:r w:rsidR="00397D49">
          <w:rPr>
            <w:noProof/>
            <w:webHidden/>
          </w:rPr>
          <w:fldChar w:fldCharType="separate"/>
        </w:r>
        <w:r w:rsidR="00397D49">
          <w:rPr>
            <w:noProof/>
            <w:webHidden/>
          </w:rPr>
          <w:t>34</w:t>
        </w:r>
        <w:r w:rsidR="00397D49">
          <w:rPr>
            <w:noProof/>
            <w:webHidden/>
          </w:rPr>
          <w:fldChar w:fldCharType="end"/>
        </w:r>
      </w:hyperlink>
    </w:p>
    <w:p w14:paraId="3F5B9E90" w14:textId="29DBAB34" w:rsidR="00397D49" w:rsidRDefault="006924B0">
      <w:pPr>
        <w:pStyle w:val="TOC2"/>
        <w:rPr>
          <w:rFonts w:eastAsiaTheme="minorEastAsia"/>
          <w:noProof/>
          <w:color w:val="auto"/>
          <w:kern w:val="2"/>
          <w:sz w:val="22"/>
          <w:lang w:eastAsia="en-GB"/>
          <w14:ligatures w14:val="standardContextual"/>
        </w:rPr>
      </w:pPr>
      <w:hyperlink w:anchor="_Toc151549880" w:history="1">
        <w:r w:rsidR="00397D49" w:rsidRPr="00D75DC5">
          <w:rPr>
            <w:rStyle w:val="Hyperlink"/>
            <w:noProof/>
          </w:rPr>
          <w:t>Methodology</w:t>
        </w:r>
        <w:r w:rsidR="00397D49">
          <w:rPr>
            <w:noProof/>
            <w:webHidden/>
          </w:rPr>
          <w:tab/>
        </w:r>
        <w:r w:rsidR="00397D49">
          <w:rPr>
            <w:noProof/>
            <w:webHidden/>
          </w:rPr>
          <w:fldChar w:fldCharType="begin"/>
        </w:r>
        <w:r w:rsidR="00397D49">
          <w:rPr>
            <w:noProof/>
            <w:webHidden/>
          </w:rPr>
          <w:instrText xml:space="preserve"> PAGEREF _Toc151549880 \h </w:instrText>
        </w:r>
        <w:r w:rsidR="00397D49">
          <w:rPr>
            <w:noProof/>
            <w:webHidden/>
          </w:rPr>
        </w:r>
        <w:r w:rsidR="00397D49">
          <w:rPr>
            <w:noProof/>
            <w:webHidden/>
          </w:rPr>
          <w:fldChar w:fldCharType="separate"/>
        </w:r>
        <w:r w:rsidR="00397D49">
          <w:rPr>
            <w:noProof/>
            <w:webHidden/>
          </w:rPr>
          <w:t>35</w:t>
        </w:r>
        <w:r w:rsidR="00397D49">
          <w:rPr>
            <w:noProof/>
            <w:webHidden/>
          </w:rPr>
          <w:fldChar w:fldCharType="end"/>
        </w:r>
      </w:hyperlink>
    </w:p>
    <w:p w14:paraId="38DEE2B0" w14:textId="1EB37165" w:rsidR="00397D49" w:rsidRDefault="006924B0">
      <w:pPr>
        <w:pStyle w:val="TOC2"/>
        <w:rPr>
          <w:rFonts w:eastAsiaTheme="minorEastAsia"/>
          <w:noProof/>
          <w:color w:val="auto"/>
          <w:kern w:val="2"/>
          <w:sz w:val="22"/>
          <w:lang w:eastAsia="en-GB"/>
          <w14:ligatures w14:val="standardContextual"/>
        </w:rPr>
      </w:pPr>
      <w:hyperlink w:anchor="_Toc151549881" w:history="1">
        <w:r w:rsidR="00397D49" w:rsidRPr="00D75DC5">
          <w:rPr>
            <w:rStyle w:val="Hyperlink"/>
            <w:noProof/>
          </w:rPr>
          <w:t>Processes used</w:t>
        </w:r>
        <w:r w:rsidR="00397D49">
          <w:rPr>
            <w:noProof/>
            <w:webHidden/>
          </w:rPr>
          <w:tab/>
        </w:r>
        <w:r w:rsidR="00397D49">
          <w:rPr>
            <w:noProof/>
            <w:webHidden/>
          </w:rPr>
          <w:fldChar w:fldCharType="begin"/>
        </w:r>
        <w:r w:rsidR="00397D49">
          <w:rPr>
            <w:noProof/>
            <w:webHidden/>
          </w:rPr>
          <w:instrText xml:space="preserve"> PAGEREF _Toc151549881 \h </w:instrText>
        </w:r>
        <w:r w:rsidR="00397D49">
          <w:rPr>
            <w:noProof/>
            <w:webHidden/>
          </w:rPr>
        </w:r>
        <w:r w:rsidR="00397D49">
          <w:rPr>
            <w:noProof/>
            <w:webHidden/>
          </w:rPr>
          <w:fldChar w:fldCharType="separate"/>
        </w:r>
        <w:r w:rsidR="00397D49">
          <w:rPr>
            <w:noProof/>
            <w:webHidden/>
          </w:rPr>
          <w:t>36</w:t>
        </w:r>
        <w:r w:rsidR="00397D49">
          <w:rPr>
            <w:noProof/>
            <w:webHidden/>
          </w:rPr>
          <w:fldChar w:fldCharType="end"/>
        </w:r>
      </w:hyperlink>
    </w:p>
    <w:p w14:paraId="59AB54C0" w14:textId="7F5DBF93" w:rsidR="00397D49" w:rsidRDefault="006924B0">
      <w:pPr>
        <w:pStyle w:val="TOC2"/>
        <w:rPr>
          <w:rFonts w:eastAsiaTheme="minorEastAsia"/>
          <w:noProof/>
          <w:color w:val="auto"/>
          <w:kern w:val="2"/>
          <w:sz w:val="22"/>
          <w:lang w:eastAsia="en-GB"/>
          <w14:ligatures w14:val="standardContextual"/>
        </w:rPr>
      </w:pPr>
      <w:hyperlink w:anchor="_Toc151549882" w:history="1">
        <w:r w:rsidR="00397D49" w:rsidRPr="00D75DC5">
          <w:rPr>
            <w:rStyle w:val="Hyperlink"/>
            <w:noProof/>
          </w:rPr>
          <w:t>Monitoring</w:t>
        </w:r>
        <w:r w:rsidR="00397D49">
          <w:rPr>
            <w:noProof/>
            <w:webHidden/>
          </w:rPr>
          <w:tab/>
        </w:r>
        <w:r w:rsidR="00397D49">
          <w:rPr>
            <w:noProof/>
            <w:webHidden/>
          </w:rPr>
          <w:fldChar w:fldCharType="begin"/>
        </w:r>
        <w:r w:rsidR="00397D49">
          <w:rPr>
            <w:noProof/>
            <w:webHidden/>
          </w:rPr>
          <w:instrText xml:space="preserve"> PAGEREF _Toc151549882 \h </w:instrText>
        </w:r>
        <w:r w:rsidR="00397D49">
          <w:rPr>
            <w:noProof/>
            <w:webHidden/>
          </w:rPr>
        </w:r>
        <w:r w:rsidR="00397D49">
          <w:rPr>
            <w:noProof/>
            <w:webHidden/>
          </w:rPr>
          <w:fldChar w:fldCharType="separate"/>
        </w:r>
        <w:r w:rsidR="00397D49">
          <w:rPr>
            <w:noProof/>
            <w:webHidden/>
          </w:rPr>
          <w:t>41</w:t>
        </w:r>
        <w:r w:rsidR="00397D49">
          <w:rPr>
            <w:noProof/>
            <w:webHidden/>
          </w:rPr>
          <w:fldChar w:fldCharType="end"/>
        </w:r>
      </w:hyperlink>
    </w:p>
    <w:p w14:paraId="1CDF2949" w14:textId="62C77F92" w:rsidR="00397D49" w:rsidRDefault="006924B0">
      <w:pPr>
        <w:pStyle w:val="TOC2"/>
        <w:rPr>
          <w:rFonts w:eastAsiaTheme="minorEastAsia"/>
          <w:noProof/>
          <w:color w:val="auto"/>
          <w:kern w:val="2"/>
          <w:sz w:val="22"/>
          <w:lang w:eastAsia="en-GB"/>
          <w14:ligatures w14:val="standardContextual"/>
        </w:rPr>
      </w:pPr>
      <w:hyperlink w:anchor="_Toc151549883" w:history="1">
        <w:r w:rsidR="00397D49" w:rsidRPr="00D75DC5">
          <w:rPr>
            <w:rStyle w:val="Hyperlink"/>
            <w:noProof/>
          </w:rPr>
          <w:t>Repayments</w:t>
        </w:r>
        <w:r w:rsidR="00397D49">
          <w:rPr>
            <w:noProof/>
            <w:webHidden/>
          </w:rPr>
          <w:tab/>
        </w:r>
        <w:r w:rsidR="00397D49">
          <w:rPr>
            <w:noProof/>
            <w:webHidden/>
          </w:rPr>
          <w:fldChar w:fldCharType="begin"/>
        </w:r>
        <w:r w:rsidR="00397D49">
          <w:rPr>
            <w:noProof/>
            <w:webHidden/>
          </w:rPr>
          <w:instrText xml:space="preserve"> PAGEREF _Toc151549883 \h </w:instrText>
        </w:r>
        <w:r w:rsidR="00397D49">
          <w:rPr>
            <w:noProof/>
            <w:webHidden/>
          </w:rPr>
        </w:r>
        <w:r w:rsidR="00397D49">
          <w:rPr>
            <w:noProof/>
            <w:webHidden/>
          </w:rPr>
          <w:fldChar w:fldCharType="separate"/>
        </w:r>
        <w:r w:rsidR="00397D49">
          <w:rPr>
            <w:noProof/>
            <w:webHidden/>
          </w:rPr>
          <w:t>47</w:t>
        </w:r>
        <w:r w:rsidR="00397D49">
          <w:rPr>
            <w:noProof/>
            <w:webHidden/>
          </w:rPr>
          <w:fldChar w:fldCharType="end"/>
        </w:r>
      </w:hyperlink>
    </w:p>
    <w:p w14:paraId="383F9FB3" w14:textId="3799E93B" w:rsidR="00397D49" w:rsidRDefault="006924B0">
      <w:pPr>
        <w:pStyle w:val="TOC2"/>
        <w:rPr>
          <w:rFonts w:eastAsiaTheme="minorEastAsia"/>
          <w:noProof/>
          <w:color w:val="auto"/>
          <w:kern w:val="2"/>
          <w:sz w:val="22"/>
          <w:lang w:eastAsia="en-GB"/>
          <w14:ligatures w14:val="standardContextual"/>
        </w:rPr>
      </w:pPr>
      <w:hyperlink w:anchor="_Toc151549884" w:history="1">
        <w:r w:rsidR="00397D49" w:rsidRPr="00D75DC5">
          <w:rPr>
            <w:rStyle w:val="Hyperlink"/>
            <w:noProof/>
          </w:rPr>
          <w:t>Counter fraud work and Enforcement</w:t>
        </w:r>
        <w:r w:rsidR="00397D49">
          <w:rPr>
            <w:noProof/>
            <w:webHidden/>
          </w:rPr>
          <w:tab/>
        </w:r>
        <w:r w:rsidR="00397D49">
          <w:rPr>
            <w:noProof/>
            <w:webHidden/>
          </w:rPr>
          <w:fldChar w:fldCharType="begin"/>
        </w:r>
        <w:r w:rsidR="00397D49">
          <w:rPr>
            <w:noProof/>
            <w:webHidden/>
          </w:rPr>
          <w:instrText xml:space="preserve"> PAGEREF _Toc151549884 \h </w:instrText>
        </w:r>
        <w:r w:rsidR="00397D49">
          <w:rPr>
            <w:noProof/>
            <w:webHidden/>
          </w:rPr>
        </w:r>
        <w:r w:rsidR="00397D49">
          <w:rPr>
            <w:noProof/>
            <w:webHidden/>
          </w:rPr>
          <w:fldChar w:fldCharType="separate"/>
        </w:r>
        <w:r w:rsidR="00397D49">
          <w:rPr>
            <w:noProof/>
            <w:webHidden/>
          </w:rPr>
          <w:t>54</w:t>
        </w:r>
        <w:r w:rsidR="00397D49">
          <w:rPr>
            <w:noProof/>
            <w:webHidden/>
          </w:rPr>
          <w:fldChar w:fldCharType="end"/>
        </w:r>
      </w:hyperlink>
    </w:p>
    <w:p w14:paraId="7BDE691F" w14:textId="466F9764" w:rsidR="00397D49" w:rsidRDefault="006924B0">
      <w:pPr>
        <w:pStyle w:val="TOC2"/>
        <w:rPr>
          <w:rFonts w:eastAsiaTheme="minorEastAsia"/>
          <w:noProof/>
          <w:color w:val="auto"/>
          <w:kern w:val="2"/>
          <w:sz w:val="22"/>
          <w:lang w:eastAsia="en-GB"/>
          <w14:ligatures w14:val="standardContextual"/>
        </w:rPr>
      </w:pPr>
      <w:hyperlink w:anchor="_Toc151549885" w:history="1">
        <w:r w:rsidR="00397D49" w:rsidRPr="00D75DC5">
          <w:rPr>
            <w:rStyle w:val="Hyperlink"/>
            <w:noProof/>
          </w:rPr>
          <w:t>Conclusions</w:t>
        </w:r>
        <w:r w:rsidR="00397D49">
          <w:rPr>
            <w:noProof/>
            <w:webHidden/>
          </w:rPr>
          <w:tab/>
        </w:r>
        <w:r w:rsidR="00397D49">
          <w:rPr>
            <w:noProof/>
            <w:webHidden/>
          </w:rPr>
          <w:fldChar w:fldCharType="begin"/>
        </w:r>
        <w:r w:rsidR="00397D49">
          <w:rPr>
            <w:noProof/>
            <w:webHidden/>
          </w:rPr>
          <w:instrText xml:space="preserve"> PAGEREF _Toc151549885 \h </w:instrText>
        </w:r>
        <w:r w:rsidR="00397D49">
          <w:rPr>
            <w:noProof/>
            <w:webHidden/>
          </w:rPr>
        </w:r>
        <w:r w:rsidR="00397D49">
          <w:rPr>
            <w:noProof/>
            <w:webHidden/>
          </w:rPr>
          <w:fldChar w:fldCharType="separate"/>
        </w:r>
        <w:r w:rsidR="00397D49">
          <w:rPr>
            <w:noProof/>
            <w:webHidden/>
          </w:rPr>
          <w:t>62</w:t>
        </w:r>
        <w:r w:rsidR="00397D49">
          <w:rPr>
            <w:noProof/>
            <w:webHidden/>
          </w:rPr>
          <w:fldChar w:fldCharType="end"/>
        </w:r>
      </w:hyperlink>
    </w:p>
    <w:p w14:paraId="1E73B4F6" w14:textId="6FB628A9" w:rsidR="00397D49" w:rsidRDefault="006924B0" w:rsidP="00503351">
      <w:pPr>
        <w:pStyle w:val="TOC1"/>
        <w:rPr>
          <w:rFonts w:eastAsiaTheme="minorEastAsia"/>
          <w:noProof/>
          <w:color w:val="auto"/>
          <w:kern w:val="2"/>
          <w:sz w:val="22"/>
          <w:lang w:eastAsia="en-GB"/>
          <w14:ligatures w14:val="standardContextual"/>
        </w:rPr>
      </w:pPr>
      <w:hyperlink w:anchor="_Toc151549886" w:history="1">
        <w:r w:rsidR="00397D49" w:rsidRPr="00D75DC5">
          <w:rPr>
            <w:rStyle w:val="Hyperlink"/>
            <w:noProof/>
          </w:rPr>
          <w:t>Year 2 impact evaluation</w:t>
        </w:r>
        <w:r w:rsidR="00397D49">
          <w:rPr>
            <w:noProof/>
            <w:webHidden/>
          </w:rPr>
          <w:tab/>
        </w:r>
        <w:r w:rsidR="00397D49">
          <w:rPr>
            <w:noProof/>
            <w:webHidden/>
          </w:rPr>
          <w:fldChar w:fldCharType="begin"/>
        </w:r>
        <w:r w:rsidR="00397D49">
          <w:rPr>
            <w:noProof/>
            <w:webHidden/>
          </w:rPr>
          <w:instrText xml:space="preserve"> PAGEREF _Toc151549886 \h </w:instrText>
        </w:r>
        <w:r w:rsidR="00397D49">
          <w:rPr>
            <w:noProof/>
            <w:webHidden/>
          </w:rPr>
        </w:r>
        <w:r w:rsidR="00397D49">
          <w:rPr>
            <w:noProof/>
            <w:webHidden/>
          </w:rPr>
          <w:fldChar w:fldCharType="separate"/>
        </w:r>
        <w:r w:rsidR="00397D49">
          <w:rPr>
            <w:noProof/>
            <w:webHidden/>
          </w:rPr>
          <w:t>66</w:t>
        </w:r>
        <w:r w:rsidR="00397D49">
          <w:rPr>
            <w:noProof/>
            <w:webHidden/>
          </w:rPr>
          <w:fldChar w:fldCharType="end"/>
        </w:r>
      </w:hyperlink>
    </w:p>
    <w:p w14:paraId="57F20E05" w14:textId="2FECC568" w:rsidR="00397D49" w:rsidRDefault="006924B0">
      <w:pPr>
        <w:pStyle w:val="TOC2"/>
        <w:rPr>
          <w:rFonts w:eastAsiaTheme="minorEastAsia"/>
          <w:noProof/>
          <w:color w:val="auto"/>
          <w:kern w:val="2"/>
          <w:sz w:val="22"/>
          <w:lang w:eastAsia="en-GB"/>
          <w14:ligatures w14:val="standardContextual"/>
        </w:rPr>
      </w:pPr>
      <w:hyperlink w:anchor="_Toc151549887" w:history="1">
        <w:r w:rsidR="00397D49" w:rsidRPr="00D75DC5">
          <w:rPr>
            <w:rStyle w:val="Hyperlink"/>
            <w:noProof/>
          </w:rPr>
          <w:t>Introduction</w:t>
        </w:r>
        <w:r w:rsidR="00397D49">
          <w:rPr>
            <w:noProof/>
            <w:webHidden/>
          </w:rPr>
          <w:tab/>
        </w:r>
        <w:r w:rsidR="00397D49">
          <w:rPr>
            <w:noProof/>
            <w:webHidden/>
          </w:rPr>
          <w:fldChar w:fldCharType="begin"/>
        </w:r>
        <w:r w:rsidR="00397D49">
          <w:rPr>
            <w:noProof/>
            <w:webHidden/>
          </w:rPr>
          <w:instrText xml:space="preserve"> PAGEREF _Toc151549887 \h </w:instrText>
        </w:r>
        <w:r w:rsidR="00397D49">
          <w:rPr>
            <w:noProof/>
            <w:webHidden/>
          </w:rPr>
        </w:r>
        <w:r w:rsidR="00397D49">
          <w:rPr>
            <w:noProof/>
            <w:webHidden/>
          </w:rPr>
          <w:fldChar w:fldCharType="separate"/>
        </w:r>
        <w:r w:rsidR="00397D49">
          <w:rPr>
            <w:noProof/>
            <w:webHidden/>
          </w:rPr>
          <w:t>66</w:t>
        </w:r>
        <w:r w:rsidR="00397D49">
          <w:rPr>
            <w:noProof/>
            <w:webHidden/>
          </w:rPr>
          <w:fldChar w:fldCharType="end"/>
        </w:r>
      </w:hyperlink>
    </w:p>
    <w:p w14:paraId="7C10A8AF" w14:textId="11C9F94C" w:rsidR="00397D49" w:rsidRDefault="006924B0">
      <w:pPr>
        <w:pStyle w:val="TOC2"/>
        <w:rPr>
          <w:rFonts w:eastAsiaTheme="minorEastAsia"/>
          <w:noProof/>
          <w:color w:val="auto"/>
          <w:kern w:val="2"/>
          <w:sz w:val="22"/>
          <w:lang w:eastAsia="en-GB"/>
          <w14:ligatures w14:val="standardContextual"/>
        </w:rPr>
      </w:pPr>
      <w:hyperlink w:anchor="_Toc151549888" w:history="1">
        <w:r w:rsidR="00397D49" w:rsidRPr="00D75DC5">
          <w:rPr>
            <w:rStyle w:val="Hyperlink"/>
            <w:noProof/>
          </w:rPr>
          <w:t>Impact on business survival</w:t>
        </w:r>
        <w:r w:rsidR="00397D49">
          <w:rPr>
            <w:noProof/>
            <w:webHidden/>
          </w:rPr>
          <w:tab/>
        </w:r>
        <w:r w:rsidR="00397D49">
          <w:rPr>
            <w:noProof/>
            <w:webHidden/>
          </w:rPr>
          <w:fldChar w:fldCharType="begin"/>
        </w:r>
        <w:r w:rsidR="00397D49">
          <w:rPr>
            <w:noProof/>
            <w:webHidden/>
          </w:rPr>
          <w:instrText xml:space="preserve"> PAGEREF _Toc151549888 \h </w:instrText>
        </w:r>
        <w:r w:rsidR="00397D49">
          <w:rPr>
            <w:noProof/>
            <w:webHidden/>
          </w:rPr>
        </w:r>
        <w:r w:rsidR="00397D49">
          <w:rPr>
            <w:noProof/>
            <w:webHidden/>
          </w:rPr>
          <w:fldChar w:fldCharType="separate"/>
        </w:r>
        <w:r w:rsidR="00397D49">
          <w:rPr>
            <w:noProof/>
            <w:webHidden/>
          </w:rPr>
          <w:t>68</w:t>
        </w:r>
        <w:r w:rsidR="00397D49">
          <w:rPr>
            <w:noProof/>
            <w:webHidden/>
          </w:rPr>
          <w:fldChar w:fldCharType="end"/>
        </w:r>
      </w:hyperlink>
    </w:p>
    <w:p w14:paraId="26243DBB" w14:textId="6202D565" w:rsidR="00397D49" w:rsidRDefault="006924B0">
      <w:pPr>
        <w:pStyle w:val="TOC2"/>
        <w:rPr>
          <w:rFonts w:eastAsiaTheme="minorEastAsia"/>
          <w:noProof/>
          <w:color w:val="auto"/>
          <w:kern w:val="2"/>
          <w:sz w:val="22"/>
          <w:lang w:eastAsia="en-GB"/>
          <w14:ligatures w14:val="standardContextual"/>
        </w:rPr>
      </w:pPr>
      <w:hyperlink w:anchor="_Toc151549889" w:history="1">
        <w:r w:rsidR="00397D49" w:rsidRPr="00D75DC5">
          <w:rPr>
            <w:rStyle w:val="Hyperlink"/>
            <w:noProof/>
          </w:rPr>
          <w:t>Impact on turnover and employment</w:t>
        </w:r>
        <w:r w:rsidR="00397D49">
          <w:rPr>
            <w:noProof/>
            <w:webHidden/>
          </w:rPr>
          <w:tab/>
        </w:r>
        <w:r w:rsidR="00397D49">
          <w:rPr>
            <w:noProof/>
            <w:webHidden/>
          </w:rPr>
          <w:fldChar w:fldCharType="begin"/>
        </w:r>
        <w:r w:rsidR="00397D49">
          <w:rPr>
            <w:noProof/>
            <w:webHidden/>
          </w:rPr>
          <w:instrText xml:space="preserve"> PAGEREF _Toc151549889 \h </w:instrText>
        </w:r>
        <w:r w:rsidR="00397D49">
          <w:rPr>
            <w:noProof/>
            <w:webHidden/>
          </w:rPr>
        </w:r>
        <w:r w:rsidR="00397D49">
          <w:rPr>
            <w:noProof/>
            <w:webHidden/>
          </w:rPr>
          <w:fldChar w:fldCharType="separate"/>
        </w:r>
        <w:r w:rsidR="00397D49">
          <w:rPr>
            <w:noProof/>
            <w:webHidden/>
          </w:rPr>
          <w:t>74</w:t>
        </w:r>
        <w:r w:rsidR="00397D49">
          <w:rPr>
            <w:noProof/>
            <w:webHidden/>
          </w:rPr>
          <w:fldChar w:fldCharType="end"/>
        </w:r>
      </w:hyperlink>
    </w:p>
    <w:p w14:paraId="57610806" w14:textId="14BA7EB9" w:rsidR="00397D49" w:rsidRDefault="006924B0">
      <w:pPr>
        <w:pStyle w:val="TOC2"/>
        <w:rPr>
          <w:rFonts w:eastAsiaTheme="minorEastAsia"/>
          <w:noProof/>
          <w:color w:val="auto"/>
          <w:kern w:val="2"/>
          <w:sz w:val="22"/>
          <w:lang w:eastAsia="en-GB"/>
          <w14:ligatures w14:val="standardContextual"/>
        </w:rPr>
      </w:pPr>
      <w:hyperlink w:anchor="_Toc151549890" w:history="1">
        <w:r w:rsidR="00397D49" w:rsidRPr="00D75DC5">
          <w:rPr>
            <w:rStyle w:val="Hyperlink"/>
            <w:noProof/>
          </w:rPr>
          <w:t>Wider impacts</w:t>
        </w:r>
        <w:r w:rsidR="00397D49">
          <w:rPr>
            <w:noProof/>
            <w:webHidden/>
          </w:rPr>
          <w:tab/>
        </w:r>
        <w:r w:rsidR="00397D49">
          <w:rPr>
            <w:noProof/>
            <w:webHidden/>
          </w:rPr>
          <w:fldChar w:fldCharType="begin"/>
        </w:r>
        <w:r w:rsidR="00397D49">
          <w:rPr>
            <w:noProof/>
            <w:webHidden/>
          </w:rPr>
          <w:instrText xml:space="preserve"> PAGEREF _Toc151549890 \h </w:instrText>
        </w:r>
        <w:r w:rsidR="00397D49">
          <w:rPr>
            <w:noProof/>
            <w:webHidden/>
          </w:rPr>
        </w:r>
        <w:r w:rsidR="00397D49">
          <w:rPr>
            <w:noProof/>
            <w:webHidden/>
          </w:rPr>
          <w:fldChar w:fldCharType="separate"/>
        </w:r>
        <w:r w:rsidR="00397D49">
          <w:rPr>
            <w:noProof/>
            <w:webHidden/>
          </w:rPr>
          <w:t>79</w:t>
        </w:r>
        <w:r w:rsidR="00397D49">
          <w:rPr>
            <w:noProof/>
            <w:webHidden/>
          </w:rPr>
          <w:fldChar w:fldCharType="end"/>
        </w:r>
      </w:hyperlink>
    </w:p>
    <w:p w14:paraId="407DA6E5" w14:textId="73C96D48" w:rsidR="00397D49" w:rsidRDefault="006924B0" w:rsidP="00503351">
      <w:pPr>
        <w:pStyle w:val="TOC1"/>
        <w:rPr>
          <w:rFonts w:eastAsiaTheme="minorEastAsia"/>
          <w:noProof/>
          <w:color w:val="auto"/>
          <w:kern w:val="2"/>
          <w:sz w:val="22"/>
          <w:lang w:eastAsia="en-GB"/>
          <w14:ligatures w14:val="standardContextual"/>
        </w:rPr>
      </w:pPr>
      <w:hyperlink w:anchor="_Toc151549891" w:history="1">
        <w:r w:rsidR="00397D49" w:rsidRPr="00D75DC5">
          <w:rPr>
            <w:rStyle w:val="Hyperlink"/>
            <w:noProof/>
          </w:rPr>
          <w:t>Secondary analysis of early impact evaluation</w:t>
        </w:r>
        <w:r w:rsidR="00397D49">
          <w:rPr>
            <w:noProof/>
            <w:webHidden/>
          </w:rPr>
          <w:tab/>
        </w:r>
        <w:r w:rsidR="00397D49">
          <w:rPr>
            <w:noProof/>
            <w:webHidden/>
          </w:rPr>
          <w:fldChar w:fldCharType="begin"/>
        </w:r>
        <w:r w:rsidR="00397D49">
          <w:rPr>
            <w:noProof/>
            <w:webHidden/>
          </w:rPr>
          <w:instrText xml:space="preserve"> PAGEREF _Toc151549891 \h </w:instrText>
        </w:r>
        <w:r w:rsidR="00397D49">
          <w:rPr>
            <w:noProof/>
            <w:webHidden/>
          </w:rPr>
        </w:r>
        <w:r w:rsidR="00397D49">
          <w:rPr>
            <w:noProof/>
            <w:webHidden/>
          </w:rPr>
          <w:fldChar w:fldCharType="separate"/>
        </w:r>
        <w:r w:rsidR="00397D49">
          <w:rPr>
            <w:noProof/>
            <w:webHidden/>
          </w:rPr>
          <w:t>82</w:t>
        </w:r>
        <w:r w:rsidR="00397D49">
          <w:rPr>
            <w:noProof/>
            <w:webHidden/>
          </w:rPr>
          <w:fldChar w:fldCharType="end"/>
        </w:r>
      </w:hyperlink>
    </w:p>
    <w:p w14:paraId="2F787B6E" w14:textId="6B2CBFD2" w:rsidR="00397D49" w:rsidRDefault="006924B0">
      <w:pPr>
        <w:pStyle w:val="TOC2"/>
        <w:rPr>
          <w:rFonts w:eastAsiaTheme="minorEastAsia"/>
          <w:noProof/>
          <w:color w:val="auto"/>
          <w:kern w:val="2"/>
          <w:sz w:val="22"/>
          <w:lang w:eastAsia="en-GB"/>
          <w14:ligatures w14:val="standardContextual"/>
        </w:rPr>
      </w:pPr>
      <w:hyperlink w:anchor="_Toc151549892" w:history="1">
        <w:r w:rsidR="00397D49" w:rsidRPr="00D75DC5">
          <w:rPr>
            <w:rStyle w:val="Hyperlink"/>
            <w:noProof/>
          </w:rPr>
          <w:t>Introduction</w:t>
        </w:r>
        <w:r w:rsidR="00397D49">
          <w:rPr>
            <w:noProof/>
            <w:webHidden/>
          </w:rPr>
          <w:tab/>
        </w:r>
        <w:r w:rsidR="00397D49">
          <w:rPr>
            <w:noProof/>
            <w:webHidden/>
          </w:rPr>
          <w:fldChar w:fldCharType="begin"/>
        </w:r>
        <w:r w:rsidR="00397D49">
          <w:rPr>
            <w:noProof/>
            <w:webHidden/>
          </w:rPr>
          <w:instrText xml:space="preserve"> PAGEREF _Toc151549892 \h </w:instrText>
        </w:r>
        <w:r w:rsidR="00397D49">
          <w:rPr>
            <w:noProof/>
            <w:webHidden/>
          </w:rPr>
        </w:r>
        <w:r w:rsidR="00397D49">
          <w:rPr>
            <w:noProof/>
            <w:webHidden/>
          </w:rPr>
          <w:fldChar w:fldCharType="separate"/>
        </w:r>
        <w:r w:rsidR="00397D49">
          <w:rPr>
            <w:noProof/>
            <w:webHidden/>
          </w:rPr>
          <w:t>82</w:t>
        </w:r>
        <w:r w:rsidR="00397D49">
          <w:rPr>
            <w:noProof/>
            <w:webHidden/>
          </w:rPr>
          <w:fldChar w:fldCharType="end"/>
        </w:r>
      </w:hyperlink>
    </w:p>
    <w:p w14:paraId="3C23F571" w14:textId="421CFB0A" w:rsidR="00397D49" w:rsidRDefault="006924B0">
      <w:pPr>
        <w:pStyle w:val="TOC2"/>
        <w:rPr>
          <w:rFonts w:eastAsiaTheme="minorEastAsia"/>
          <w:noProof/>
          <w:color w:val="auto"/>
          <w:kern w:val="2"/>
          <w:sz w:val="22"/>
          <w:lang w:eastAsia="en-GB"/>
          <w14:ligatures w14:val="standardContextual"/>
        </w:rPr>
      </w:pPr>
      <w:hyperlink w:anchor="_Toc151549893" w:history="1">
        <w:r w:rsidR="00397D49" w:rsidRPr="00D75DC5">
          <w:rPr>
            <w:rStyle w:val="Hyperlink"/>
            <w:noProof/>
          </w:rPr>
          <w:t>Impact on business survival</w:t>
        </w:r>
        <w:r w:rsidR="00397D49">
          <w:rPr>
            <w:noProof/>
            <w:webHidden/>
          </w:rPr>
          <w:tab/>
        </w:r>
        <w:r w:rsidR="00397D49">
          <w:rPr>
            <w:noProof/>
            <w:webHidden/>
          </w:rPr>
          <w:fldChar w:fldCharType="begin"/>
        </w:r>
        <w:r w:rsidR="00397D49">
          <w:rPr>
            <w:noProof/>
            <w:webHidden/>
          </w:rPr>
          <w:instrText xml:space="preserve"> PAGEREF _Toc151549893 \h </w:instrText>
        </w:r>
        <w:r w:rsidR="00397D49">
          <w:rPr>
            <w:noProof/>
            <w:webHidden/>
          </w:rPr>
        </w:r>
        <w:r w:rsidR="00397D49">
          <w:rPr>
            <w:noProof/>
            <w:webHidden/>
          </w:rPr>
          <w:fldChar w:fldCharType="separate"/>
        </w:r>
        <w:r w:rsidR="00397D49">
          <w:rPr>
            <w:noProof/>
            <w:webHidden/>
          </w:rPr>
          <w:t>83</w:t>
        </w:r>
        <w:r w:rsidR="00397D49">
          <w:rPr>
            <w:noProof/>
            <w:webHidden/>
          </w:rPr>
          <w:fldChar w:fldCharType="end"/>
        </w:r>
      </w:hyperlink>
    </w:p>
    <w:p w14:paraId="4A8BB8A8" w14:textId="219E9286" w:rsidR="00397D49" w:rsidRDefault="006924B0">
      <w:pPr>
        <w:pStyle w:val="TOC2"/>
        <w:rPr>
          <w:rFonts w:eastAsiaTheme="minorEastAsia"/>
          <w:noProof/>
          <w:color w:val="auto"/>
          <w:kern w:val="2"/>
          <w:sz w:val="22"/>
          <w:lang w:eastAsia="en-GB"/>
          <w14:ligatures w14:val="standardContextual"/>
        </w:rPr>
      </w:pPr>
      <w:hyperlink w:anchor="_Toc151549894" w:history="1">
        <w:r w:rsidR="00397D49" w:rsidRPr="00D75DC5">
          <w:rPr>
            <w:rStyle w:val="Hyperlink"/>
            <w:noProof/>
          </w:rPr>
          <w:t>Impact on turnover and employment</w:t>
        </w:r>
        <w:r w:rsidR="00397D49">
          <w:rPr>
            <w:noProof/>
            <w:webHidden/>
          </w:rPr>
          <w:tab/>
        </w:r>
        <w:r w:rsidR="00397D49">
          <w:rPr>
            <w:noProof/>
            <w:webHidden/>
          </w:rPr>
          <w:fldChar w:fldCharType="begin"/>
        </w:r>
        <w:r w:rsidR="00397D49">
          <w:rPr>
            <w:noProof/>
            <w:webHidden/>
          </w:rPr>
          <w:instrText xml:space="preserve"> PAGEREF _Toc151549894 \h </w:instrText>
        </w:r>
        <w:r w:rsidR="00397D49">
          <w:rPr>
            <w:noProof/>
            <w:webHidden/>
          </w:rPr>
        </w:r>
        <w:r w:rsidR="00397D49">
          <w:rPr>
            <w:noProof/>
            <w:webHidden/>
          </w:rPr>
          <w:fldChar w:fldCharType="separate"/>
        </w:r>
        <w:r w:rsidR="00397D49">
          <w:rPr>
            <w:noProof/>
            <w:webHidden/>
          </w:rPr>
          <w:t>88</w:t>
        </w:r>
        <w:r w:rsidR="00397D49">
          <w:rPr>
            <w:noProof/>
            <w:webHidden/>
          </w:rPr>
          <w:fldChar w:fldCharType="end"/>
        </w:r>
      </w:hyperlink>
    </w:p>
    <w:p w14:paraId="6D37DF3E" w14:textId="38FBD9F2" w:rsidR="00397D49" w:rsidRDefault="006924B0">
      <w:pPr>
        <w:pStyle w:val="TOC2"/>
        <w:rPr>
          <w:rFonts w:eastAsiaTheme="minorEastAsia"/>
          <w:noProof/>
          <w:color w:val="auto"/>
          <w:kern w:val="2"/>
          <w:sz w:val="22"/>
          <w:lang w:eastAsia="en-GB"/>
          <w14:ligatures w14:val="standardContextual"/>
        </w:rPr>
      </w:pPr>
      <w:hyperlink w:anchor="_Toc151549895" w:history="1">
        <w:r w:rsidR="00397D49" w:rsidRPr="00D75DC5">
          <w:rPr>
            <w:rStyle w:val="Hyperlink"/>
            <w:noProof/>
          </w:rPr>
          <w:t>Product market displacement</w:t>
        </w:r>
        <w:r w:rsidR="00397D49">
          <w:rPr>
            <w:noProof/>
            <w:webHidden/>
          </w:rPr>
          <w:tab/>
        </w:r>
        <w:r w:rsidR="00397D49">
          <w:rPr>
            <w:noProof/>
            <w:webHidden/>
          </w:rPr>
          <w:fldChar w:fldCharType="begin"/>
        </w:r>
        <w:r w:rsidR="00397D49">
          <w:rPr>
            <w:noProof/>
            <w:webHidden/>
          </w:rPr>
          <w:instrText xml:space="preserve"> PAGEREF _Toc151549895 \h </w:instrText>
        </w:r>
        <w:r w:rsidR="00397D49">
          <w:rPr>
            <w:noProof/>
            <w:webHidden/>
          </w:rPr>
        </w:r>
        <w:r w:rsidR="00397D49">
          <w:rPr>
            <w:noProof/>
            <w:webHidden/>
          </w:rPr>
          <w:fldChar w:fldCharType="separate"/>
        </w:r>
        <w:r w:rsidR="00397D49">
          <w:rPr>
            <w:noProof/>
            <w:webHidden/>
          </w:rPr>
          <w:t>99</w:t>
        </w:r>
        <w:r w:rsidR="00397D49">
          <w:rPr>
            <w:noProof/>
            <w:webHidden/>
          </w:rPr>
          <w:fldChar w:fldCharType="end"/>
        </w:r>
      </w:hyperlink>
    </w:p>
    <w:p w14:paraId="137C420A" w14:textId="58F436C9" w:rsidR="00397D49" w:rsidRDefault="006924B0">
      <w:pPr>
        <w:pStyle w:val="TOC2"/>
        <w:rPr>
          <w:rFonts w:eastAsiaTheme="minorEastAsia"/>
          <w:noProof/>
          <w:color w:val="auto"/>
          <w:kern w:val="2"/>
          <w:sz w:val="22"/>
          <w:lang w:eastAsia="en-GB"/>
          <w14:ligatures w14:val="standardContextual"/>
        </w:rPr>
      </w:pPr>
      <w:hyperlink w:anchor="_Toc151549896" w:history="1">
        <w:r w:rsidR="00397D49" w:rsidRPr="00D75DC5">
          <w:rPr>
            <w:rStyle w:val="Hyperlink"/>
            <w:noProof/>
          </w:rPr>
          <w:t>Business Insights and Conditions Survey</w:t>
        </w:r>
        <w:r w:rsidR="00397D49">
          <w:rPr>
            <w:noProof/>
            <w:webHidden/>
          </w:rPr>
          <w:tab/>
        </w:r>
        <w:r w:rsidR="00397D49">
          <w:rPr>
            <w:noProof/>
            <w:webHidden/>
          </w:rPr>
          <w:fldChar w:fldCharType="begin"/>
        </w:r>
        <w:r w:rsidR="00397D49">
          <w:rPr>
            <w:noProof/>
            <w:webHidden/>
          </w:rPr>
          <w:instrText xml:space="preserve"> PAGEREF _Toc151549896 \h </w:instrText>
        </w:r>
        <w:r w:rsidR="00397D49">
          <w:rPr>
            <w:noProof/>
            <w:webHidden/>
          </w:rPr>
        </w:r>
        <w:r w:rsidR="00397D49">
          <w:rPr>
            <w:noProof/>
            <w:webHidden/>
          </w:rPr>
          <w:fldChar w:fldCharType="separate"/>
        </w:r>
        <w:r w:rsidR="00397D49">
          <w:rPr>
            <w:noProof/>
            <w:webHidden/>
          </w:rPr>
          <w:t>102</w:t>
        </w:r>
        <w:r w:rsidR="00397D49">
          <w:rPr>
            <w:noProof/>
            <w:webHidden/>
          </w:rPr>
          <w:fldChar w:fldCharType="end"/>
        </w:r>
      </w:hyperlink>
    </w:p>
    <w:p w14:paraId="20FE3E7E" w14:textId="4ACB69D9" w:rsidR="00397D49" w:rsidRDefault="006924B0" w:rsidP="00503351">
      <w:pPr>
        <w:pStyle w:val="TOC1"/>
        <w:rPr>
          <w:rFonts w:eastAsiaTheme="minorEastAsia"/>
          <w:noProof/>
          <w:color w:val="auto"/>
          <w:kern w:val="2"/>
          <w:sz w:val="22"/>
          <w:lang w:eastAsia="en-GB"/>
          <w14:ligatures w14:val="standardContextual"/>
        </w:rPr>
      </w:pPr>
      <w:hyperlink w:anchor="_Toc151549897" w:history="1">
        <w:r w:rsidR="00397D49" w:rsidRPr="00D75DC5">
          <w:rPr>
            <w:rStyle w:val="Hyperlink"/>
            <w:noProof/>
          </w:rPr>
          <w:t>Annex 1 – Process Evaluation Framework</w:t>
        </w:r>
        <w:r w:rsidR="00397D49">
          <w:rPr>
            <w:noProof/>
            <w:webHidden/>
          </w:rPr>
          <w:tab/>
        </w:r>
        <w:r w:rsidR="00397D49">
          <w:rPr>
            <w:noProof/>
            <w:webHidden/>
          </w:rPr>
          <w:fldChar w:fldCharType="begin"/>
        </w:r>
        <w:r w:rsidR="00397D49">
          <w:rPr>
            <w:noProof/>
            <w:webHidden/>
          </w:rPr>
          <w:instrText xml:space="preserve"> PAGEREF _Toc151549897 \h </w:instrText>
        </w:r>
        <w:r w:rsidR="00397D49">
          <w:rPr>
            <w:noProof/>
            <w:webHidden/>
          </w:rPr>
        </w:r>
        <w:r w:rsidR="00397D49">
          <w:rPr>
            <w:noProof/>
            <w:webHidden/>
          </w:rPr>
          <w:fldChar w:fldCharType="separate"/>
        </w:r>
        <w:r w:rsidR="00397D49">
          <w:rPr>
            <w:noProof/>
            <w:webHidden/>
          </w:rPr>
          <w:t>118</w:t>
        </w:r>
        <w:r w:rsidR="00397D49">
          <w:rPr>
            <w:noProof/>
            <w:webHidden/>
          </w:rPr>
          <w:fldChar w:fldCharType="end"/>
        </w:r>
      </w:hyperlink>
    </w:p>
    <w:p w14:paraId="54B03ED7" w14:textId="756E1C88" w:rsidR="00397D49" w:rsidRDefault="006924B0" w:rsidP="00503351">
      <w:pPr>
        <w:pStyle w:val="TOC1"/>
        <w:rPr>
          <w:rFonts w:eastAsiaTheme="minorEastAsia"/>
          <w:noProof/>
          <w:color w:val="auto"/>
          <w:kern w:val="2"/>
          <w:sz w:val="22"/>
          <w:lang w:eastAsia="en-GB"/>
          <w14:ligatures w14:val="standardContextual"/>
        </w:rPr>
      </w:pPr>
      <w:hyperlink w:anchor="_Toc151549898" w:history="1">
        <w:r w:rsidR="00397D49" w:rsidRPr="00D75DC5">
          <w:rPr>
            <w:rStyle w:val="Hyperlink"/>
            <w:noProof/>
          </w:rPr>
          <w:t>Annex 2 – Quantitative survey</w:t>
        </w:r>
        <w:r w:rsidR="00397D49">
          <w:rPr>
            <w:noProof/>
            <w:webHidden/>
          </w:rPr>
          <w:tab/>
        </w:r>
        <w:r w:rsidR="00397D49">
          <w:rPr>
            <w:noProof/>
            <w:webHidden/>
          </w:rPr>
          <w:fldChar w:fldCharType="begin"/>
        </w:r>
        <w:r w:rsidR="00397D49">
          <w:rPr>
            <w:noProof/>
            <w:webHidden/>
          </w:rPr>
          <w:instrText xml:space="preserve"> PAGEREF _Toc151549898 \h </w:instrText>
        </w:r>
        <w:r w:rsidR="00397D49">
          <w:rPr>
            <w:noProof/>
            <w:webHidden/>
          </w:rPr>
        </w:r>
        <w:r w:rsidR="00397D49">
          <w:rPr>
            <w:noProof/>
            <w:webHidden/>
          </w:rPr>
          <w:fldChar w:fldCharType="separate"/>
        </w:r>
        <w:r w:rsidR="00397D49">
          <w:rPr>
            <w:noProof/>
            <w:webHidden/>
          </w:rPr>
          <w:t>125</w:t>
        </w:r>
        <w:r w:rsidR="00397D49">
          <w:rPr>
            <w:noProof/>
            <w:webHidden/>
          </w:rPr>
          <w:fldChar w:fldCharType="end"/>
        </w:r>
      </w:hyperlink>
    </w:p>
    <w:p w14:paraId="08679A7F" w14:textId="4A0D0AF9" w:rsidR="00397D49" w:rsidRDefault="006924B0">
      <w:pPr>
        <w:pStyle w:val="TOC2"/>
        <w:rPr>
          <w:rFonts w:eastAsiaTheme="minorEastAsia"/>
          <w:noProof/>
          <w:color w:val="auto"/>
          <w:kern w:val="2"/>
          <w:sz w:val="22"/>
          <w:lang w:eastAsia="en-GB"/>
          <w14:ligatures w14:val="standardContextual"/>
        </w:rPr>
      </w:pPr>
      <w:hyperlink w:anchor="_Toc151549899" w:history="1">
        <w:r w:rsidR="00397D49" w:rsidRPr="00D75DC5">
          <w:rPr>
            <w:rStyle w:val="Hyperlink"/>
            <w:noProof/>
          </w:rPr>
          <w:t>Summary of methodology</w:t>
        </w:r>
        <w:r w:rsidR="00397D49">
          <w:rPr>
            <w:noProof/>
            <w:webHidden/>
          </w:rPr>
          <w:tab/>
        </w:r>
        <w:r w:rsidR="00397D49">
          <w:rPr>
            <w:noProof/>
            <w:webHidden/>
          </w:rPr>
          <w:fldChar w:fldCharType="begin"/>
        </w:r>
        <w:r w:rsidR="00397D49">
          <w:rPr>
            <w:noProof/>
            <w:webHidden/>
          </w:rPr>
          <w:instrText xml:space="preserve"> PAGEREF _Toc151549899 \h </w:instrText>
        </w:r>
        <w:r w:rsidR="00397D49">
          <w:rPr>
            <w:noProof/>
            <w:webHidden/>
          </w:rPr>
        </w:r>
        <w:r w:rsidR="00397D49">
          <w:rPr>
            <w:noProof/>
            <w:webHidden/>
          </w:rPr>
          <w:fldChar w:fldCharType="separate"/>
        </w:r>
        <w:r w:rsidR="00397D49">
          <w:rPr>
            <w:noProof/>
            <w:webHidden/>
          </w:rPr>
          <w:t>125</w:t>
        </w:r>
        <w:r w:rsidR="00397D49">
          <w:rPr>
            <w:noProof/>
            <w:webHidden/>
          </w:rPr>
          <w:fldChar w:fldCharType="end"/>
        </w:r>
      </w:hyperlink>
    </w:p>
    <w:p w14:paraId="099EAC31" w14:textId="2B5CD810" w:rsidR="00397D49" w:rsidRDefault="006924B0">
      <w:pPr>
        <w:pStyle w:val="TOC2"/>
        <w:rPr>
          <w:rFonts w:eastAsiaTheme="minorEastAsia"/>
          <w:noProof/>
          <w:color w:val="auto"/>
          <w:kern w:val="2"/>
          <w:sz w:val="22"/>
          <w:lang w:eastAsia="en-GB"/>
          <w14:ligatures w14:val="standardContextual"/>
        </w:rPr>
      </w:pPr>
      <w:hyperlink w:anchor="_Toc151549900" w:history="1">
        <w:r w:rsidR="00397D49" w:rsidRPr="00D75DC5">
          <w:rPr>
            <w:rStyle w:val="Hyperlink"/>
            <w:noProof/>
          </w:rPr>
          <w:t>Data processing and weighting</w:t>
        </w:r>
        <w:r w:rsidR="00397D49">
          <w:rPr>
            <w:noProof/>
            <w:webHidden/>
          </w:rPr>
          <w:tab/>
        </w:r>
        <w:r w:rsidR="00397D49">
          <w:rPr>
            <w:noProof/>
            <w:webHidden/>
          </w:rPr>
          <w:fldChar w:fldCharType="begin"/>
        </w:r>
        <w:r w:rsidR="00397D49">
          <w:rPr>
            <w:noProof/>
            <w:webHidden/>
          </w:rPr>
          <w:instrText xml:space="preserve"> PAGEREF _Toc151549900 \h </w:instrText>
        </w:r>
        <w:r w:rsidR="00397D49">
          <w:rPr>
            <w:noProof/>
            <w:webHidden/>
          </w:rPr>
        </w:r>
        <w:r w:rsidR="00397D49">
          <w:rPr>
            <w:noProof/>
            <w:webHidden/>
          </w:rPr>
          <w:fldChar w:fldCharType="separate"/>
        </w:r>
        <w:r w:rsidR="00397D49">
          <w:rPr>
            <w:noProof/>
            <w:webHidden/>
          </w:rPr>
          <w:t>132</w:t>
        </w:r>
        <w:r w:rsidR="00397D49">
          <w:rPr>
            <w:noProof/>
            <w:webHidden/>
          </w:rPr>
          <w:fldChar w:fldCharType="end"/>
        </w:r>
      </w:hyperlink>
    </w:p>
    <w:p w14:paraId="2740942B" w14:textId="72A6907E" w:rsidR="00397D49" w:rsidRDefault="006924B0">
      <w:pPr>
        <w:pStyle w:val="TOC2"/>
        <w:rPr>
          <w:rFonts w:eastAsiaTheme="minorEastAsia"/>
          <w:noProof/>
          <w:color w:val="auto"/>
          <w:kern w:val="2"/>
          <w:sz w:val="22"/>
          <w:lang w:eastAsia="en-GB"/>
          <w14:ligatures w14:val="standardContextual"/>
        </w:rPr>
      </w:pPr>
      <w:hyperlink w:anchor="_Toc151549901" w:history="1">
        <w:r w:rsidR="00397D49" w:rsidRPr="00D75DC5">
          <w:rPr>
            <w:rStyle w:val="Hyperlink"/>
            <w:noProof/>
          </w:rPr>
          <w:t>Questionnaire</w:t>
        </w:r>
        <w:r w:rsidR="00397D49">
          <w:rPr>
            <w:noProof/>
            <w:webHidden/>
          </w:rPr>
          <w:tab/>
        </w:r>
        <w:r w:rsidR="00397D49">
          <w:rPr>
            <w:noProof/>
            <w:webHidden/>
          </w:rPr>
          <w:fldChar w:fldCharType="begin"/>
        </w:r>
        <w:r w:rsidR="00397D49">
          <w:rPr>
            <w:noProof/>
            <w:webHidden/>
          </w:rPr>
          <w:instrText xml:space="preserve"> PAGEREF _Toc151549901 \h </w:instrText>
        </w:r>
        <w:r w:rsidR="00397D49">
          <w:rPr>
            <w:noProof/>
            <w:webHidden/>
          </w:rPr>
        </w:r>
        <w:r w:rsidR="00397D49">
          <w:rPr>
            <w:noProof/>
            <w:webHidden/>
          </w:rPr>
          <w:fldChar w:fldCharType="separate"/>
        </w:r>
        <w:r w:rsidR="00397D49">
          <w:rPr>
            <w:noProof/>
            <w:webHidden/>
          </w:rPr>
          <w:t>136</w:t>
        </w:r>
        <w:r w:rsidR="00397D49">
          <w:rPr>
            <w:noProof/>
            <w:webHidden/>
          </w:rPr>
          <w:fldChar w:fldCharType="end"/>
        </w:r>
      </w:hyperlink>
    </w:p>
    <w:p w14:paraId="7380EA38" w14:textId="1C1C2E66" w:rsidR="00397D49" w:rsidRDefault="006924B0" w:rsidP="00503351">
      <w:pPr>
        <w:pStyle w:val="TOC1"/>
        <w:rPr>
          <w:rFonts w:eastAsiaTheme="minorEastAsia"/>
          <w:noProof/>
          <w:color w:val="auto"/>
          <w:kern w:val="2"/>
          <w:sz w:val="22"/>
          <w:lang w:eastAsia="en-GB"/>
          <w14:ligatures w14:val="standardContextual"/>
        </w:rPr>
      </w:pPr>
      <w:hyperlink w:anchor="_Toc151549902" w:history="1">
        <w:r w:rsidR="00397D49" w:rsidRPr="00D75DC5">
          <w:rPr>
            <w:rStyle w:val="Hyperlink"/>
            <w:noProof/>
          </w:rPr>
          <w:t>Annex 3 – Impact Evaluation Methodology</w:t>
        </w:r>
        <w:r w:rsidR="00397D49">
          <w:rPr>
            <w:noProof/>
            <w:webHidden/>
          </w:rPr>
          <w:tab/>
        </w:r>
        <w:r w:rsidR="00397D49">
          <w:rPr>
            <w:noProof/>
            <w:webHidden/>
          </w:rPr>
          <w:fldChar w:fldCharType="begin"/>
        </w:r>
        <w:r w:rsidR="00397D49">
          <w:rPr>
            <w:noProof/>
            <w:webHidden/>
          </w:rPr>
          <w:instrText xml:space="preserve"> PAGEREF _Toc151549902 \h </w:instrText>
        </w:r>
        <w:r w:rsidR="00397D49">
          <w:rPr>
            <w:noProof/>
            <w:webHidden/>
          </w:rPr>
        </w:r>
        <w:r w:rsidR="00397D49">
          <w:rPr>
            <w:noProof/>
            <w:webHidden/>
          </w:rPr>
          <w:fldChar w:fldCharType="separate"/>
        </w:r>
        <w:r w:rsidR="00397D49">
          <w:rPr>
            <w:noProof/>
            <w:webHidden/>
          </w:rPr>
          <w:t>172</w:t>
        </w:r>
        <w:r w:rsidR="00397D49">
          <w:rPr>
            <w:noProof/>
            <w:webHidden/>
          </w:rPr>
          <w:fldChar w:fldCharType="end"/>
        </w:r>
      </w:hyperlink>
    </w:p>
    <w:p w14:paraId="33A653D1" w14:textId="525EA850" w:rsidR="00397D49" w:rsidRDefault="006924B0">
      <w:pPr>
        <w:pStyle w:val="TOC2"/>
        <w:rPr>
          <w:rFonts w:eastAsiaTheme="minorEastAsia"/>
          <w:noProof/>
          <w:color w:val="auto"/>
          <w:kern w:val="2"/>
          <w:sz w:val="22"/>
          <w:lang w:eastAsia="en-GB"/>
          <w14:ligatures w14:val="standardContextual"/>
        </w:rPr>
      </w:pPr>
      <w:hyperlink w:anchor="_Toc151549903" w:history="1">
        <w:r w:rsidR="00397D49" w:rsidRPr="00D75DC5">
          <w:rPr>
            <w:rStyle w:val="Hyperlink"/>
            <w:noProof/>
          </w:rPr>
          <w:t>Analysis of business survival</w:t>
        </w:r>
        <w:r w:rsidR="00397D49">
          <w:rPr>
            <w:noProof/>
            <w:webHidden/>
          </w:rPr>
          <w:tab/>
        </w:r>
        <w:r w:rsidR="00397D49">
          <w:rPr>
            <w:noProof/>
            <w:webHidden/>
          </w:rPr>
          <w:fldChar w:fldCharType="begin"/>
        </w:r>
        <w:r w:rsidR="00397D49">
          <w:rPr>
            <w:noProof/>
            <w:webHidden/>
          </w:rPr>
          <w:instrText xml:space="preserve"> PAGEREF _Toc151549903 \h </w:instrText>
        </w:r>
        <w:r w:rsidR="00397D49">
          <w:rPr>
            <w:noProof/>
            <w:webHidden/>
          </w:rPr>
        </w:r>
        <w:r w:rsidR="00397D49">
          <w:rPr>
            <w:noProof/>
            <w:webHidden/>
          </w:rPr>
          <w:fldChar w:fldCharType="separate"/>
        </w:r>
        <w:r w:rsidR="00397D49">
          <w:rPr>
            <w:noProof/>
            <w:webHidden/>
          </w:rPr>
          <w:t>172</w:t>
        </w:r>
        <w:r w:rsidR="00397D49">
          <w:rPr>
            <w:noProof/>
            <w:webHidden/>
          </w:rPr>
          <w:fldChar w:fldCharType="end"/>
        </w:r>
      </w:hyperlink>
    </w:p>
    <w:p w14:paraId="0EEA3AF1" w14:textId="0A3ED960" w:rsidR="00397D49" w:rsidRDefault="006924B0">
      <w:pPr>
        <w:pStyle w:val="TOC2"/>
        <w:rPr>
          <w:rFonts w:eastAsiaTheme="minorEastAsia"/>
          <w:noProof/>
          <w:color w:val="auto"/>
          <w:kern w:val="2"/>
          <w:sz w:val="22"/>
          <w:lang w:eastAsia="en-GB"/>
          <w14:ligatures w14:val="standardContextual"/>
        </w:rPr>
      </w:pPr>
      <w:hyperlink w:anchor="_Toc151549904" w:history="1">
        <w:r w:rsidR="00397D49" w:rsidRPr="00D75DC5">
          <w:rPr>
            <w:rStyle w:val="Hyperlink"/>
            <w:noProof/>
          </w:rPr>
          <w:t>Econometrics methodology and results</w:t>
        </w:r>
        <w:r w:rsidR="00397D49">
          <w:rPr>
            <w:noProof/>
            <w:webHidden/>
          </w:rPr>
          <w:tab/>
        </w:r>
        <w:r w:rsidR="00397D49">
          <w:rPr>
            <w:noProof/>
            <w:webHidden/>
          </w:rPr>
          <w:fldChar w:fldCharType="begin"/>
        </w:r>
        <w:r w:rsidR="00397D49">
          <w:rPr>
            <w:noProof/>
            <w:webHidden/>
          </w:rPr>
          <w:instrText xml:space="preserve"> PAGEREF _Toc151549904 \h </w:instrText>
        </w:r>
        <w:r w:rsidR="00397D49">
          <w:rPr>
            <w:noProof/>
            <w:webHidden/>
          </w:rPr>
        </w:r>
        <w:r w:rsidR="00397D49">
          <w:rPr>
            <w:noProof/>
            <w:webHidden/>
          </w:rPr>
          <w:fldChar w:fldCharType="separate"/>
        </w:r>
        <w:r w:rsidR="00397D49">
          <w:rPr>
            <w:noProof/>
            <w:webHidden/>
          </w:rPr>
          <w:t>177</w:t>
        </w:r>
        <w:r w:rsidR="00397D49">
          <w:rPr>
            <w:noProof/>
            <w:webHidden/>
          </w:rPr>
          <w:fldChar w:fldCharType="end"/>
        </w:r>
      </w:hyperlink>
    </w:p>
    <w:p w14:paraId="4AE3E400" w14:textId="521329BF" w:rsidR="00397D49" w:rsidRDefault="006924B0" w:rsidP="00503351">
      <w:pPr>
        <w:pStyle w:val="TOC1"/>
        <w:rPr>
          <w:rFonts w:eastAsiaTheme="minorEastAsia"/>
          <w:noProof/>
          <w:color w:val="auto"/>
          <w:kern w:val="2"/>
          <w:sz w:val="22"/>
          <w:lang w:eastAsia="en-GB"/>
          <w14:ligatures w14:val="standardContextual"/>
        </w:rPr>
      </w:pPr>
      <w:hyperlink w:anchor="_Toc151549905" w:history="1">
        <w:r w:rsidR="00397D49" w:rsidRPr="00D75DC5">
          <w:rPr>
            <w:rStyle w:val="Hyperlink"/>
            <w:noProof/>
          </w:rPr>
          <w:t>Annex 4 – Secondary Analysis Methodology</w:t>
        </w:r>
        <w:r w:rsidR="00397D49">
          <w:rPr>
            <w:noProof/>
            <w:webHidden/>
          </w:rPr>
          <w:tab/>
        </w:r>
        <w:r w:rsidR="00397D49">
          <w:rPr>
            <w:noProof/>
            <w:webHidden/>
          </w:rPr>
          <w:fldChar w:fldCharType="begin"/>
        </w:r>
        <w:r w:rsidR="00397D49">
          <w:rPr>
            <w:noProof/>
            <w:webHidden/>
          </w:rPr>
          <w:instrText xml:space="preserve"> PAGEREF _Toc151549905 \h </w:instrText>
        </w:r>
        <w:r w:rsidR="00397D49">
          <w:rPr>
            <w:noProof/>
            <w:webHidden/>
          </w:rPr>
        </w:r>
        <w:r w:rsidR="00397D49">
          <w:rPr>
            <w:noProof/>
            <w:webHidden/>
          </w:rPr>
          <w:fldChar w:fldCharType="separate"/>
        </w:r>
        <w:r w:rsidR="00397D49">
          <w:rPr>
            <w:noProof/>
            <w:webHidden/>
          </w:rPr>
          <w:t>211</w:t>
        </w:r>
        <w:r w:rsidR="00397D49">
          <w:rPr>
            <w:noProof/>
            <w:webHidden/>
          </w:rPr>
          <w:fldChar w:fldCharType="end"/>
        </w:r>
      </w:hyperlink>
    </w:p>
    <w:p w14:paraId="23AEB389" w14:textId="4E4FEA09" w:rsidR="00397D49" w:rsidRDefault="006924B0">
      <w:pPr>
        <w:pStyle w:val="TOC2"/>
        <w:rPr>
          <w:rFonts w:eastAsiaTheme="minorEastAsia"/>
          <w:noProof/>
          <w:color w:val="auto"/>
          <w:kern w:val="2"/>
          <w:sz w:val="22"/>
          <w:lang w:eastAsia="en-GB"/>
          <w14:ligatures w14:val="standardContextual"/>
        </w:rPr>
      </w:pPr>
      <w:hyperlink w:anchor="_Toc151549906" w:history="1">
        <w:r w:rsidR="00397D49" w:rsidRPr="00D75DC5">
          <w:rPr>
            <w:rStyle w:val="Hyperlink"/>
            <w:noProof/>
          </w:rPr>
          <w:t>Analysis of business survival</w:t>
        </w:r>
        <w:r w:rsidR="00397D49">
          <w:rPr>
            <w:noProof/>
            <w:webHidden/>
          </w:rPr>
          <w:tab/>
        </w:r>
        <w:r w:rsidR="00397D49">
          <w:rPr>
            <w:noProof/>
            <w:webHidden/>
          </w:rPr>
          <w:fldChar w:fldCharType="begin"/>
        </w:r>
        <w:r w:rsidR="00397D49">
          <w:rPr>
            <w:noProof/>
            <w:webHidden/>
          </w:rPr>
          <w:instrText xml:space="preserve"> PAGEREF _Toc151549906 \h </w:instrText>
        </w:r>
        <w:r w:rsidR="00397D49">
          <w:rPr>
            <w:noProof/>
            <w:webHidden/>
          </w:rPr>
        </w:r>
        <w:r w:rsidR="00397D49">
          <w:rPr>
            <w:noProof/>
            <w:webHidden/>
          </w:rPr>
          <w:fldChar w:fldCharType="separate"/>
        </w:r>
        <w:r w:rsidR="00397D49">
          <w:rPr>
            <w:noProof/>
            <w:webHidden/>
          </w:rPr>
          <w:t>211</w:t>
        </w:r>
        <w:r w:rsidR="00397D49">
          <w:rPr>
            <w:noProof/>
            <w:webHidden/>
          </w:rPr>
          <w:fldChar w:fldCharType="end"/>
        </w:r>
      </w:hyperlink>
    </w:p>
    <w:p w14:paraId="002A58F4" w14:textId="1DA840B5" w:rsidR="00397D49" w:rsidRDefault="006924B0">
      <w:pPr>
        <w:pStyle w:val="TOC2"/>
        <w:rPr>
          <w:rFonts w:eastAsiaTheme="minorEastAsia"/>
          <w:noProof/>
          <w:color w:val="auto"/>
          <w:kern w:val="2"/>
          <w:sz w:val="22"/>
          <w:lang w:eastAsia="en-GB"/>
          <w14:ligatures w14:val="standardContextual"/>
        </w:rPr>
      </w:pPr>
      <w:hyperlink w:anchor="_Toc151549907" w:history="1">
        <w:r w:rsidR="00397D49" w:rsidRPr="00D75DC5">
          <w:rPr>
            <w:rStyle w:val="Hyperlink"/>
            <w:noProof/>
          </w:rPr>
          <w:t>Econometrics methodology and results</w:t>
        </w:r>
        <w:r w:rsidR="00397D49">
          <w:rPr>
            <w:noProof/>
            <w:webHidden/>
          </w:rPr>
          <w:tab/>
        </w:r>
        <w:r w:rsidR="00397D49">
          <w:rPr>
            <w:noProof/>
            <w:webHidden/>
          </w:rPr>
          <w:fldChar w:fldCharType="begin"/>
        </w:r>
        <w:r w:rsidR="00397D49">
          <w:rPr>
            <w:noProof/>
            <w:webHidden/>
          </w:rPr>
          <w:instrText xml:space="preserve"> PAGEREF _Toc151549907 \h </w:instrText>
        </w:r>
        <w:r w:rsidR="00397D49">
          <w:rPr>
            <w:noProof/>
            <w:webHidden/>
          </w:rPr>
        </w:r>
        <w:r w:rsidR="00397D49">
          <w:rPr>
            <w:noProof/>
            <w:webHidden/>
          </w:rPr>
          <w:fldChar w:fldCharType="separate"/>
        </w:r>
        <w:r w:rsidR="00397D49">
          <w:rPr>
            <w:noProof/>
            <w:webHidden/>
          </w:rPr>
          <w:t>236</w:t>
        </w:r>
        <w:r w:rsidR="00397D49">
          <w:rPr>
            <w:noProof/>
            <w:webHidden/>
          </w:rPr>
          <w:fldChar w:fldCharType="end"/>
        </w:r>
      </w:hyperlink>
    </w:p>
    <w:p w14:paraId="73A3355F" w14:textId="2569EB61" w:rsidR="00397D49" w:rsidRDefault="006924B0" w:rsidP="00503351">
      <w:pPr>
        <w:pStyle w:val="TOC1"/>
        <w:rPr>
          <w:rFonts w:eastAsiaTheme="minorEastAsia"/>
          <w:noProof/>
          <w:color w:val="auto"/>
          <w:kern w:val="2"/>
          <w:sz w:val="22"/>
          <w:lang w:eastAsia="en-GB"/>
          <w14:ligatures w14:val="standardContextual"/>
        </w:rPr>
      </w:pPr>
      <w:hyperlink w:anchor="_Toc151549908" w:history="1">
        <w:r w:rsidR="00397D49" w:rsidRPr="00D75DC5">
          <w:rPr>
            <w:rStyle w:val="Hyperlink"/>
            <w:noProof/>
          </w:rPr>
          <w:t>Annex 5 – BICS Methodology</w:t>
        </w:r>
        <w:r w:rsidR="00397D49">
          <w:rPr>
            <w:noProof/>
            <w:webHidden/>
          </w:rPr>
          <w:tab/>
        </w:r>
        <w:r w:rsidR="00397D49">
          <w:rPr>
            <w:noProof/>
            <w:webHidden/>
          </w:rPr>
          <w:fldChar w:fldCharType="begin"/>
        </w:r>
        <w:r w:rsidR="00397D49">
          <w:rPr>
            <w:noProof/>
            <w:webHidden/>
          </w:rPr>
          <w:instrText xml:space="preserve"> PAGEREF _Toc151549908 \h </w:instrText>
        </w:r>
        <w:r w:rsidR="00397D49">
          <w:rPr>
            <w:noProof/>
            <w:webHidden/>
          </w:rPr>
        </w:r>
        <w:r w:rsidR="00397D49">
          <w:rPr>
            <w:noProof/>
            <w:webHidden/>
          </w:rPr>
          <w:fldChar w:fldCharType="separate"/>
        </w:r>
        <w:r w:rsidR="00397D49">
          <w:rPr>
            <w:noProof/>
            <w:webHidden/>
          </w:rPr>
          <w:t>269</w:t>
        </w:r>
        <w:r w:rsidR="00397D49">
          <w:rPr>
            <w:noProof/>
            <w:webHidden/>
          </w:rPr>
          <w:fldChar w:fldCharType="end"/>
        </w:r>
      </w:hyperlink>
    </w:p>
    <w:p w14:paraId="57436836" w14:textId="6960AD56" w:rsidR="00397D49" w:rsidRDefault="006924B0" w:rsidP="00503351">
      <w:pPr>
        <w:pStyle w:val="TOC1"/>
        <w:rPr>
          <w:rFonts w:eastAsiaTheme="minorEastAsia"/>
          <w:noProof/>
          <w:color w:val="auto"/>
          <w:kern w:val="2"/>
          <w:sz w:val="22"/>
          <w:lang w:eastAsia="en-GB"/>
          <w14:ligatures w14:val="standardContextual"/>
        </w:rPr>
      </w:pPr>
      <w:hyperlink w:anchor="_Toc151549909" w:history="1">
        <w:r w:rsidR="00397D49" w:rsidRPr="00D75DC5">
          <w:rPr>
            <w:rStyle w:val="Hyperlink"/>
            <w:noProof/>
          </w:rPr>
          <w:t>Annex 6 – Product Market Displacement</w:t>
        </w:r>
        <w:r w:rsidR="00397D49">
          <w:rPr>
            <w:noProof/>
            <w:webHidden/>
          </w:rPr>
          <w:tab/>
        </w:r>
        <w:r w:rsidR="00397D49">
          <w:rPr>
            <w:noProof/>
            <w:webHidden/>
          </w:rPr>
          <w:fldChar w:fldCharType="begin"/>
        </w:r>
        <w:r w:rsidR="00397D49">
          <w:rPr>
            <w:noProof/>
            <w:webHidden/>
          </w:rPr>
          <w:instrText xml:space="preserve"> PAGEREF _Toc151549909 \h </w:instrText>
        </w:r>
        <w:r w:rsidR="00397D49">
          <w:rPr>
            <w:noProof/>
            <w:webHidden/>
          </w:rPr>
        </w:r>
        <w:r w:rsidR="00397D49">
          <w:rPr>
            <w:noProof/>
            <w:webHidden/>
          </w:rPr>
          <w:fldChar w:fldCharType="separate"/>
        </w:r>
        <w:r w:rsidR="00397D49">
          <w:rPr>
            <w:noProof/>
            <w:webHidden/>
          </w:rPr>
          <w:t>272</w:t>
        </w:r>
        <w:r w:rsidR="00397D49">
          <w:rPr>
            <w:noProof/>
            <w:webHidden/>
          </w:rPr>
          <w:fldChar w:fldCharType="end"/>
        </w:r>
      </w:hyperlink>
    </w:p>
    <w:p w14:paraId="1EC806E0" w14:textId="069C7A51" w:rsidR="00C62D36" w:rsidRPr="00490C53" w:rsidRDefault="00C62D36" w:rsidP="004F2AC2">
      <w:pPr>
        <w:sectPr w:rsidR="00C62D36" w:rsidRPr="00490C53" w:rsidSect="00176EA1">
          <w:headerReference w:type="first" r:id="rId18"/>
          <w:footerReference w:type="first" r:id="rId19"/>
          <w:pgSz w:w="11906" w:h="16838" w:code="9"/>
          <w:pgMar w:top="1701" w:right="4360" w:bottom="1531" w:left="907" w:header="567" w:footer="624" w:gutter="0"/>
          <w:pgNumType w:start="1"/>
          <w:cols w:space="284"/>
          <w:titlePg/>
          <w:docGrid w:linePitch="360"/>
        </w:sectPr>
      </w:pPr>
      <w:r w:rsidRPr="00F2246F">
        <w:rPr>
          <w:b/>
          <w:color w:val="142855" w:themeColor="text2"/>
          <w:szCs w:val="20"/>
        </w:rPr>
        <w:fldChar w:fldCharType="end"/>
      </w:r>
    </w:p>
    <w:p w14:paraId="31CF6FC5" w14:textId="1B897767" w:rsidR="00BB5C8B" w:rsidRPr="00490C53" w:rsidRDefault="00BB5C8B" w:rsidP="00BB5C8B">
      <w:pPr>
        <w:pStyle w:val="Heading1"/>
      </w:pPr>
      <w:bookmarkStart w:id="0" w:name="_Toc105749870"/>
      <w:bookmarkStart w:id="1" w:name="_Ref125384437"/>
      <w:bookmarkStart w:id="2" w:name="_Toc151549865"/>
      <w:r w:rsidRPr="00490C53">
        <w:lastRenderedPageBreak/>
        <w:t>List of terms</w:t>
      </w:r>
      <w:bookmarkEnd w:id="0"/>
      <w:bookmarkEnd w:id="1"/>
      <w:bookmarkEnd w:id="2"/>
    </w:p>
    <w:p w14:paraId="3D04222B" w14:textId="082B614D" w:rsidR="00A63822" w:rsidRDefault="00A63822" w:rsidP="154D84C1">
      <w:pPr>
        <w:rPr>
          <w:rFonts w:ascii="Arial" w:hAnsi="Arial" w:cs="Arial"/>
          <w:color w:val="0B0C0C"/>
        </w:rPr>
      </w:pPr>
      <w:r>
        <w:t xml:space="preserve">"Arrears” </w:t>
      </w:r>
      <w:r w:rsidR="00E321A7">
        <w:t>–</w:t>
      </w:r>
      <w:r>
        <w:t xml:space="preserve"> </w:t>
      </w:r>
      <w:r w:rsidR="00D56CEC" w:rsidRPr="154D84C1">
        <w:rPr>
          <w:rFonts w:ascii="Arial" w:hAnsi="Arial" w:cs="Arial"/>
          <w:color w:val="0B0C0C"/>
        </w:rPr>
        <w:t>A loan with missed repayments.</w:t>
      </w:r>
    </w:p>
    <w:p w14:paraId="72D9E2E0" w14:textId="02C790A1" w:rsidR="00955866" w:rsidRDefault="00955866" w:rsidP="00154B67">
      <w:r w:rsidRPr="00955866">
        <w:t>BBB – British Business Bank</w:t>
      </w:r>
    </w:p>
    <w:p w14:paraId="4C36EFB8" w14:textId="00A6F195" w:rsidR="00955866" w:rsidRDefault="00955866" w:rsidP="00154B67">
      <w:r w:rsidRPr="00955866">
        <w:t>BBLS – Bounce Back Loan Scheme</w:t>
      </w:r>
    </w:p>
    <w:p w14:paraId="57456F4E" w14:textId="299A9FB7" w:rsidR="00955866" w:rsidRDefault="00955866" w:rsidP="00154B67">
      <w:r w:rsidRPr="00955866">
        <w:t>BICS – Business Insights and Conditions Survey</w:t>
      </w:r>
    </w:p>
    <w:p w14:paraId="5874EBE6" w14:textId="76C26FE7" w:rsidR="00955866" w:rsidRDefault="00955866" w:rsidP="00154B67">
      <w:r w:rsidRPr="00955866">
        <w:t>BEIS – Department for Business, Energy &amp; Industrial Strategy</w:t>
      </w:r>
    </w:p>
    <w:p w14:paraId="5FB31976" w14:textId="5FC23572" w:rsidR="00955866" w:rsidRDefault="00955866" w:rsidP="00154B67">
      <w:r w:rsidRPr="00955866">
        <w:t>CBILS – Coronavirus Business Interruption Loan Scheme</w:t>
      </w:r>
    </w:p>
    <w:p w14:paraId="7B47208E" w14:textId="77F03953" w:rsidR="00955866" w:rsidRDefault="00955866" w:rsidP="00154B67">
      <w:r w:rsidRPr="00955866">
        <w:t>CIGA – Corporate Insolvency Governance Act</w:t>
      </w:r>
    </w:p>
    <w:p w14:paraId="2186DA8D" w14:textId="483D93DE" w:rsidR="00955866" w:rsidRDefault="00955866" w:rsidP="00154B67">
      <w:r w:rsidRPr="00955866">
        <w:t>CJRS – Coronavirus Job Retention Scheme</w:t>
      </w:r>
    </w:p>
    <w:p w14:paraId="4D34901B" w14:textId="03406E2A" w:rsidR="00B5499F" w:rsidRDefault="00B5499F" w:rsidP="00154B67">
      <w:r>
        <w:t xml:space="preserve">“Claimed” </w:t>
      </w:r>
      <w:r w:rsidR="00E321A7">
        <w:t>–</w:t>
      </w:r>
      <w:r>
        <w:t xml:space="preserve"> </w:t>
      </w:r>
      <w:r w:rsidR="003B7892" w:rsidRPr="002C6E95">
        <w:rPr>
          <w:rFonts w:ascii="Arial" w:hAnsi="Arial" w:cs="Arial"/>
          <w:color w:val="0B0C0C"/>
          <w:szCs w:val="24"/>
          <w:shd w:val="clear" w:color="auto" w:fill="FFFFFF"/>
        </w:rPr>
        <w:t>The lender has submitted a claim under the guarantee</w:t>
      </w:r>
      <w:r w:rsidR="003B7892">
        <w:rPr>
          <w:rFonts w:ascii="Arial" w:hAnsi="Arial" w:cs="Arial"/>
          <w:color w:val="0B0C0C"/>
          <w:szCs w:val="24"/>
          <w:shd w:val="clear" w:color="auto" w:fill="FFFFFF"/>
        </w:rPr>
        <w:t xml:space="preserve"> for a defaulted loan</w:t>
      </w:r>
      <w:r w:rsidR="003B7892" w:rsidRPr="002C6E95">
        <w:rPr>
          <w:rFonts w:ascii="Arial" w:hAnsi="Arial" w:cs="Arial"/>
          <w:color w:val="0B0C0C"/>
          <w:szCs w:val="24"/>
          <w:shd w:val="clear" w:color="auto" w:fill="FFFFFF"/>
        </w:rPr>
        <w:t>. Loans sit in the claimed status while the British Business Bank awaits/processes the invoice for the claim and runs relevant checks.</w:t>
      </w:r>
      <w:r w:rsidR="003B7892">
        <w:rPr>
          <w:rFonts w:ascii="Arial" w:hAnsi="Arial" w:cs="Arial"/>
          <w:color w:val="0B0C0C"/>
          <w:sz w:val="29"/>
          <w:szCs w:val="29"/>
          <w:shd w:val="clear" w:color="auto" w:fill="FFFFFF"/>
        </w:rPr>
        <w:t> </w:t>
      </w:r>
    </w:p>
    <w:p w14:paraId="71C18C04" w14:textId="02E423ED" w:rsidR="00955866" w:rsidRDefault="00955866" w:rsidP="00154B67">
      <w:r w:rsidRPr="00955866">
        <w:t>CLBILS – Coronavirus Large Business Interruption Loan Scheme</w:t>
      </w:r>
    </w:p>
    <w:p w14:paraId="6FB96E5A" w14:textId="59CEF4A8" w:rsidR="003B7892" w:rsidRDefault="003B7892" w:rsidP="00154B67">
      <w:r>
        <w:t xml:space="preserve">Commercial lending </w:t>
      </w:r>
      <w:r w:rsidR="00E321A7">
        <w:t>–</w:t>
      </w:r>
      <w:r>
        <w:t xml:space="preserve"> </w:t>
      </w:r>
      <w:r w:rsidR="008F0094" w:rsidRPr="00B86954">
        <w:rPr>
          <w:rFonts w:ascii="Arial" w:hAnsi="Arial" w:cs="Arial"/>
          <w:color w:val="0B0C0C"/>
          <w:szCs w:val="24"/>
          <w:shd w:val="clear" w:color="auto" w:fill="FFFFFF"/>
        </w:rPr>
        <w:t xml:space="preserve">Facilities offered by lenders outside the Covid-19 Loan Guarantee Schemes, using their </w:t>
      </w:r>
      <w:r w:rsidR="008F0094">
        <w:rPr>
          <w:rFonts w:ascii="Arial" w:hAnsi="Arial" w:cs="Arial"/>
          <w:color w:val="0B0C0C"/>
          <w:szCs w:val="24"/>
          <w:shd w:val="clear" w:color="auto" w:fill="FFFFFF"/>
        </w:rPr>
        <w:t>B</w:t>
      </w:r>
      <w:r w:rsidR="008F0094" w:rsidRPr="00B86954">
        <w:rPr>
          <w:rFonts w:ascii="Arial" w:hAnsi="Arial" w:cs="Arial"/>
          <w:color w:val="0B0C0C"/>
          <w:szCs w:val="24"/>
          <w:shd w:val="clear" w:color="auto" w:fill="FFFFFF"/>
        </w:rPr>
        <w:t xml:space="preserve">usiness </w:t>
      </w:r>
      <w:proofErr w:type="gramStart"/>
      <w:r w:rsidR="008F0094">
        <w:rPr>
          <w:rFonts w:ascii="Arial" w:hAnsi="Arial" w:cs="Arial"/>
          <w:color w:val="0B0C0C"/>
          <w:szCs w:val="24"/>
          <w:shd w:val="clear" w:color="auto" w:fill="FFFFFF"/>
        </w:rPr>
        <w:t>A</w:t>
      </w:r>
      <w:r w:rsidR="008F0094" w:rsidRPr="00B86954">
        <w:rPr>
          <w:rFonts w:ascii="Arial" w:hAnsi="Arial" w:cs="Arial"/>
          <w:color w:val="0B0C0C"/>
          <w:szCs w:val="24"/>
          <w:shd w:val="clear" w:color="auto" w:fill="FFFFFF"/>
        </w:rPr>
        <w:t>s</w:t>
      </w:r>
      <w:proofErr w:type="gramEnd"/>
      <w:r w:rsidR="008F0094" w:rsidRPr="00B86954">
        <w:rPr>
          <w:rFonts w:ascii="Arial" w:hAnsi="Arial" w:cs="Arial"/>
          <w:color w:val="0B0C0C"/>
          <w:szCs w:val="24"/>
          <w:shd w:val="clear" w:color="auto" w:fill="FFFFFF"/>
        </w:rPr>
        <w:t xml:space="preserve"> </w:t>
      </w:r>
      <w:r w:rsidR="008F0094">
        <w:rPr>
          <w:rFonts w:ascii="Arial" w:hAnsi="Arial" w:cs="Arial"/>
          <w:color w:val="0B0C0C"/>
          <w:szCs w:val="24"/>
          <w:shd w:val="clear" w:color="auto" w:fill="FFFFFF"/>
        </w:rPr>
        <w:t>U</w:t>
      </w:r>
      <w:r w:rsidR="008F0094" w:rsidRPr="00B86954">
        <w:rPr>
          <w:rFonts w:ascii="Arial" w:hAnsi="Arial" w:cs="Arial"/>
          <w:color w:val="0B0C0C"/>
          <w:szCs w:val="24"/>
          <w:shd w:val="clear" w:color="auto" w:fill="FFFFFF"/>
        </w:rPr>
        <w:t>sual practices.</w:t>
      </w:r>
    </w:p>
    <w:p w14:paraId="2082FE00" w14:textId="7C3E6646" w:rsidR="00955866" w:rsidRDefault="00955866" w:rsidP="00955866">
      <w:r>
        <w:t>Covid-19 Loan Guarantee Schemes – Bounce Back Loan Scheme, Coronavirus Business Interruption Loan Scheme and Coronavirus Large Business Interruption Loan Scheme</w:t>
      </w:r>
    </w:p>
    <w:p w14:paraId="20E0D42A" w14:textId="5A98C74A" w:rsidR="7616218E" w:rsidRDefault="69AA2358" w:rsidP="7616218E">
      <w:r>
        <w:t xml:space="preserve">DBT – Department for Business </w:t>
      </w:r>
      <w:r w:rsidR="2F7EA863">
        <w:t xml:space="preserve">&amp; </w:t>
      </w:r>
      <w:r>
        <w:t>Trade</w:t>
      </w:r>
      <w:r w:rsidR="09B3A247">
        <w:t xml:space="preserve"> (formerly BEIS)</w:t>
      </w:r>
    </w:p>
    <w:p w14:paraId="2F9F8123" w14:textId="738CC219" w:rsidR="00263809" w:rsidRDefault="00263809" w:rsidP="00955866">
      <w:r>
        <w:t>"Defaulted”</w:t>
      </w:r>
      <w:r w:rsidR="007A5B31">
        <w:t xml:space="preserve"> </w:t>
      </w:r>
      <w:r w:rsidR="00A67491">
        <w:t>–</w:t>
      </w:r>
      <w:r w:rsidR="007A5B31">
        <w:t xml:space="preserve"> </w:t>
      </w:r>
      <w:r w:rsidR="007A5B31">
        <w:rPr>
          <w:rFonts w:ascii="Arial" w:hAnsi="Arial" w:cs="Arial"/>
          <w:color w:val="0B0C0C"/>
          <w:szCs w:val="24"/>
          <w:shd w:val="clear" w:color="auto" w:fill="FFFFFF"/>
        </w:rPr>
        <w:t xml:space="preserve">A </w:t>
      </w:r>
      <w:r w:rsidR="007A5B31" w:rsidRPr="00BE1B92">
        <w:rPr>
          <w:rFonts w:ascii="Arial" w:hAnsi="Arial" w:cs="Arial"/>
          <w:color w:val="0B0C0C"/>
          <w:szCs w:val="24"/>
          <w:shd w:val="clear" w:color="auto" w:fill="FFFFFF"/>
        </w:rPr>
        <w:t>loan where the lender has issued a formal demand to the borrower. At the time of this occurring, this is an actual balance, and not estimated.</w:t>
      </w:r>
    </w:p>
    <w:p w14:paraId="2E180222" w14:textId="4BD46E7D" w:rsidR="00955866" w:rsidRDefault="00955866" w:rsidP="00955866">
      <w:proofErr w:type="spellStart"/>
      <w:r w:rsidRPr="00955866">
        <w:t>DiD</w:t>
      </w:r>
      <w:proofErr w:type="spellEnd"/>
      <w:r w:rsidRPr="00955866">
        <w:t xml:space="preserve"> – Difference-in-Differences</w:t>
      </w:r>
    </w:p>
    <w:p w14:paraId="119B28AA" w14:textId="0D825AAC" w:rsidR="00955866" w:rsidRDefault="00955866" w:rsidP="00955866">
      <w:r w:rsidRPr="00955866">
        <w:t>EFG – Enterprise Finance Guarantee</w:t>
      </w:r>
    </w:p>
    <w:p w14:paraId="3B9D95D7" w14:textId="3C0D1772" w:rsidR="00E73E84" w:rsidRDefault="00E73E84" w:rsidP="00955866">
      <w:pPr>
        <w:rPr>
          <w:rFonts w:ascii="Arial" w:hAnsi="Arial" w:cs="Arial"/>
          <w:color w:val="0B0C0C"/>
          <w:szCs w:val="24"/>
          <w:shd w:val="clear" w:color="auto" w:fill="FFFFFF"/>
        </w:rPr>
      </w:pPr>
      <w:r>
        <w:lastRenderedPageBreak/>
        <w:t xml:space="preserve">Facility </w:t>
      </w:r>
      <w:r w:rsidR="00A67491">
        <w:t>–</w:t>
      </w:r>
      <w:r>
        <w:t xml:space="preserve"> </w:t>
      </w:r>
      <w:r w:rsidR="00125AEB" w:rsidRPr="002E28E0">
        <w:rPr>
          <w:rFonts w:ascii="Arial" w:hAnsi="Arial" w:cs="Arial"/>
          <w:color w:val="0B0C0C"/>
          <w:szCs w:val="24"/>
          <w:shd w:val="clear" w:color="auto" w:fill="FFFFFF"/>
        </w:rPr>
        <w:t xml:space="preserve">A </w:t>
      </w:r>
      <w:r w:rsidR="00D64E4A">
        <w:rPr>
          <w:rFonts w:ascii="Arial" w:hAnsi="Arial" w:cs="Arial"/>
          <w:color w:val="0B0C0C"/>
          <w:szCs w:val="24"/>
          <w:shd w:val="clear" w:color="auto" w:fill="FFFFFF"/>
        </w:rPr>
        <w:t>Covid</w:t>
      </w:r>
      <w:r w:rsidR="00125AEB" w:rsidRPr="002E28E0">
        <w:rPr>
          <w:rFonts w:ascii="Arial" w:hAnsi="Arial" w:cs="Arial"/>
          <w:color w:val="0B0C0C"/>
          <w:szCs w:val="24"/>
          <w:shd w:val="clear" w:color="auto" w:fill="FFFFFF"/>
        </w:rPr>
        <w:t xml:space="preserve">-19 Loan Scheme facility, being either a term loan facility, a revolving credit facility, an invoice finance </w:t>
      </w:r>
      <w:proofErr w:type="gramStart"/>
      <w:r w:rsidR="00125AEB" w:rsidRPr="002E28E0">
        <w:rPr>
          <w:rFonts w:ascii="Arial" w:hAnsi="Arial" w:cs="Arial"/>
          <w:color w:val="0B0C0C"/>
          <w:szCs w:val="24"/>
          <w:shd w:val="clear" w:color="auto" w:fill="FFFFFF"/>
        </w:rPr>
        <w:t>facility</w:t>
      </w:r>
      <w:proofErr w:type="gramEnd"/>
      <w:r w:rsidR="00125AEB" w:rsidRPr="002E28E0">
        <w:rPr>
          <w:rFonts w:ascii="Arial" w:hAnsi="Arial" w:cs="Arial"/>
          <w:color w:val="0B0C0C"/>
          <w:szCs w:val="24"/>
          <w:shd w:val="clear" w:color="auto" w:fill="FFFFFF"/>
        </w:rPr>
        <w:t xml:space="preserve"> or an asset finance facility (as applicable) made available by an accredited lender to a borrower.</w:t>
      </w:r>
    </w:p>
    <w:p w14:paraId="2ACC760A" w14:textId="4D850B71" w:rsidR="00480B74" w:rsidRDefault="00480B74" w:rsidP="00955866">
      <w:r>
        <w:rPr>
          <w:rFonts w:ascii="Arial" w:hAnsi="Arial" w:cs="Arial"/>
          <w:color w:val="0B0C0C"/>
          <w:szCs w:val="24"/>
          <w:shd w:val="clear" w:color="auto" w:fill="FFFFFF"/>
        </w:rPr>
        <w:t xml:space="preserve">“Fully repaid” </w:t>
      </w:r>
      <w:r w:rsidR="00A67491">
        <w:rPr>
          <w:rFonts w:ascii="Arial" w:hAnsi="Arial" w:cs="Arial"/>
          <w:color w:val="0B0C0C"/>
          <w:szCs w:val="24"/>
          <w:shd w:val="clear" w:color="auto" w:fill="FFFFFF"/>
        </w:rPr>
        <w:t xml:space="preserve">– </w:t>
      </w:r>
      <w:r w:rsidR="002D35D7" w:rsidRPr="00FA6D4F">
        <w:rPr>
          <w:rFonts w:ascii="Arial" w:hAnsi="Arial" w:cs="Arial"/>
          <w:color w:val="0B0C0C"/>
          <w:szCs w:val="24"/>
          <w:shd w:val="clear" w:color="auto" w:fill="FFFFFF"/>
        </w:rPr>
        <w:t>The loan is considered closed as there is no further outstanding balance on the loan (the borrower has repaid the full amount)</w:t>
      </w:r>
      <w:r w:rsidR="002D35D7">
        <w:rPr>
          <w:rFonts w:ascii="Arial" w:hAnsi="Arial" w:cs="Arial"/>
          <w:color w:val="0B0C0C"/>
          <w:szCs w:val="24"/>
          <w:shd w:val="clear" w:color="auto" w:fill="FFFFFF"/>
        </w:rPr>
        <w:t>.</w:t>
      </w:r>
    </w:p>
    <w:p w14:paraId="56EBC2AF" w14:textId="5D4935B9" w:rsidR="00955866" w:rsidRDefault="00955866" w:rsidP="00955866">
      <w:r w:rsidRPr="00955866">
        <w:t>HMT – H</w:t>
      </w:r>
      <w:r w:rsidR="00C32F51">
        <w:t>is</w:t>
      </w:r>
      <w:r w:rsidRPr="00955866">
        <w:t xml:space="preserve"> Majesty’s Treasury</w:t>
      </w:r>
    </w:p>
    <w:p w14:paraId="5939770F" w14:textId="4B7D59D2" w:rsidR="00955866" w:rsidRDefault="00955866" w:rsidP="00955866">
      <w:r w:rsidRPr="00955866">
        <w:t>IDBR – Inter-Departmental Business Register</w:t>
      </w:r>
    </w:p>
    <w:p w14:paraId="4B51BCAD" w14:textId="7AD8AFBC" w:rsidR="00955866" w:rsidRDefault="00955866" w:rsidP="00955866">
      <w:r w:rsidRPr="00955866">
        <w:t>ONS – Office for National Statistics</w:t>
      </w:r>
    </w:p>
    <w:p w14:paraId="6EB636A2" w14:textId="0414C532" w:rsidR="004667FC" w:rsidRDefault="004667FC" w:rsidP="00955866">
      <w:r>
        <w:t xml:space="preserve">“On schedule” </w:t>
      </w:r>
      <w:r w:rsidR="00A67491">
        <w:t>–</w:t>
      </w:r>
      <w:r>
        <w:t xml:space="preserve"> </w:t>
      </w:r>
      <w:r w:rsidR="00CC2DEA">
        <w:rPr>
          <w:rFonts w:ascii="Arial" w:hAnsi="Arial" w:cs="Arial"/>
          <w:color w:val="0B0C0C"/>
          <w:szCs w:val="24"/>
          <w:shd w:val="clear" w:color="auto" w:fill="FFFFFF"/>
        </w:rPr>
        <w:t>T</w:t>
      </w:r>
      <w:r w:rsidR="00CC2DEA" w:rsidRPr="00643A2B">
        <w:rPr>
          <w:rFonts w:ascii="Arial" w:hAnsi="Arial" w:cs="Arial"/>
          <w:color w:val="0B0C0C"/>
          <w:szCs w:val="24"/>
          <w:shd w:val="clear" w:color="auto" w:fill="FFFFFF"/>
        </w:rPr>
        <w:t>he loan is being repaid as expected, including loans for which repayment is not yet due. </w:t>
      </w:r>
    </w:p>
    <w:p w14:paraId="5BC9F0A1" w14:textId="5241A192" w:rsidR="00955866" w:rsidRDefault="00955866" w:rsidP="00955866">
      <w:r w:rsidRPr="00955866">
        <w:t xml:space="preserve">PAYE – Pay </w:t>
      </w:r>
      <w:proofErr w:type="gramStart"/>
      <w:r w:rsidRPr="00955866">
        <w:t>As</w:t>
      </w:r>
      <w:proofErr w:type="gramEnd"/>
      <w:r w:rsidRPr="00955866">
        <w:t xml:space="preserve"> You Earn</w:t>
      </w:r>
    </w:p>
    <w:p w14:paraId="1D67DE4E" w14:textId="6DC346D7" w:rsidR="00955866" w:rsidRDefault="00955866" w:rsidP="00955866">
      <w:r w:rsidRPr="00955866">
        <w:t>PSM – Propensity Score Matching</w:t>
      </w:r>
    </w:p>
    <w:p w14:paraId="7C248EF1" w14:textId="7FCEC815" w:rsidR="00955866" w:rsidRDefault="00955866" w:rsidP="00955866">
      <w:r w:rsidRPr="00955866">
        <w:t>Schemes – Unless otherwise stated, refers to the Covid-19 Loan Guarantee Schemes</w:t>
      </w:r>
    </w:p>
    <w:p w14:paraId="28C8C311" w14:textId="2BDDCC28" w:rsidR="001F06AC" w:rsidRDefault="001F06AC" w:rsidP="00955866">
      <w:r>
        <w:t xml:space="preserve">“Settled” </w:t>
      </w:r>
      <w:r w:rsidR="00A67491">
        <w:t>–</w:t>
      </w:r>
      <w:r>
        <w:t xml:space="preserve"> </w:t>
      </w:r>
      <w:r w:rsidR="000701C3" w:rsidRPr="00CA0237">
        <w:rPr>
          <w:rFonts w:ascii="Arial" w:hAnsi="Arial" w:cs="Arial"/>
          <w:color w:val="0B0C0C"/>
          <w:szCs w:val="24"/>
          <w:shd w:val="clear" w:color="auto" w:fill="FFFFFF"/>
        </w:rPr>
        <w:t xml:space="preserve">Once the </w:t>
      </w:r>
      <w:proofErr w:type="gramStart"/>
      <w:r w:rsidR="000701C3" w:rsidRPr="00CA0237">
        <w:rPr>
          <w:rFonts w:ascii="Arial" w:hAnsi="Arial" w:cs="Arial"/>
          <w:color w:val="0B0C0C"/>
          <w:szCs w:val="24"/>
          <w:shd w:val="clear" w:color="auto" w:fill="FFFFFF"/>
        </w:rPr>
        <w:t>guarantee</w:t>
      </w:r>
      <w:proofErr w:type="gramEnd"/>
      <w:r w:rsidR="000701C3" w:rsidRPr="00CA0237">
        <w:rPr>
          <w:rFonts w:ascii="Arial" w:hAnsi="Arial" w:cs="Arial"/>
          <w:color w:val="0B0C0C"/>
          <w:szCs w:val="24"/>
          <w:shd w:val="clear" w:color="auto" w:fill="FFFFFF"/>
        </w:rPr>
        <w:t xml:space="preserve"> claim is processed and payment is released, the loan is marked as settled on the scheme portal.</w:t>
      </w:r>
    </w:p>
    <w:p w14:paraId="1501C96C" w14:textId="7F6C9112" w:rsidR="00955866" w:rsidRDefault="00955866" w:rsidP="00955866">
      <w:r w:rsidRPr="00955866">
        <w:t>SME – Small and Medium-Sized Enterprises</w:t>
      </w:r>
    </w:p>
    <w:p w14:paraId="59800496" w14:textId="59ED285A" w:rsidR="003F5134" w:rsidRDefault="009F4506" w:rsidP="00955866">
      <w:r>
        <w:t>“</w:t>
      </w:r>
      <w:r w:rsidR="003F5134">
        <w:t>Suspected fraud</w:t>
      </w:r>
      <w:r>
        <w:t>”</w:t>
      </w:r>
      <w:r w:rsidR="003F5134">
        <w:t xml:space="preserve"> </w:t>
      </w:r>
      <w:r w:rsidR="00A67491">
        <w:t>–</w:t>
      </w:r>
      <w:r w:rsidR="003F5134">
        <w:t xml:space="preserve"> </w:t>
      </w:r>
      <w:r w:rsidR="00E80395" w:rsidRPr="028D5510">
        <w:rPr>
          <w:rFonts w:ascii="Arial" w:hAnsi="Arial" w:cs="Arial"/>
          <w:color w:val="0B0C0C"/>
          <w:shd w:val="clear" w:color="auto" w:fill="FFFFFF"/>
        </w:rPr>
        <w:t>Facilities which are currently flagged as suspected fraud by lenders. This flag can be added or removed by lenders at any point, and only the latest position can be provided. It should be noted that suspected fraud does not mean actual cases of fraud as the fraudulent activity has not been proven.</w:t>
      </w:r>
    </w:p>
    <w:p w14:paraId="447531BB" w14:textId="4D9E08B3" w:rsidR="00955866" w:rsidRDefault="00955866" w:rsidP="00955866">
      <w:r w:rsidRPr="00955866">
        <w:t>UK – United Kingdom</w:t>
      </w:r>
    </w:p>
    <w:p w14:paraId="0A23A3F8" w14:textId="2E3E116C" w:rsidR="00955866" w:rsidRPr="00490C53" w:rsidRDefault="00955866" w:rsidP="00955866">
      <w:r w:rsidRPr="00955866">
        <w:t>VAT – Value-Added Tax</w:t>
      </w:r>
    </w:p>
    <w:p w14:paraId="2AC91874" w14:textId="3FB9EB88" w:rsidR="00AE1AFB" w:rsidRPr="00490C53" w:rsidRDefault="00AE1AFB">
      <w:pPr>
        <w:spacing w:after="160" w:line="259" w:lineRule="auto"/>
        <w:rPr>
          <w:rFonts w:asciiTheme="majorHAnsi" w:eastAsiaTheme="majorEastAsia" w:hAnsiTheme="majorHAnsi" w:cstheme="majorBidi"/>
          <w:b/>
          <w:color w:val="142855" w:themeColor="text2"/>
          <w:sz w:val="44"/>
          <w:szCs w:val="32"/>
        </w:rPr>
      </w:pPr>
      <w:r w:rsidRPr="00490C53">
        <w:br w:type="page"/>
      </w:r>
    </w:p>
    <w:p w14:paraId="63A3F271" w14:textId="7A886FA2" w:rsidR="00507E24" w:rsidRDefault="00507E24" w:rsidP="00507E24">
      <w:pPr>
        <w:pBdr>
          <w:top w:val="single" w:sz="4" w:space="1" w:color="auto"/>
          <w:left w:val="single" w:sz="4" w:space="4" w:color="auto"/>
          <w:bottom w:val="single" w:sz="4" w:space="1" w:color="auto"/>
          <w:right w:val="single" w:sz="4" w:space="4" w:color="auto"/>
        </w:pBdr>
        <w:rPr>
          <w:b/>
          <w:bCs/>
        </w:rPr>
      </w:pPr>
      <w:r>
        <w:rPr>
          <w:b/>
          <w:bCs/>
        </w:rPr>
        <w:lastRenderedPageBreak/>
        <w:t>Note to readers</w:t>
      </w:r>
    </w:p>
    <w:p w14:paraId="43CAED6C" w14:textId="77777777" w:rsidR="00507E24" w:rsidRDefault="00507E24" w:rsidP="00507E24">
      <w:pPr>
        <w:pBdr>
          <w:top w:val="single" w:sz="4" w:space="1" w:color="auto"/>
          <w:left w:val="single" w:sz="4" w:space="4" w:color="auto"/>
          <w:bottom w:val="single" w:sz="4" w:space="1" w:color="auto"/>
          <w:right w:val="single" w:sz="4" w:space="4" w:color="auto"/>
        </w:pBdr>
      </w:pPr>
      <w:r>
        <w:t xml:space="preserve">Responding to the increasing risk of a pandemic-induced economic crisis, the UK Government introduced three loan guarantee schemes in 2020 to help businesses navigate their way through a period of significant uncertainty. The British Business Bank and Department for Business and Trade are determined to learn lessons from the design and delivery of these schemes. To support this, London Economics and Ipsos have been commissioned to independently evaluate the schemes’ effectiveness over three years.  </w:t>
      </w:r>
    </w:p>
    <w:p w14:paraId="5B032BF6" w14:textId="3199F28E" w:rsidR="00507E24" w:rsidRDefault="00507E24" w:rsidP="00507E24">
      <w:pPr>
        <w:pBdr>
          <w:top w:val="single" w:sz="4" w:space="1" w:color="auto"/>
          <w:left w:val="single" w:sz="4" w:space="4" w:color="auto"/>
          <w:bottom w:val="single" w:sz="4" w:space="1" w:color="auto"/>
          <w:right w:val="single" w:sz="4" w:space="4" w:color="auto"/>
        </w:pBdr>
      </w:pPr>
      <w:r>
        <w:t>This publication is the second of three reports (the first was published in 2022)</w:t>
      </w:r>
      <w:r w:rsidR="00E932AD">
        <w:t>;</w:t>
      </w:r>
      <w:r>
        <w:t xml:space="preserve"> </w:t>
      </w:r>
      <w:r w:rsidR="00953760">
        <w:t>it considers</w:t>
      </w:r>
      <w:r>
        <w:t xml:space="preserve"> more evaluation evidence which builds on, </w:t>
      </w:r>
      <w:r w:rsidR="002F61D6">
        <w:t>cross-checks</w:t>
      </w:r>
      <w:r>
        <w:t xml:space="preserve">, and further develops the Year 1 findings. </w:t>
      </w:r>
    </w:p>
    <w:p w14:paraId="23BA7381" w14:textId="79FB0A73" w:rsidR="00507E24" w:rsidRDefault="00507E24" w:rsidP="00507E24">
      <w:pPr>
        <w:pBdr>
          <w:top w:val="single" w:sz="4" w:space="1" w:color="auto"/>
          <w:left w:val="single" w:sz="4" w:space="4" w:color="auto"/>
          <w:bottom w:val="single" w:sz="4" w:space="1" w:color="auto"/>
          <w:right w:val="single" w:sz="4" w:space="4" w:color="auto"/>
        </w:pBdr>
      </w:pPr>
      <w:r>
        <w:t xml:space="preserve">Businesses continue to self-report that the schemes were effective in preventing their permanent closure – even two years on. Econometric analysis of secondary data </w:t>
      </w:r>
      <w:r w:rsidR="0061780D">
        <w:t>suggest</w:t>
      </w:r>
      <w:r w:rsidR="002F61D6">
        <w:t>s</w:t>
      </w:r>
      <w:r w:rsidR="0061780D">
        <w:t xml:space="preserve"> </w:t>
      </w:r>
      <w:r>
        <w:t xml:space="preserve">that the schemes prevented </w:t>
      </w:r>
      <w:r w:rsidR="00B114CC">
        <w:t>additional permanent closures</w:t>
      </w:r>
      <w:r>
        <w:t xml:space="preserve"> after one year</w:t>
      </w:r>
      <w:r w:rsidR="000B6668">
        <w:t>;</w:t>
      </w:r>
      <w:r>
        <w:t xml:space="preserve"> however</w:t>
      </w:r>
      <w:r w:rsidR="000B6668">
        <w:t>,</w:t>
      </w:r>
      <w:r>
        <w:t xml:space="preserve"> the estimated impact is lower compared to self-reported Year 1 findings. The analysis also finds statistically significant positive impacts of the schemes on business turnover and employment, suggesting that access to finance helped businesses to grow </w:t>
      </w:r>
      <w:r w:rsidR="002F61D6">
        <w:t xml:space="preserve">or </w:t>
      </w:r>
      <w:r>
        <w:t xml:space="preserve">recover during the pandemic. </w:t>
      </w:r>
    </w:p>
    <w:p w14:paraId="42EDEE5C" w14:textId="2ECCC7F4" w:rsidR="00507E24" w:rsidRDefault="007809CE" w:rsidP="00507E24">
      <w:pPr>
        <w:pBdr>
          <w:top w:val="single" w:sz="4" w:space="1" w:color="auto"/>
          <w:left w:val="single" w:sz="4" w:space="4" w:color="auto"/>
          <w:bottom w:val="single" w:sz="4" w:space="1" w:color="auto"/>
          <w:right w:val="single" w:sz="4" w:space="4" w:color="auto"/>
        </w:pBdr>
      </w:pPr>
      <w:r>
        <w:t xml:space="preserve">The processes used to deliver the schemes have been refined </w:t>
      </w:r>
      <w:r w:rsidR="00070160">
        <w:t xml:space="preserve">over the course of delivery, with improvements reported </w:t>
      </w:r>
      <w:r w:rsidR="00C921D9">
        <w:t xml:space="preserve">in monitoring and through modelling work to support the </w:t>
      </w:r>
      <w:r w:rsidR="001D150F">
        <w:t xml:space="preserve">identification of suspected cases of fraud. There have been some challenges faced in the </w:t>
      </w:r>
      <w:r w:rsidR="008118C0">
        <w:t>delivery of counter fraud enforcement work, although processes in this area are currently being revised.</w:t>
      </w:r>
    </w:p>
    <w:p w14:paraId="3CDE18BD" w14:textId="780B522E" w:rsidR="00507E24" w:rsidRDefault="00507E24" w:rsidP="00507E24">
      <w:pPr>
        <w:pBdr>
          <w:top w:val="single" w:sz="4" w:space="1" w:color="auto"/>
          <w:left w:val="single" w:sz="4" w:space="4" w:color="auto"/>
          <w:bottom w:val="single" w:sz="4" w:space="1" w:color="auto"/>
          <w:right w:val="single" w:sz="4" w:space="4" w:color="auto"/>
        </w:pBdr>
      </w:pPr>
      <w:r>
        <w:t xml:space="preserve">It is important to contextualise the findings of each iteration of the evaluation within the wider economic landscape. Businesses continue to face multiple challenges beyond the pandemic and closure of the loan guarantee schemes. These include a sluggish post-pandemic recovery as international supply chain disruptions affected producers’ ability to scale up, Russia’s war with Ukraine, and the resultant squeeze on energy and food commodity prices driving up inflation. Business outcomes are inevitably linked to all these issues, not just the Covid-19 pandemic, making it difficult to isolate and fully evaluate the impact of the three loan </w:t>
      </w:r>
      <w:r w:rsidR="002F61D6">
        <w:t xml:space="preserve">guarantee </w:t>
      </w:r>
      <w:r>
        <w:t xml:space="preserve">schemes. </w:t>
      </w:r>
    </w:p>
    <w:p w14:paraId="6ACB4A05" w14:textId="77777777" w:rsidR="00F84B22" w:rsidDel="0017628E" w:rsidRDefault="00F84B22" w:rsidP="00507E24">
      <w:pPr>
        <w:pBdr>
          <w:top w:val="single" w:sz="4" w:space="1" w:color="auto"/>
          <w:left w:val="single" w:sz="4" w:space="4" w:color="auto"/>
          <w:bottom w:val="single" w:sz="4" w:space="1" w:color="auto"/>
          <w:right w:val="single" w:sz="4" w:space="4" w:color="auto"/>
        </w:pBdr>
      </w:pPr>
    </w:p>
    <w:p w14:paraId="1A179D80" w14:textId="7488FEB6" w:rsidR="00154B67" w:rsidRDefault="00507E24" w:rsidP="00154B67">
      <w:pPr>
        <w:pStyle w:val="Heading1"/>
      </w:pPr>
      <w:r>
        <w:br w:type="page"/>
      </w:r>
      <w:bookmarkStart w:id="3" w:name="_Toc151549866"/>
      <w:r w:rsidR="00154B67" w:rsidRPr="00490C53">
        <w:lastRenderedPageBreak/>
        <w:t>Executive summary</w:t>
      </w:r>
      <w:bookmarkEnd w:id="3"/>
    </w:p>
    <w:p w14:paraId="49A8DE77" w14:textId="77777777" w:rsidR="00E93A13" w:rsidRDefault="00E93A13" w:rsidP="00E93A13">
      <w:r>
        <w:t xml:space="preserve">London Economics and Ipsos were commissioned by the British Business Bank (BBB) in March 2021 to undertake a three-year evaluation of the </w:t>
      </w:r>
      <w:r w:rsidRPr="00882ED1">
        <w:t>Bounce Back Loan Scheme (BBLS), Coronavirus Business Interruption Loan Scheme (CBILS) and Coronavirus Large Business Interruption Loan Scheme (CLBILS)</w:t>
      </w:r>
      <w:r>
        <w:t xml:space="preserve"> (hereafter referred to as the “Covid-19 Loan Guarantee Schemes” or the schemes (unless stated otherwise)). </w:t>
      </w:r>
    </w:p>
    <w:p w14:paraId="4B47BB1A" w14:textId="60502339" w:rsidR="00352322" w:rsidRPr="00E93A13" w:rsidRDefault="00E93A13" w:rsidP="00352322">
      <w:r>
        <w:t xml:space="preserve">This report provides findings from the second year of the evaluation, </w:t>
      </w:r>
      <w:r w:rsidRPr="00A36500">
        <w:t>which includes a process evaluation</w:t>
      </w:r>
      <w:r w:rsidRPr="00076F6D">
        <w:t>,</w:t>
      </w:r>
      <w:r>
        <w:t xml:space="preserve"> an impact evaluation </w:t>
      </w:r>
      <w:r w:rsidR="003B6B95">
        <w:t xml:space="preserve">focusing on </w:t>
      </w:r>
      <w:r>
        <w:t>the second year of the pandemic</w:t>
      </w:r>
      <w:r w:rsidR="003B6B95">
        <w:t xml:space="preserve">, and </w:t>
      </w:r>
      <w:r>
        <w:t xml:space="preserve">a </w:t>
      </w:r>
      <w:r w:rsidR="00EF5B33">
        <w:t xml:space="preserve">secondary analysis </w:t>
      </w:r>
      <w:r>
        <w:t xml:space="preserve">of key results from the early impact evaluation presented in the </w:t>
      </w:r>
      <w:hyperlink r:id="rId20" w:history="1">
        <w:r w:rsidRPr="00DE0F7D">
          <w:rPr>
            <w:rStyle w:val="Hyperlink"/>
          </w:rPr>
          <w:t>first year report</w:t>
        </w:r>
      </w:hyperlink>
      <w:r>
        <w:t>.</w:t>
      </w:r>
    </w:p>
    <w:p w14:paraId="19E1A778" w14:textId="6C858644" w:rsidR="00352322" w:rsidRDefault="00BA2763" w:rsidP="00352322">
      <w:pPr>
        <w:pStyle w:val="Heading2"/>
      </w:pPr>
      <w:bookmarkStart w:id="4" w:name="_Toc151549867"/>
      <w:r>
        <w:t xml:space="preserve">Key </w:t>
      </w:r>
      <w:r w:rsidR="00352322">
        <w:t>findings</w:t>
      </w:r>
      <w:bookmarkEnd w:id="4"/>
    </w:p>
    <w:p w14:paraId="42715E0C" w14:textId="08C02AA6" w:rsidR="00FD7AC2" w:rsidRDefault="00FD7AC2" w:rsidP="00F2246F">
      <w:r>
        <w:t xml:space="preserve">This is the second report of a three-year evaluation of the Covid-19 Loan Guarantee Schemes. </w:t>
      </w:r>
      <w:r w:rsidR="00424007">
        <w:t xml:space="preserve">The </w:t>
      </w:r>
      <w:hyperlink r:id="rId21" w:history="1">
        <w:r w:rsidR="00424007" w:rsidRPr="00DE0F7D">
          <w:rPr>
            <w:rStyle w:val="Hyperlink"/>
          </w:rPr>
          <w:t>first year report</w:t>
        </w:r>
      </w:hyperlink>
      <w:r w:rsidR="00424007">
        <w:t xml:space="preserve"> assessed the short-term impacts of the schemes on businesses and provides an initial process evaluation. The </w:t>
      </w:r>
      <w:proofErr w:type="gramStart"/>
      <w:r w:rsidR="00424007">
        <w:t>third year</w:t>
      </w:r>
      <w:proofErr w:type="gramEnd"/>
      <w:r w:rsidR="00424007">
        <w:t xml:space="preserve"> report will complete the process evaluation and provide estimates of the longer-term impacts of the schemes on turnover, employment and business survival</w:t>
      </w:r>
      <w:r w:rsidR="00424007" w:rsidRPr="002A6A5C">
        <w:t xml:space="preserve">. </w:t>
      </w:r>
      <w:r w:rsidR="003D3C06" w:rsidRPr="002A6A5C">
        <w:t xml:space="preserve">Related to </w:t>
      </w:r>
      <w:r w:rsidR="003D3C06" w:rsidRPr="00F2246F">
        <w:t xml:space="preserve">turnover and employment, it will explore whether different kinds of borrowers experienced different changes in turnover and employment, and related to </w:t>
      </w:r>
      <w:r w:rsidR="003D3C06" w:rsidRPr="002A6A5C">
        <w:t xml:space="preserve">business survival it will also explore in more detail </w:t>
      </w:r>
      <w:proofErr w:type="gramStart"/>
      <w:r w:rsidR="003D3C06" w:rsidRPr="002A6A5C">
        <w:t>why</w:t>
      </w:r>
      <w:proofErr w:type="gramEnd"/>
      <w:r w:rsidR="003D3C06" w:rsidRPr="002A6A5C">
        <w:t xml:space="preserve"> scheme finance was important</w:t>
      </w:r>
      <w:r w:rsidR="003D3C06" w:rsidRPr="00F2246F">
        <w:t xml:space="preserve"> in preventing business closures</w:t>
      </w:r>
      <w:r w:rsidR="003D3C06" w:rsidRPr="002A6A5C">
        <w:t xml:space="preserve">. </w:t>
      </w:r>
      <w:r w:rsidR="003D3C06">
        <w:t xml:space="preserve">Additionally, it will provide an indication of the value for money of the schemes. </w:t>
      </w:r>
      <w:r w:rsidR="00424007">
        <w:t>The rest of this section provides an overview of the key findings presented in this report.</w:t>
      </w:r>
    </w:p>
    <w:p w14:paraId="1231DA96" w14:textId="77777777" w:rsidR="00FD7AC2" w:rsidRPr="00A36500" w:rsidRDefault="00FD7AC2" w:rsidP="00A36500">
      <w:pPr>
        <w:pStyle w:val="ListBullet"/>
        <w:numPr>
          <w:ilvl w:val="0"/>
          <w:numId w:val="0"/>
        </w:numPr>
        <w:ind w:left="227" w:hanging="227"/>
        <w:rPr>
          <w:b/>
          <w:bCs/>
          <w:u w:val="single"/>
        </w:rPr>
      </w:pPr>
      <w:r w:rsidRPr="00A36500">
        <w:rPr>
          <w:b/>
          <w:bCs/>
          <w:u w:val="single"/>
        </w:rPr>
        <w:t>Self-reported data</w:t>
      </w:r>
    </w:p>
    <w:p w14:paraId="1D9B795F" w14:textId="30BA9B05" w:rsidR="00FD7AC2" w:rsidRDefault="00FD7AC2" w:rsidP="00A36500">
      <w:pPr>
        <w:pStyle w:val="ListBullet"/>
        <w:numPr>
          <w:ilvl w:val="0"/>
          <w:numId w:val="105"/>
        </w:numPr>
      </w:pPr>
      <w:r>
        <w:t xml:space="preserve">In the first analysis conducted for this report, borrowers were surveyed about the impact of the schemes on their survival two years on from the pandemic. Analysis of these self-reported impacts suggests that an extra 12%-42% of BBLS, and 6%-35% of CBILS/CLBILS borrowers could have permanently closed between April 2020 and December 2021 in the </w:t>
      </w:r>
      <w:r>
        <w:lastRenderedPageBreak/>
        <w:t>absence of the schemes. This compares to 10%-34% of BBLS, and 7%-28% of CBILS/CLBILS borrowers reported in the year one evaluation.</w:t>
      </w:r>
    </w:p>
    <w:p w14:paraId="708BF2EC" w14:textId="77777777" w:rsidR="00FD7AC2" w:rsidRPr="00A36500" w:rsidRDefault="00FD7AC2" w:rsidP="00A36500">
      <w:pPr>
        <w:pStyle w:val="ListBullet"/>
        <w:numPr>
          <w:ilvl w:val="0"/>
          <w:numId w:val="0"/>
        </w:numPr>
        <w:rPr>
          <w:b/>
          <w:bCs/>
          <w:u w:val="single"/>
        </w:rPr>
      </w:pPr>
      <w:r w:rsidRPr="00A36500">
        <w:rPr>
          <w:b/>
          <w:bCs/>
          <w:u w:val="single"/>
        </w:rPr>
        <w:t xml:space="preserve">Secondary IDBR data </w:t>
      </w:r>
    </w:p>
    <w:p w14:paraId="408C61BB" w14:textId="1B1967B1" w:rsidR="00F426C5" w:rsidRDefault="00FD7AC2" w:rsidP="00D555BD">
      <w:pPr>
        <w:pStyle w:val="ListBullet"/>
        <w:numPr>
          <w:ilvl w:val="0"/>
          <w:numId w:val="105"/>
        </w:numPr>
      </w:pPr>
      <w:r>
        <w:t xml:space="preserve">A second analysis undertaken for this report uses a different methodology and data set to look at first-year impacts – analysing secondary data rather than surveying borrowers. This econometric analysis of the Inter Departmental Business Register (IDBR) finds that the schemes prevented closures among 5.0%-6.5% of BBLS and 4.0%-4.7% of CBILS/CLBILS borrowers between April 2020 and March 2021. These impacts are statistically significant. They are lower than businesses’ self-reported estimates from the year 1 and this year 2 evaluation, particularly for the BBLS. It is possible that business closure rates in the counterfactual group for this analysis may be artificially low due to temporary measures introduced during the pandemic which may have delayed the closure of certain businesses. Estimated impacts on business survival may </w:t>
      </w:r>
      <w:r w:rsidR="00053203">
        <w:t xml:space="preserve">therefore </w:t>
      </w:r>
      <w:r>
        <w:t>increase in next year’s report should these delayed closures, if any, materialise.</w:t>
      </w:r>
    </w:p>
    <w:p w14:paraId="043B78FF" w14:textId="2D3068B5" w:rsidR="00F426C5" w:rsidRDefault="00FD7AC2" w:rsidP="00D555BD">
      <w:pPr>
        <w:pStyle w:val="ListBullet"/>
        <w:numPr>
          <w:ilvl w:val="0"/>
          <w:numId w:val="105"/>
        </w:numPr>
      </w:pPr>
      <w:r>
        <w:t xml:space="preserve">For businesses that would have continued trading regardless of the schemes, econometric analysis of IDBR data found that turnover was between </w:t>
      </w:r>
      <w:r w:rsidR="00A36500">
        <w:t>9.7</w:t>
      </w:r>
      <w:r>
        <w:t>% and 1</w:t>
      </w:r>
      <w:r w:rsidR="00A36500">
        <w:t>1.5</w:t>
      </w:r>
      <w:r>
        <w:t>% greater for BBLS and CBILS/CLBILS borrowers respectively in the first year of the pandemic than it would have been without the schemes.</w:t>
      </w:r>
    </w:p>
    <w:p w14:paraId="410950B9" w14:textId="156B61E8" w:rsidR="00F426C5" w:rsidRDefault="00FD7AC2" w:rsidP="00D555BD">
      <w:pPr>
        <w:pStyle w:val="ListBullet"/>
        <w:numPr>
          <w:ilvl w:val="0"/>
          <w:numId w:val="105"/>
        </w:numPr>
      </w:pPr>
      <w:r>
        <w:t>An estimated 0.7m total extra jobs could have been lost among BBLS and CBILS/CLBILS borrowers in the first year of the pandemic without the schemes. This is due to (</w:t>
      </w:r>
      <w:proofErr w:type="spellStart"/>
      <w:r>
        <w:t>i</w:t>
      </w:r>
      <w:proofErr w:type="spellEnd"/>
      <w:r>
        <w:t xml:space="preserve">) schemes preventing business closures and (ii) higher employment for those borrowers who would have continued operating even in the absence of the schemes. </w:t>
      </w:r>
      <w:r w:rsidR="00A36500">
        <w:t>Related to the latter, it is estimated that BBLS and CBILS/CLBILS borrowers respectively had</w:t>
      </w:r>
      <w:r>
        <w:t xml:space="preserve"> </w:t>
      </w:r>
      <w:r w:rsidR="00A36500">
        <w:t>5.7</w:t>
      </w:r>
      <w:r>
        <w:t>% and 9</w:t>
      </w:r>
      <w:r w:rsidR="00A36500">
        <w:t>.0</w:t>
      </w:r>
      <w:r>
        <w:t xml:space="preserve">% </w:t>
      </w:r>
      <w:r w:rsidR="00A36500">
        <w:t>higher employment</w:t>
      </w:r>
      <w:r>
        <w:t xml:space="preserve"> than </w:t>
      </w:r>
      <w:r w:rsidR="00A36500">
        <w:t xml:space="preserve">they would have </w:t>
      </w:r>
      <w:r>
        <w:t>in the absence of the schemes.</w:t>
      </w:r>
    </w:p>
    <w:p w14:paraId="4D15C625" w14:textId="5C4E208C" w:rsidR="00A23B36" w:rsidRPr="00A36500" w:rsidRDefault="00A23B36" w:rsidP="00F2246F">
      <w:pPr>
        <w:pStyle w:val="ListBullet"/>
        <w:numPr>
          <w:ilvl w:val="0"/>
          <w:numId w:val="0"/>
        </w:numPr>
        <w:rPr>
          <w:b/>
          <w:bCs/>
          <w:u w:val="single"/>
        </w:rPr>
      </w:pPr>
      <w:r>
        <w:rPr>
          <w:b/>
          <w:bCs/>
          <w:u w:val="single"/>
        </w:rPr>
        <w:t>Process Evaluation</w:t>
      </w:r>
    </w:p>
    <w:p w14:paraId="1A96CC8A" w14:textId="020639B9" w:rsidR="00A23B36" w:rsidRPr="00ED7C4F" w:rsidRDefault="001E1D00" w:rsidP="00F2246F">
      <w:pPr>
        <w:pStyle w:val="ListBullet"/>
      </w:pPr>
      <w:r w:rsidRPr="00F2246F">
        <w:rPr>
          <w:b/>
          <w:bCs/>
        </w:rPr>
        <w:t>Monitoring:</w:t>
      </w:r>
      <w:r w:rsidRPr="00F2246F">
        <w:t xml:space="preserve"> </w:t>
      </w:r>
      <w:r w:rsidR="00865B65" w:rsidRPr="00ED7C4F">
        <w:t xml:space="preserve">Lenders and stakeholders felt an appropriate level of information about the portfolio of lending for the schemes was shared between accredited lenders and the British Business Bank </w:t>
      </w:r>
      <w:proofErr w:type="gramStart"/>
      <w:r w:rsidR="00865B65" w:rsidRPr="00ED7C4F">
        <w:t>in order for</w:t>
      </w:r>
      <w:proofErr w:type="gramEnd"/>
      <w:r w:rsidR="00865B65" w:rsidRPr="00ED7C4F">
        <w:t xml:space="preserve"> the Bank and DBT to monitor the overall size and scale of the programmes.</w:t>
      </w:r>
      <w:r w:rsidR="00532BCE" w:rsidRPr="00ED7C4F">
        <w:t xml:space="preserve"> DBT have published a selection of data about the performance of the Covid-19 Loan Guarantee Schemes to increase the transparency of the schemes, and both </w:t>
      </w:r>
      <w:r w:rsidR="00532BCE" w:rsidRPr="00ED7C4F">
        <w:lastRenderedPageBreak/>
        <w:t>accredited lenders and stakeholders reported a concern about how the data would be interpreted and used by the public.</w:t>
      </w:r>
      <w:r w:rsidR="00865B65" w:rsidRPr="00ED7C4F">
        <w:t xml:space="preserve"> </w:t>
      </w:r>
      <w:r w:rsidR="004B3B87" w:rsidRPr="00ED7C4F">
        <w:t xml:space="preserve">The lender audit was seen as an appropriate and proportionate mechanism for a publicly supported scheme of this size. Most accredited lenders received a positive outcome </w:t>
      </w:r>
      <w:proofErr w:type="gramStart"/>
      <w:r w:rsidR="004B3B87" w:rsidRPr="00ED7C4F">
        <w:t>as a result of</w:t>
      </w:r>
      <w:proofErr w:type="gramEnd"/>
      <w:r w:rsidR="004B3B87" w:rsidRPr="00ED7C4F">
        <w:t xml:space="preserve"> their audit in all years of the scheme.</w:t>
      </w:r>
    </w:p>
    <w:p w14:paraId="4CC7D72B" w14:textId="15F131CB" w:rsidR="0077016F" w:rsidRDefault="6837035C" w:rsidP="00F2246F">
      <w:pPr>
        <w:pStyle w:val="ListBullet"/>
      </w:pPr>
      <w:r w:rsidRPr="00F2246F">
        <w:rPr>
          <w:b/>
          <w:bCs/>
        </w:rPr>
        <w:t>Repayments:</w:t>
      </w:r>
      <w:r>
        <w:t xml:space="preserve"> The British Business Bank’s management data </w:t>
      </w:r>
      <w:r w:rsidR="001E090F">
        <w:t>(as of 30</w:t>
      </w:r>
      <w:r w:rsidR="001E090F" w:rsidRPr="00F2246F">
        <w:rPr>
          <w:vertAlign w:val="superscript"/>
        </w:rPr>
        <w:t>th</w:t>
      </w:r>
      <w:r w:rsidR="001E090F">
        <w:t xml:space="preserve"> June 2023, published in</w:t>
      </w:r>
      <w:r w:rsidR="00DA73E3">
        <w:t xml:space="preserve"> September 2023) </w:t>
      </w:r>
      <w:r>
        <w:t xml:space="preserve">suggests that 22% of the Covid-19 Loan Guarantee Schemes portfolio value has been fully repaid. This represents £17 billion of repayments made. A further 40% (£31 billion) is on schedule to be repaid (although this could fall into arrears or default). The value of facilities that have defaulted (including facilities that have been settled and claimed) or are in arrears in the Covid-19 Loan Guarantee Schemes are (as of </w:t>
      </w:r>
      <w:r w:rsidR="00CA1985">
        <w:t>30</w:t>
      </w:r>
      <w:r w:rsidR="00CA1985" w:rsidRPr="00F2246F">
        <w:rPr>
          <w:vertAlign w:val="superscript"/>
        </w:rPr>
        <w:t>th</w:t>
      </w:r>
      <w:r w:rsidR="00CA1985">
        <w:t xml:space="preserve"> June </w:t>
      </w:r>
      <w:r>
        <w:t>2023):</w:t>
      </w:r>
      <w:r w:rsidR="2F761CF7">
        <w:t xml:space="preserve"> 22% of the value of BBLS (£10.4 billion); 4% of the value of CBILS (£1.1 billion) and 1% of the value of CLBILS (£46 million).</w:t>
      </w:r>
      <w:r w:rsidR="4AD8E76F">
        <w:t xml:space="preserve"> </w:t>
      </w:r>
      <w:r w:rsidR="00C132D2">
        <w:t xml:space="preserve">The default rates are above the arrears </w:t>
      </w:r>
      <w:r w:rsidR="00B62351">
        <w:t xml:space="preserve">and default </w:t>
      </w:r>
      <w:r w:rsidR="00C132D2">
        <w:t xml:space="preserve">rate for SMEs in commercial lending both before and after the Covid-19 pandemic (around </w:t>
      </w:r>
      <w:r w:rsidR="00F54F2F">
        <w:t>2</w:t>
      </w:r>
      <w:r w:rsidR="00C132D2">
        <w:t>%</w:t>
      </w:r>
      <w:r w:rsidR="00C132D2">
        <w:rPr>
          <w:rStyle w:val="FootnoteReference"/>
        </w:rPr>
        <w:footnoteReference w:id="2"/>
      </w:r>
      <w:r w:rsidR="00C132D2">
        <w:t xml:space="preserve">). However, the higher rate of arrears observed in </w:t>
      </w:r>
      <w:r w:rsidR="00F54F2F">
        <w:t>the</w:t>
      </w:r>
      <w:r w:rsidR="00C132D2">
        <w:t xml:space="preserve"> BBLS was anticipated at the scheme design stage, which was accepted by Ministers.</w:t>
      </w:r>
    </w:p>
    <w:p w14:paraId="7A6D3345" w14:textId="0BF29760" w:rsidR="00C33C53" w:rsidRDefault="00EE121F">
      <w:pPr>
        <w:pStyle w:val="ListBullet"/>
        <w:spacing w:after="240"/>
      </w:pPr>
      <w:r w:rsidRPr="00F2246F">
        <w:rPr>
          <w:b/>
          <w:bCs/>
        </w:rPr>
        <w:t xml:space="preserve">Counter fraud work: </w:t>
      </w:r>
      <w:r>
        <w:t xml:space="preserve">Around £1.7 billion of </w:t>
      </w:r>
      <w:r w:rsidR="74DBD8D1">
        <w:t>Covid-19 Loan Guarantee Schemes</w:t>
      </w:r>
      <w:r>
        <w:t xml:space="preserve"> lending has been flagged as suspected cases of fraud by accredited lenders, or</w:t>
      </w:r>
      <w:r w:rsidR="00ED7C4F">
        <w:t xml:space="preserve"> 2</w:t>
      </w:r>
      <w:r>
        <w:t xml:space="preserve">.2% of total lending. </w:t>
      </w:r>
      <w:proofErr w:type="gramStart"/>
      <w:r>
        <w:t>The vast majority of</w:t>
      </w:r>
      <w:proofErr w:type="gramEnd"/>
      <w:r>
        <w:t xml:space="preserve"> suspected cases of fraud are in the BBLS portfolio (3.5% of the lending through the BBLS). However, the current estimated level of suspected fraud is lower than previous estimates from the British Business Bank (of 11% and 7% for the BBLS). Both stakeholders and accredited lenders reported that the additional suspected fraud modelling work undertak</w:t>
      </w:r>
      <w:r w:rsidR="0D03BA35" w:rsidRPr="00F2246F">
        <w:t>en</w:t>
      </w:r>
      <w:r>
        <w:t xml:space="preserve"> by BBB, DBT and the Cabinet Office was beneficial in supporting a stringent assessment of suspected fraud activity, and added value in that the accredited lenders themselves could not have completed the analysis due to resource and data access issues</w:t>
      </w:r>
      <w:r w:rsidR="00B16B28">
        <w:t xml:space="preserve">. </w:t>
      </w:r>
    </w:p>
    <w:p w14:paraId="02F87B31" w14:textId="49902892" w:rsidR="00C132D2" w:rsidRDefault="00EE121F" w:rsidP="00F2246F">
      <w:pPr>
        <w:pStyle w:val="ListBullet"/>
        <w:spacing w:after="240"/>
      </w:pPr>
      <w:r w:rsidRPr="00ED7C4F">
        <w:t>Enforcement activities undertaken</w:t>
      </w:r>
      <w:r w:rsidR="00B16B28" w:rsidRPr="00ED7C4F">
        <w:t xml:space="preserve"> </w:t>
      </w:r>
      <w:r w:rsidRPr="00ED7C4F">
        <w:t xml:space="preserve">by the Insolvency Service have overcome some initial resource and administrative challenges and are reported to be delivering in line with expectations. </w:t>
      </w:r>
    </w:p>
    <w:p w14:paraId="738AFF5C" w14:textId="77777777" w:rsidR="00533A25" w:rsidRDefault="00533A25" w:rsidP="00533A25">
      <w:pPr>
        <w:pStyle w:val="Heading2"/>
      </w:pPr>
      <w:bookmarkStart w:id="5" w:name="_Toc105749872"/>
      <w:bookmarkStart w:id="6" w:name="_Toc134631127"/>
      <w:bookmarkStart w:id="7" w:name="_Toc151549868"/>
      <w:r>
        <w:lastRenderedPageBreak/>
        <w:t>Context</w:t>
      </w:r>
      <w:bookmarkEnd w:id="5"/>
      <w:bookmarkEnd w:id="6"/>
      <w:bookmarkEnd w:id="7"/>
    </w:p>
    <w:p w14:paraId="367361E9" w14:textId="77777777" w:rsidR="00533A25" w:rsidRDefault="00533A25" w:rsidP="00533A25">
      <w:r>
        <w:t xml:space="preserve">In mid-March 2020, the potential scale of the Covid-19 pandemic became clearer as public health measures designed to combat the pandemic and behaviour change among the UK population had a noticeable impact on businesses.  </w:t>
      </w:r>
    </w:p>
    <w:p w14:paraId="037FFA4B" w14:textId="6D6C7681" w:rsidR="00533A25" w:rsidRDefault="00533A25" w:rsidP="00533A25">
      <w:r>
        <w:t>Given the wide-ranging business impacts already felt and the uncertainty over the financial challenges ahead, the UK government moved quickly to design and launch a series of three loan guarantee schemes targeted at businesses of different sizes, n</w:t>
      </w:r>
      <w:r w:rsidRPr="00D414E7">
        <w:t>amely, the Bounce Back Loan Scheme (BBLS), Coronavirus Business Interruption Loan Scheme (CBILS) and Coronavirus Large Business Interruption Loan Scheme (CLBILS)</w:t>
      </w:r>
      <w:r>
        <w:t>.</w:t>
      </w:r>
    </w:p>
    <w:p w14:paraId="5FB1D022" w14:textId="692895B8" w:rsidR="00533A25" w:rsidRDefault="00533A25" w:rsidP="00533A25">
      <w:r>
        <w:t>In March 2021, the British Business Bank (BBB) commissioned London Economics and Ipsos to undertake a multi-year evaluation of the three Covid-19 Loan Guarantee Schemes. This evaluation aims to assess whether the objectives of the Covid-19 Loan Guarantee Schemes were met. Key research questions are divided into process, impact, and economic questions.</w:t>
      </w:r>
    </w:p>
    <w:p w14:paraId="438A8DBB" w14:textId="6CFBAC6F" w:rsidR="00533A25" w:rsidRDefault="00533A25" w:rsidP="00533A25">
      <w:pPr>
        <w:pStyle w:val="ListBullet"/>
        <w:spacing w:after="240"/>
      </w:pPr>
      <w:r>
        <w:t xml:space="preserve">The process evaluation focuses on scheme design, scheme delivery, debt recovery </w:t>
      </w:r>
      <w:r w:rsidR="0052624C">
        <w:t xml:space="preserve">and fraud </w:t>
      </w:r>
      <w:r>
        <w:t>processes, and variations in processes.</w:t>
      </w:r>
    </w:p>
    <w:p w14:paraId="356C0F8F" w14:textId="77777777" w:rsidR="00533A25" w:rsidRDefault="00533A25" w:rsidP="00533A25">
      <w:pPr>
        <w:pStyle w:val="ListBullet"/>
        <w:spacing w:after="240"/>
      </w:pPr>
      <w:r>
        <w:t xml:space="preserve">The impact evaluation focuses on the extent to which the Covid-19 Loan Guarantee Schemes affected business outcomes – for instance, whether having received funds under the Covid-19 Loan Guarantee Schemes was associated with a higher likelihood of business survival, or greater turnover or employment. </w:t>
      </w:r>
    </w:p>
    <w:p w14:paraId="0D9DA583" w14:textId="77777777" w:rsidR="00533A25" w:rsidRDefault="00533A25" w:rsidP="00533A25">
      <w:pPr>
        <w:pStyle w:val="ListBullet"/>
        <w:spacing w:after="240"/>
      </w:pPr>
      <w:r>
        <w:t xml:space="preserve">The economic evaluation focuses on the value for money of the Covid-19 Loan Guarantee Schemes, </w:t>
      </w:r>
      <w:proofErr w:type="gramStart"/>
      <w:r>
        <w:t>taking into account</w:t>
      </w:r>
      <w:proofErr w:type="gramEnd"/>
      <w:r>
        <w:t xml:space="preserve"> both its costs and benefits.</w:t>
      </w:r>
    </w:p>
    <w:p w14:paraId="73E34DC8" w14:textId="43B2D67F" w:rsidR="00533A25" w:rsidRDefault="00533A25" w:rsidP="00533A25">
      <w:r>
        <w:t xml:space="preserve">The Year 1 report </w:t>
      </w:r>
      <w:r w:rsidR="005A2DCC">
        <w:t xml:space="preserve">focused on the first year of the pandemic and </w:t>
      </w:r>
      <w:r>
        <w:t xml:space="preserve">presented the findings from </w:t>
      </w:r>
      <w:r w:rsidR="006E4F69">
        <w:t xml:space="preserve">the </w:t>
      </w:r>
      <w:r>
        <w:t>first phase of the analysis</w:t>
      </w:r>
      <w:r w:rsidR="00731AA1">
        <w:t xml:space="preserve"> (hereafter referred to as the Year 1 analysis, Year 1 impact evaluation or early impact evaluation)</w:t>
      </w:r>
      <w:r>
        <w:t xml:space="preserve">, namely the process evaluation and early impact assessment of the Covid-19 Loan Guarantee Schemes based on survey data and </w:t>
      </w:r>
      <w:proofErr w:type="gramStart"/>
      <w:r>
        <w:t>a number of</w:t>
      </w:r>
      <w:proofErr w:type="gramEnd"/>
      <w:r>
        <w:t xml:space="preserve"> secondary datasets including BBB management information.</w:t>
      </w:r>
    </w:p>
    <w:p w14:paraId="722BDE86" w14:textId="74A601C2" w:rsidR="00533A25" w:rsidRDefault="00533A25" w:rsidP="00533A25">
      <w:r>
        <w:t>In this second phase</w:t>
      </w:r>
      <w:r w:rsidR="005A2DCC">
        <w:t xml:space="preserve"> </w:t>
      </w:r>
      <w:r w:rsidR="00731AA1">
        <w:t>(hereafter referred to as the Year 2 analysis or Year 2 impact evaluation)</w:t>
      </w:r>
      <w:r>
        <w:t xml:space="preserve">, the impact evaluation has focused on using survey data collected in 2022 to assess the impact </w:t>
      </w:r>
      <w:r>
        <w:lastRenderedPageBreak/>
        <w:t xml:space="preserve">of the Covid-19 Loan Guarantee Schemes on business outcomes in </w:t>
      </w:r>
      <w:r w:rsidR="00B642E6">
        <w:t>the second year of the pandemic</w:t>
      </w:r>
      <w:r>
        <w:t xml:space="preserve">. </w:t>
      </w:r>
      <w:r w:rsidR="00A36500">
        <w:t>Analysis</w:t>
      </w:r>
      <w:r>
        <w:t xml:space="preserve"> </w:t>
      </w:r>
      <w:r w:rsidR="00A36500">
        <w:t>related to the first-year impacts of the schemes</w:t>
      </w:r>
      <w:r w:rsidR="00281A24">
        <w:t xml:space="preserve"> </w:t>
      </w:r>
      <w:r w:rsidR="00A36500">
        <w:t xml:space="preserve">has also been conducted </w:t>
      </w:r>
      <w:r>
        <w:t>using secondary data sources</w:t>
      </w:r>
      <w:r w:rsidR="00FC2BCA">
        <w:t xml:space="preserve"> (such as the Inter-Departmental Business Register)</w:t>
      </w:r>
      <w:r>
        <w:t>.</w:t>
      </w:r>
      <w:r w:rsidR="006241BD">
        <w:t xml:space="preserve"> </w:t>
      </w:r>
      <w:r w:rsidR="001B3ABB">
        <w:t xml:space="preserve">A process evaluation focused on </w:t>
      </w:r>
      <w:r w:rsidR="009D38E8">
        <w:t xml:space="preserve">monitoring, repayment and counter fraud processes has been undertaken, drawing on scheme management information, wider </w:t>
      </w:r>
      <w:proofErr w:type="gramStart"/>
      <w:r w:rsidR="009D38E8">
        <w:t>data</w:t>
      </w:r>
      <w:proofErr w:type="gramEnd"/>
      <w:r w:rsidR="009D38E8">
        <w:t xml:space="preserve"> and a series of qualitative interviews with key stakeholders and accredited lenders.</w:t>
      </w:r>
    </w:p>
    <w:p w14:paraId="1804B80A" w14:textId="3972BEA3" w:rsidR="00533A25" w:rsidRDefault="00533A25" w:rsidP="00533A25">
      <w:r>
        <w:t>In the third phase, the impact evaluation will focus on using survey data (collected in 202</w:t>
      </w:r>
      <w:r w:rsidR="00994BE7">
        <w:t>4</w:t>
      </w:r>
      <w:r>
        <w:t xml:space="preserve"> to assess the impact of the Covid-19 Loan Guarantee Schemes on business outcomes in </w:t>
      </w:r>
      <w:r w:rsidR="009E7CA1">
        <w:t>the third year since the pandemic</w:t>
      </w:r>
      <w:r>
        <w:t xml:space="preserve">. Additionally, the </w:t>
      </w:r>
      <w:r w:rsidR="006E4F69">
        <w:t>Year 2</w:t>
      </w:r>
      <w:r>
        <w:t xml:space="preserve"> results will be </w:t>
      </w:r>
      <w:r w:rsidR="0007760B">
        <w:t xml:space="preserve">assessed </w:t>
      </w:r>
      <w:r>
        <w:t>using secondary data sources. The economic evaluation component will assess the value for money of the Covid-19 Loan Guarantee Schemes.</w:t>
      </w:r>
      <w:r w:rsidR="006241BD">
        <w:t xml:space="preserve"> </w:t>
      </w:r>
      <w:r w:rsidR="00DA141E">
        <w:t xml:space="preserve">A further stage of process evaluation will be </w:t>
      </w:r>
      <w:r w:rsidR="008221B3">
        <w:t>undertaken</w:t>
      </w:r>
      <w:r w:rsidR="00DA141E">
        <w:t xml:space="preserve">, which will focus on some of the processes that could not be fully assessed in Year 2 (for example </w:t>
      </w:r>
      <w:r w:rsidR="008221B3">
        <w:t>recovery pilots, the effect of the introduction of a formal counter fraud strategy and further analysis of counter fraud activity</w:t>
      </w:r>
      <w:r w:rsidR="007B1D2C">
        <w:t>)</w:t>
      </w:r>
      <w:r w:rsidR="008221B3">
        <w:t>.</w:t>
      </w:r>
    </w:p>
    <w:p w14:paraId="081506C4" w14:textId="77777777" w:rsidR="00533A25" w:rsidRDefault="00533A25" w:rsidP="00533A25">
      <w:pPr>
        <w:pStyle w:val="Heading2"/>
      </w:pPr>
      <w:bookmarkStart w:id="8" w:name="_Toc105749873"/>
      <w:bookmarkStart w:id="9" w:name="_Toc134631128"/>
      <w:bookmarkStart w:id="10" w:name="_Toc151549869"/>
      <w:r>
        <w:t>Approach</w:t>
      </w:r>
      <w:bookmarkEnd w:id="8"/>
      <w:bookmarkEnd w:id="9"/>
      <w:bookmarkEnd w:id="10"/>
    </w:p>
    <w:p w14:paraId="29B14A59" w14:textId="77777777" w:rsidR="00533A25" w:rsidRDefault="00533A25" w:rsidP="00533A25">
      <w:r>
        <w:t xml:space="preserve">The evaluation uses a mixed methods approach combining both qualitative and quantitative, and primary and secondary evidence. </w:t>
      </w:r>
    </w:p>
    <w:p w14:paraId="117DF434" w14:textId="77777777" w:rsidR="00533A25" w:rsidRDefault="00533A25" w:rsidP="00533A25">
      <w:r>
        <w:t xml:space="preserve">The Year 2 impact evaluation relies on a primary data collection exercise, as well as </w:t>
      </w:r>
      <w:proofErr w:type="gramStart"/>
      <w:r>
        <w:t>a number of</w:t>
      </w:r>
      <w:proofErr w:type="gramEnd"/>
      <w:r>
        <w:t xml:space="preserve"> secondary datasets including BBB management information. Survey fieldwork undertaken by Ipsos resulted in </w:t>
      </w:r>
      <w:r w:rsidRPr="002821C8">
        <w:t>961 businesses completing a mixed mode survey (online and telephone) between August 2022 and October 2022, of which 242 interviews were with BBLS borrowers, 189 interviews were with CBILS borrowers, and 9 interviews were with CLBILS borrowers. The remaining 521 interviews were with non-borrowers</w:t>
      </w:r>
      <w:r>
        <w:t xml:space="preserve">. Non-borrowers were selected to be </w:t>
      </w:r>
      <w:proofErr w:type="gramStart"/>
      <w:r>
        <w:t>similar to</w:t>
      </w:r>
      <w:proofErr w:type="gramEnd"/>
      <w:r>
        <w:t xml:space="preserve"> borrowing businesses in the key respect that they have all faced challenges or opportunities because of the Covid-19 pandemic, thereby increasing the likelihood that both groups of businesses have faced similar financial and operational issues during the reference period of the evaluation. </w:t>
      </w:r>
    </w:p>
    <w:p w14:paraId="280E2763" w14:textId="102E0A0B" w:rsidR="00533A25" w:rsidRDefault="00533A25" w:rsidP="00533A25">
      <w:r>
        <w:t>In addition to the Year 2 impact evaluation, this report presents a</w:t>
      </w:r>
      <w:r w:rsidR="009C70FC">
        <w:t xml:space="preserve"> secondary analysis </w:t>
      </w:r>
      <w:r>
        <w:t xml:space="preserve">of the Year 1 early impact evaluation. </w:t>
      </w:r>
      <w:r w:rsidR="00A63CA4">
        <w:t xml:space="preserve">The analysis assesses the same </w:t>
      </w:r>
      <w:r w:rsidR="003C7F97">
        <w:t>business outcomes</w:t>
      </w:r>
      <w:r w:rsidR="00A63CA4">
        <w:t xml:space="preserve"> in</w:t>
      </w:r>
      <w:r w:rsidR="002D7650">
        <w:t xml:space="preserve"> the </w:t>
      </w:r>
      <w:r w:rsidR="00D36371">
        <w:t xml:space="preserve">first </w:t>
      </w:r>
      <w:r w:rsidR="00D36371">
        <w:lastRenderedPageBreak/>
        <w:t xml:space="preserve">year of the </w:t>
      </w:r>
      <w:r w:rsidR="00956301">
        <w:t>pandemic</w:t>
      </w:r>
      <w:r w:rsidR="00D36371">
        <w:t xml:space="preserve"> </w:t>
      </w:r>
      <w:r w:rsidR="00A63CA4">
        <w:t>as in</w:t>
      </w:r>
      <w:r w:rsidR="002D7650">
        <w:t xml:space="preserve"> the Year 1 report</w:t>
      </w:r>
      <w:r w:rsidR="00A63CA4">
        <w:t xml:space="preserve"> (</w:t>
      </w:r>
      <w:r w:rsidR="00D5524B">
        <w:t>for example</w:t>
      </w:r>
      <w:r w:rsidR="00A63CA4">
        <w:t xml:space="preserve"> business survival, </w:t>
      </w:r>
      <w:proofErr w:type="gramStart"/>
      <w:r w:rsidR="00A63CA4">
        <w:t>turnover</w:t>
      </w:r>
      <w:proofErr w:type="gramEnd"/>
      <w:r w:rsidR="00A63CA4">
        <w:t xml:space="preserve"> and employment) but uses a different methodology </w:t>
      </w:r>
      <w:r w:rsidR="00327E1E">
        <w:t xml:space="preserve">based </w:t>
      </w:r>
      <w:r w:rsidR="00A63CA4">
        <w:t xml:space="preserve">on secondary </w:t>
      </w:r>
      <w:r w:rsidR="002D7650">
        <w:t xml:space="preserve">data </w:t>
      </w:r>
      <w:r w:rsidR="00A63CA4">
        <w:t xml:space="preserve">rather than primary survey data. In particular, </w:t>
      </w:r>
      <w:r w:rsidR="002D7650">
        <w:t xml:space="preserve">the </w:t>
      </w:r>
      <w:r w:rsidR="00F81E06">
        <w:t xml:space="preserve">secondary </w:t>
      </w:r>
      <w:r w:rsidR="002D7650">
        <w:t>analysis</w:t>
      </w:r>
      <w:r w:rsidR="00A63CA4">
        <w:t xml:space="preserve"> does not rely on self-reported impacts as in the Year 1 </w:t>
      </w:r>
      <w:r w:rsidR="00087B46">
        <w:t>report</w:t>
      </w:r>
      <w:r w:rsidR="00F81E06">
        <w:t xml:space="preserve"> </w:t>
      </w:r>
      <w:r w:rsidR="002D7650">
        <w:t xml:space="preserve">and is therefore less prone to biases </w:t>
      </w:r>
      <w:r w:rsidR="00327E1E">
        <w:t xml:space="preserve">related to poor </w:t>
      </w:r>
      <w:r w:rsidR="002D7650">
        <w:t>recall (</w:t>
      </w:r>
      <w:r w:rsidR="00D5524B">
        <w:t>for example</w:t>
      </w:r>
      <w:r w:rsidR="002D7650">
        <w:t xml:space="preserve"> businesses may </w:t>
      </w:r>
      <w:r w:rsidR="00327E1E">
        <w:t>be overly pessimistic about their chances of surviving the pandemic without access to the schemes</w:t>
      </w:r>
      <w:r w:rsidR="002D7650">
        <w:t>)</w:t>
      </w:r>
      <w:r w:rsidR="00A63CA4">
        <w:t xml:space="preserve">. </w:t>
      </w:r>
      <w:r>
        <w:t>This exercise is based on secondary data sources such as the Inter-Departmental Business Register (IDBR) and the Business Insights and Conditions Survey (BICS).</w:t>
      </w:r>
    </w:p>
    <w:p w14:paraId="6BF5469B" w14:textId="741B77D0" w:rsidR="0017628E" w:rsidRDefault="00072631" w:rsidP="0017628E">
      <w:r>
        <w:t xml:space="preserve">The time periods </w:t>
      </w:r>
      <w:r w:rsidR="00F45874">
        <w:t xml:space="preserve">referenced across </w:t>
      </w:r>
      <w:r w:rsidR="005D1784">
        <w:t xml:space="preserve">both the Year 1 and Year 2 evaluation reports </w:t>
      </w:r>
      <w:r w:rsidR="00351714">
        <w:t>can vary</w:t>
      </w:r>
      <w:r w:rsidR="005D1784">
        <w:t xml:space="preserve"> </w:t>
      </w:r>
      <w:r>
        <w:t>depend</w:t>
      </w:r>
      <w:r w:rsidR="00351714">
        <w:t>ing</w:t>
      </w:r>
      <w:r>
        <w:t xml:space="preserve"> on </w:t>
      </w:r>
      <w:r w:rsidR="00351714">
        <w:t>the</w:t>
      </w:r>
      <w:r>
        <w:t xml:space="preserve"> </w:t>
      </w:r>
      <w:r w:rsidR="00BE5A34">
        <w:t xml:space="preserve">analytical </w:t>
      </w:r>
      <w:r w:rsidR="00F7148E">
        <w:t>method</w:t>
      </w:r>
      <w:r w:rsidR="00146CF4">
        <w:t>s</w:t>
      </w:r>
      <w:r w:rsidR="00BE5A34">
        <w:t xml:space="preserve"> employed and </w:t>
      </w:r>
      <w:r w:rsidR="00F7148E">
        <w:t>underlying data source</w:t>
      </w:r>
      <w:r w:rsidR="00146CF4">
        <w:t>s</w:t>
      </w:r>
      <w:r w:rsidR="00BE5A34">
        <w:t>.</w:t>
      </w:r>
      <w:r w:rsidR="00F7148E">
        <w:t xml:space="preserve"> </w:t>
      </w:r>
      <w:r w:rsidR="0017628E">
        <w:t xml:space="preserve">Business survival impacts are measured up to December 2020 in the Year 1 survey, and up to December 2021 in the Year 2 survey (i.e., the Year 2 survival impacts encompass both 2020 and 2021). </w:t>
      </w:r>
      <w:r w:rsidR="00FB5A0B">
        <w:t>Business survival impacts</w:t>
      </w:r>
      <w:r w:rsidR="0017628E">
        <w:t xml:space="preserve"> </w:t>
      </w:r>
      <w:r w:rsidR="00FB5A0B">
        <w:t xml:space="preserve">from </w:t>
      </w:r>
      <w:r w:rsidR="001D2CFB">
        <w:t>the</w:t>
      </w:r>
      <w:r w:rsidR="008729F4">
        <w:t xml:space="preserve"> IDBR</w:t>
      </w:r>
      <w:r w:rsidR="0017628E">
        <w:t xml:space="preserve"> </w:t>
      </w:r>
      <w:r w:rsidR="006A6A95">
        <w:t>secondary analysis</w:t>
      </w:r>
      <w:r w:rsidR="0017628E">
        <w:t xml:space="preserve"> </w:t>
      </w:r>
      <w:r w:rsidR="00580CB5">
        <w:t xml:space="preserve">of Year 1 </w:t>
      </w:r>
      <w:r w:rsidR="00AB4801">
        <w:t>findings</w:t>
      </w:r>
      <w:r w:rsidR="0017628E">
        <w:t xml:space="preserve"> are measured from 1 April 2020 to 31 March 2021. </w:t>
      </w:r>
    </w:p>
    <w:p w14:paraId="3BA289B7" w14:textId="77777777" w:rsidR="0017628E" w:rsidRDefault="0017628E" w:rsidP="0017628E">
      <w:r>
        <w:t xml:space="preserve">For turnover and employment impacts, the exact reference period varies across businesses. In the survey, the reference periods for the Year 1 and Year 2 analysis are individual businesses’ first and second financial years since the beginning of the pandemic, but businesses may have different financial year end months. For businesses with a financial year ending in March, the reference periods for the Year 1 and Year 2 analyses would respectively be April 2020-March 2021 and April 2021-March 2022. </w:t>
      </w:r>
    </w:p>
    <w:p w14:paraId="658A106A" w14:textId="405F91D5" w:rsidR="0017628E" w:rsidRDefault="0017628E" w:rsidP="0017628E">
      <w:r>
        <w:t xml:space="preserve">In the case of the </w:t>
      </w:r>
      <w:r w:rsidR="006D308E">
        <w:t xml:space="preserve">secondary </w:t>
      </w:r>
      <w:r>
        <w:t>analysis</w:t>
      </w:r>
      <w:r w:rsidR="00710C4C">
        <w:t xml:space="preserve"> of Year 1 impacts,</w:t>
      </w:r>
      <w:r>
        <w:t xml:space="preserve"> the reference period for the turnover and employment analysis can also vary across businesses due to differing data sources. The most common reference period for the turnover impact is the calendar year 2020, and the most common reference periods for the employment impact are between July 2020 and June 2021.</w:t>
      </w:r>
    </w:p>
    <w:p w14:paraId="5D8C8637" w14:textId="3BC6E792" w:rsidR="0017628E" w:rsidRDefault="0017628E" w:rsidP="0017628E">
      <w:r>
        <w:t xml:space="preserve">This report will refer to the ‘first (second) year of the pandemic’ when referring to turnover and employment impacts. In the case of the </w:t>
      </w:r>
      <w:r w:rsidR="00710C4C">
        <w:t>secondary</w:t>
      </w:r>
      <w:r>
        <w:t xml:space="preserve"> analysis, when there is only one year since the pandemic</w:t>
      </w:r>
      <w:r w:rsidR="003173C2">
        <w:t>,</w:t>
      </w:r>
      <w:r>
        <w:t xml:space="preserve"> the terms ‘post-pandemic’, ‘post-treatment</w:t>
      </w:r>
      <w:r w:rsidR="001A0905">
        <w:t>’ or</w:t>
      </w:r>
      <w:r>
        <w:t xml:space="preserve"> ‘post-intervention’ will also be used to refer to the first year of the pandemic.</w:t>
      </w:r>
    </w:p>
    <w:p w14:paraId="4209D928" w14:textId="66D509B7" w:rsidR="00533A25" w:rsidRDefault="00DB3323" w:rsidP="00533A25">
      <w:pPr>
        <w:pStyle w:val="Heading2"/>
      </w:pPr>
      <w:bookmarkStart w:id="11" w:name="_Toc105749874"/>
      <w:bookmarkStart w:id="12" w:name="_Toc134631129"/>
      <w:bookmarkStart w:id="13" w:name="_Toc151549870"/>
      <w:r>
        <w:lastRenderedPageBreak/>
        <w:t>Summary of</w:t>
      </w:r>
      <w:r w:rsidR="00533A25">
        <w:t xml:space="preserve"> findings</w:t>
      </w:r>
      <w:bookmarkEnd w:id="11"/>
      <w:bookmarkEnd w:id="12"/>
      <w:bookmarkEnd w:id="13"/>
    </w:p>
    <w:p w14:paraId="26A67516" w14:textId="531E81BA" w:rsidR="00C821E2" w:rsidRPr="00C821E2" w:rsidRDefault="00EF0195" w:rsidP="001C295D">
      <w:r>
        <w:t>A</w:t>
      </w:r>
      <w:r w:rsidR="009906A3">
        <w:t>n overarching</w:t>
      </w:r>
      <w:r>
        <w:t xml:space="preserve"> </w:t>
      </w:r>
      <w:r w:rsidR="00BA4D1F">
        <w:t xml:space="preserve">summary </w:t>
      </w:r>
      <w:r w:rsidR="005D0B46">
        <w:t>of</w:t>
      </w:r>
      <w:r w:rsidR="00C821E2" w:rsidRPr="00AD4456">
        <w:t xml:space="preserve"> findings from the Year 2 </w:t>
      </w:r>
      <w:r w:rsidR="00C821E2">
        <w:t>I</w:t>
      </w:r>
      <w:r w:rsidR="00C821E2" w:rsidRPr="00AD4456">
        <w:t xml:space="preserve">mpact </w:t>
      </w:r>
      <w:r w:rsidR="00C821E2">
        <w:t>E</w:t>
      </w:r>
      <w:r w:rsidR="00C821E2" w:rsidRPr="00AD4456">
        <w:t xml:space="preserve">valuation </w:t>
      </w:r>
      <w:r w:rsidR="00C821E2">
        <w:t xml:space="preserve">report </w:t>
      </w:r>
      <w:r w:rsidR="006C58DB">
        <w:t>is</w:t>
      </w:r>
      <w:r w:rsidR="00C821E2">
        <w:t xml:space="preserve"> presented </w:t>
      </w:r>
      <w:r w:rsidR="00E54BC9">
        <w:t>in the parag</w:t>
      </w:r>
      <w:r w:rsidR="00E807C9">
        <w:t>raphs</w:t>
      </w:r>
      <w:r w:rsidR="00C34FAA">
        <w:t xml:space="preserve"> </w:t>
      </w:r>
      <w:r w:rsidR="00C821E2">
        <w:t>below.</w:t>
      </w:r>
      <w:r w:rsidR="004363BE">
        <w:t xml:space="preserve"> </w:t>
      </w:r>
      <w:r w:rsidR="00D77475">
        <w:t>Impacts on outcomes across both the</w:t>
      </w:r>
      <w:r w:rsidR="00AC24BC">
        <w:t xml:space="preserve"> previous</w:t>
      </w:r>
      <w:r w:rsidR="00D77475">
        <w:t xml:space="preserve"> Year 1 and this </w:t>
      </w:r>
      <w:r w:rsidR="00AC24BC">
        <w:t>Y</w:t>
      </w:r>
      <w:r w:rsidR="00D77475">
        <w:t>ear 2 report are presented in</w:t>
      </w:r>
      <w:r w:rsidR="00E807C9">
        <w:t xml:space="preserve"> </w:t>
      </w:r>
      <w:r>
        <w:t>Table 1</w:t>
      </w:r>
      <w:r w:rsidR="00C821E2">
        <w:t>.</w:t>
      </w:r>
    </w:p>
    <w:p w14:paraId="723C3111" w14:textId="5143F33B" w:rsidR="00DD7520" w:rsidRDefault="00DD7520" w:rsidP="00DD7520">
      <w:pPr>
        <w:pStyle w:val="ListBullet"/>
        <w:spacing w:after="240"/>
      </w:pPr>
      <w:r>
        <w:t xml:space="preserve">Evidence from </w:t>
      </w:r>
      <w:r w:rsidR="00AE5883">
        <w:t xml:space="preserve">both </w:t>
      </w:r>
      <w:r>
        <w:t xml:space="preserve">this </w:t>
      </w:r>
      <w:r w:rsidR="003E1EB8">
        <w:t xml:space="preserve">report </w:t>
      </w:r>
      <w:r w:rsidR="00AE5883">
        <w:t xml:space="preserve">and </w:t>
      </w:r>
      <w:r w:rsidR="003E1EB8">
        <w:t>the</w:t>
      </w:r>
      <w:r w:rsidR="00AE5883">
        <w:t xml:space="preserve"> </w:t>
      </w:r>
      <w:proofErr w:type="gramStart"/>
      <w:r>
        <w:t>first year</w:t>
      </w:r>
      <w:proofErr w:type="gramEnd"/>
      <w:r>
        <w:t xml:space="preserve"> report</w:t>
      </w:r>
      <w:r w:rsidR="0049292E">
        <w:t xml:space="preserve"> </w:t>
      </w:r>
      <w:r>
        <w:t>suggest</w:t>
      </w:r>
      <w:r w:rsidR="00901DB3">
        <w:t>s</w:t>
      </w:r>
      <w:r>
        <w:t xml:space="preserve"> that the short-term objectives of the schemes were achieved – namely to unlock finance at scale and pace such that businesses disrupted as a result of the Covid-19 pandemic still have access to finance, and to offer businesses access to finance schemes complementing other government support and incentives. </w:t>
      </w:r>
    </w:p>
    <w:p w14:paraId="0A335F00" w14:textId="4C654566" w:rsidR="00DD7520" w:rsidRPr="001C295D" w:rsidRDefault="00DD7520" w:rsidP="00DD7520">
      <w:pPr>
        <w:pStyle w:val="ListBullet"/>
        <w:spacing w:after="240"/>
      </w:pPr>
      <w:r>
        <w:t xml:space="preserve">Findings also suggest that one of the schemes’ two medium-term objectives was achieved – namely to give businesses maximum opportunity to maintain liquidity until lockdown measures were lifted. The remaining medium-term objective and long-term objectives will be assessed in the Year 3 report. </w:t>
      </w:r>
    </w:p>
    <w:p w14:paraId="6FD0465C" w14:textId="0B4374A0" w:rsidR="00DD7520" w:rsidRDefault="00DD7520" w:rsidP="00DD7520">
      <w:pPr>
        <w:pStyle w:val="ListBullet"/>
        <w:spacing w:after="240"/>
      </w:pPr>
      <w:r>
        <w:t xml:space="preserve">Based on businesses’ </w:t>
      </w:r>
      <w:r w:rsidR="00A36500">
        <w:t>survey</w:t>
      </w:r>
      <w:r>
        <w:t xml:space="preserve"> responses this Year 2 report suggests that, by the second year of the pandemic, the Covid-19 Loan Guarantee Schemes prevented business closures among borrowers. There is no evidence of further impacts on borrowers’ turnover or employment in addition to the survival impacts</w:t>
      </w:r>
      <w:r w:rsidR="006C58DB">
        <w:t>;</w:t>
      </w:r>
      <w:r>
        <w:t xml:space="preserve"> however, this will be</w:t>
      </w:r>
      <w:r w:rsidR="007F5CD9">
        <w:t xml:space="preserve"> further</w:t>
      </w:r>
      <w:r>
        <w:t xml:space="preserve"> </w:t>
      </w:r>
      <w:r w:rsidR="007F5CD9">
        <w:t>assessed</w:t>
      </w:r>
      <w:r>
        <w:t xml:space="preserve"> in the </w:t>
      </w:r>
      <w:r w:rsidR="004441C1">
        <w:t>Y</w:t>
      </w:r>
      <w:r>
        <w:t xml:space="preserve">ear </w:t>
      </w:r>
      <w:r w:rsidR="004441C1">
        <w:t xml:space="preserve">3 </w:t>
      </w:r>
      <w:r>
        <w:t xml:space="preserve">report. </w:t>
      </w:r>
      <w:r w:rsidR="00737751">
        <w:t xml:space="preserve"> </w:t>
      </w:r>
    </w:p>
    <w:p w14:paraId="24281C94" w14:textId="412F38F6" w:rsidR="00DD7520" w:rsidRDefault="00DD7520" w:rsidP="00DD7520">
      <w:pPr>
        <w:pStyle w:val="ListBullet"/>
        <w:spacing w:after="240"/>
      </w:pPr>
      <w:r>
        <w:t xml:space="preserve">Secondary analysis of Inter-Departmental Business Register (IDBR) data was undertaken to </w:t>
      </w:r>
      <w:r w:rsidR="007F5CD9">
        <w:t>assess the</w:t>
      </w:r>
      <w:r>
        <w:t xml:space="preserve"> findings from the Year 1 early impact evaluation that were based on self-reported data collected through a business survey (and presented in the Year 1 report). This new analysis reaffirms the Year 1 findings that, in the first year of the pandemic, the Covid-19 Loan Guarantee Schemes prevented business closures among borrowers. The survival impacts from this secondary analysis are estimated to be lower than the initial Year 1 survey-based results. </w:t>
      </w:r>
      <w:r w:rsidR="009C3118">
        <w:t xml:space="preserve">Factors that may be driving differences between the Year 1 survey-based results and those based on secondary data are discussed throughout the report (see, for instance, the </w:t>
      </w:r>
      <w:r w:rsidR="009C3118" w:rsidRPr="00F2246F">
        <w:t xml:space="preserve">box “Interpreting differences between Year 1 survey-based analysis and </w:t>
      </w:r>
      <w:r w:rsidR="009A1BE3" w:rsidRPr="00F2246F">
        <w:t>secondary analysis</w:t>
      </w:r>
      <w:r w:rsidR="009C3118" w:rsidRPr="00F2246F">
        <w:t xml:space="preserve"> presented in Year 2”</w:t>
      </w:r>
      <w:r w:rsidR="009C3118" w:rsidRPr="00734DD3">
        <w:t>).</w:t>
      </w:r>
      <w:r w:rsidR="009C3118">
        <w:t xml:space="preserve"> </w:t>
      </w:r>
    </w:p>
    <w:p w14:paraId="31DD15A2" w14:textId="702AF049" w:rsidR="00DD7520" w:rsidRDefault="00DD7520" w:rsidP="00DD7520">
      <w:pPr>
        <w:pStyle w:val="ListBullet"/>
        <w:spacing w:after="240"/>
      </w:pPr>
      <w:r>
        <w:lastRenderedPageBreak/>
        <w:t>The secondary analysis of Year 1 impacts found that the schemes had a positive impact on borrowers’ turnover and employment. It should be noted that this is in addition to survival impacts. This</w:t>
      </w:r>
      <w:r w:rsidR="0088188D">
        <w:t xml:space="preserve"> is unlike the Year 1 early impact evaluation which was unable to </w:t>
      </w:r>
      <w:r w:rsidR="00715723">
        <w:t xml:space="preserve">identify </w:t>
      </w:r>
      <w:r w:rsidR="00173D55">
        <w:t>an</w:t>
      </w:r>
      <w:r>
        <w:t xml:space="preserve"> impact </w:t>
      </w:r>
      <w:r w:rsidR="00820FE4">
        <w:t>based on</w:t>
      </w:r>
      <w:r>
        <w:t xml:space="preserve"> survey</w:t>
      </w:r>
      <w:r w:rsidR="00820FE4">
        <w:t xml:space="preserve"> </w:t>
      </w:r>
      <w:r>
        <w:t>analysis</w:t>
      </w:r>
      <w:r w:rsidR="004C5211">
        <w:t>.</w:t>
      </w:r>
      <w:r>
        <w:t xml:space="preserve"> </w:t>
      </w:r>
    </w:p>
    <w:p w14:paraId="0993C6B7" w14:textId="36D707DC" w:rsidR="00DD7520" w:rsidRPr="00E93A13" w:rsidRDefault="00BA68FB" w:rsidP="00DD7520">
      <w:pPr>
        <w:pStyle w:val="ListBullet"/>
        <w:spacing w:after="240"/>
      </w:pPr>
      <w:r>
        <w:t>T</w:t>
      </w:r>
      <w:r w:rsidR="00DD7520">
        <w:t>he analysis described above aims to isolate the impacts of the Covid-19 Loan Guarantee Schemes from other factors also affecting the outcomes of interest (</w:t>
      </w:r>
      <w:r w:rsidR="00D5524B">
        <w:t>for example</w:t>
      </w:r>
      <w:r w:rsidR="00DD7520">
        <w:t xml:space="preserve"> other business support schemes)</w:t>
      </w:r>
      <w:r w:rsidR="00347613">
        <w:t>. However,</w:t>
      </w:r>
      <w:r w:rsidR="00DD7520">
        <w:t xml:space="preserve"> results should be interpreted </w:t>
      </w:r>
      <w:r w:rsidR="004A0C53">
        <w:t>within</w:t>
      </w:r>
      <w:r w:rsidR="00DD7520">
        <w:t xml:space="preserve"> the context </w:t>
      </w:r>
      <w:r w:rsidR="004A0C53">
        <w:t>of</w:t>
      </w:r>
      <w:r w:rsidR="00DD7520">
        <w:t xml:space="preserve"> other economic shocks (such as the energy crisis) </w:t>
      </w:r>
      <w:r w:rsidR="006678ED">
        <w:t xml:space="preserve">which </w:t>
      </w:r>
      <w:r w:rsidR="00DD7520">
        <w:t xml:space="preserve">presented </w:t>
      </w:r>
      <w:r w:rsidR="009D3722">
        <w:t>significant</w:t>
      </w:r>
      <w:r w:rsidR="00DD7520">
        <w:t xml:space="preserve"> and varied challenges to businesses</w:t>
      </w:r>
      <w:r w:rsidR="00DE48E5">
        <w:t>.</w:t>
      </w:r>
      <w:r w:rsidR="00DD7520">
        <w:t xml:space="preserve"> </w:t>
      </w:r>
      <w:r w:rsidR="00DE48E5">
        <w:t>T</w:t>
      </w:r>
      <w:r w:rsidR="00DD7520">
        <w:t xml:space="preserve">here were </w:t>
      </w:r>
      <w:r w:rsidR="00DE48E5">
        <w:t xml:space="preserve">also </w:t>
      </w:r>
      <w:r w:rsidR="00DD7520">
        <w:t>many different support schemes available to businesses a</w:t>
      </w:r>
      <w:r w:rsidR="00DE48E5">
        <w:t>cross this period</w:t>
      </w:r>
      <w:r w:rsidR="00DD7520">
        <w:t xml:space="preserve">. Hence, the impacts of the Covid-19 Loan Guarantee Schemes are difficult to disentangle from these other factors. Furthermore, the impact of the schemes may take time to materialise – for instance certain business closures may be held back due to temporary insolvency measures or fraud investigations. </w:t>
      </w:r>
    </w:p>
    <w:p w14:paraId="318C14C5" w14:textId="77777777" w:rsidR="00C821E2" w:rsidRDefault="00C821E2" w:rsidP="00533A25">
      <w:pPr>
        <w:sectPr w:rsidR="00C821E2" w:rsidSect="00240A4C">
          <w:footerReference w:type="default" r:id="rId22"/>
          <w:headerReference w:type="first" r:id="rId23"/>
          <w:footerReference w:type="first" r:id="rId24"/>
          <w:pgSz w:w="11906" w:h="16838" w:code="9"/>
          <w:pgMar w:top="1701" w:right="845" w:bottom="1531" w:left="907" w:header="624" w:footer="454" w:gutter="0"/>
          <w:cols w:space="720"/>
          <w:titlePg/>
          <w:docGrid w:linePitch="360"/>
        </w:sectPr>
      </w:pPr>
    </w:p>
    <w:p w14:paraId="37CB3BAE" w14:textId="77777777" w:rsidR="00C821E2" w:rsidRDefault="00C821E2" w:rsidP="00533A25"/>
    <w:p w14:paraId="337EB33B" w14:textId="1117CC7C" w:rsidR="008929CB" w:rsidRDefault="008929CB" w:rsidP="001C295D">
      <w:pPr>
        <w:pStyle w:val="Heading5"/>
      </w:pPr>
      <w:r>
        <w:t xml:space="preserve">Table </w:t>
      </w:r>
      <w:r w:rsidR="00C46218" w:rsidRPr="00A36500">
        <w:rPr>
          <w:bCs/>
        </w:rPr>
        <w:fldChar w:fldCharType="begin"/>
      </w:r>
      <w:r w:rsidR="00C46218" w:rsidRPr="00A36500">
        <w:rPr>
          <w:bCs/>
        </w:rPr>
        <w:instrText xml:space="preserve"> SEQ Table \* ARABIC </w:instrText>
      </w:r>
      <w:r w:rsidR="00C46218" w:rsidRPr="00A36500">
        <w:rPr>
          <w:bCs/>
        </w:rPr>
        <w:fldChar w:fldCharType="separate"/>
      </w:r>
      <w:r w:rsidR="00397D49">
        <w:rPr>
          <w:bCs/>
          <w:noProof/>
        </w:rPr>
        <w:t>1</w:t>
      </w:r>
      <w:r w:rsidR="00C46218" w:rsidRPr="00A36500">
        <w:rPr>
          <w:bCs/>
          <w:noProof/>
        </w:rPr>
        <w:fldChar w:fldCharType="end"/>
      </w:r>
      <w:r>
        <w:t xml:space="preserve"> : </w:t>
      </w:r>
      <w:r w:rsidRPr="008929CB">
        <w:t xml:space="preserve">Year </w:t>
      </w:r>
      <w:r w:rsidR="004441C1">
        <w:t xml:space="preserve">1 and Year </w:t>
      </w:r>
      <w:r w:rsidRPr="008929CB">
        <w:t>2 Impact Evaluation report key findings</w:t>
      </w:r>
    </w:p>
    <w:p w14:paraId="66058728" w14:textId="690F1510" w:rsidR="00C821E2" w:rsidRDefault="00530027" w:rsidP="00530027">
      <w:pPr>
        <w:jc w:val="center"/>
        <w:sectPr w:rsidR="00C821E2" w:rsidSect="008929CB">
          <w:pgSz w:w="16838" w:h="11906" w:orient="landscape" w:code="9"/>
          <w:pgMar w:top="907" w:right="1701" w:bottom="845" w:left="1531" w:header="624" w:footer="454" w:gutter="0"/>
          <w:cols w:space="720"/>
          <w:titlePg/>
          <w:docGrid w:linePitch="360"/>
        </w:sectPr>
      </w:pPr>
      <w:r>
        <w:rPr>
          <w:noProof/>
        </w:rPr>
        <w:drawing>
          <wp:inline distT="0" distB="0" distL="0" distR="0" wp14:anchorId="7C84B582" wp14:editId="17AFB11B">
            <wp:extent cx="9190760" cy="5229225"/>
            <wp:effectExtent l="0" t="0" r="0" b="0"/>
            <wp:docPr id="1797034232" name="Picture 1797034232" descr="Table has 4 columns summarising the different impact estimates of all three loan schemes on business survival, turnover, and employment. This is split by year 1 and year 2 evaluations and the two different methods including surveys and analysis of secondar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34232" name="Picture 1797034232" descr="Table has 4 columns summarising the different impact estimates of all three loan schemes on business survival, turnover, and employment. This is split by year 1 and year 2 evaluations and the two different methods including surveys and analysis of secondary data"/>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198581" cy="5233675"/>
                    </a:xfrm>
                    <a:prstGeom prst="rect">
                      <a:avLst/>
                    </a:prstGeom>
                    <a:noFill/>
                  </pic:spPr>
                </pic:pic>
              </a:graphicData>
            </a:graphic>
          </wp:inline>
        </w:drawing>
      </w:r>
    </w:p>
    <w:p w14:paraId="355C2BAE" w14:textId="671BC29B" w:rsidR="0020058F" w:rsidRDefault="0020058F" w:rsidP="00533A25">
      <w:pPr>
        <w:pStyle w:val="Heading2"/>
      </w:pPr>
      <w:bookmarkStart w:id="14" w:name="_Toc151549871"/>
      <w:bookmarkStart w:id="15" w:name="_Toc105749876"/>
      <w:bookmarkStart w:id="16" w:name="_Toc134631130"/>
      <w:r>
        <w:lastRenderedPageBreak/>
        <w:t>Process evaluation findings</w:t>
      </w:r>
      <w:bookmarkEnd w:id="14"/>
    </w:p>
    <w:p w14:paraId="126EBC87" w14:textId="221C4C6A" w:rsidR="0020058F" w:rsidRDefault="0020058F" w:rsidP="0020058F">
      <w:r>
        <w:t xml:space="preserve">The key findings from the process evaluation, drawing on an assessment of scheme Management Information, wider </w:t>
      </w:r>
      <w:proofErr w:type="gramStart"/>
      <w:r>
        <w:t>literature</w:t>
      </w:r>
      <w:proofErr w:type="gramEnd"/>
      <w:r>
        <w:t xml:space="preserve"> and </w:t>
      </w:r>
      <w:r w:rsidR="007D44D4">
        <w:t>a series of qualitative interviews with key stakeholders and accredited lenders, is set out below.</w:t>
      </w:r>
    </w:p>
    <w:p w14:paraId="3412FA4B" w14:textId="170CEB0A" w:rsidR="007D44D4" w:rsidRPr="005D5D23" w:rsidRDefault="007D44D4" w:rsidP="00236B73">
      <w:bookmarkStart w:id="17" w:name="_Toc149801205"/>
      <w:bookmarkStart w:id="18" w:name="_Toc151016524"/>
      <w:r w:rsidRPr="00236B73">
        <w:rPr>
          <w:color w:val="142855" w:themeColor="text2"/>
        </w:rPr>
        <w:t>Monitoring</w:t>
      </w:r>
      <w:bookmarkEnd w:id="17"/>
      <w:bookmarkEnd w:id="18"/>
    </w:p>
    <w:p w14:paraId="2B7A8545" w14:textId="0DCA9AD2" w:rsidR="00FA21D9" w:rsidRDefault="00FA21D9" w:rsidP="00FA21D9">
      <w:r>
        <w:t xml:space="preserve">Lenders and stakeholders felt an appropriate level of information about the portfolio of lending for the schemes was shared between accredited lenders and the British Business Bank </w:t>
      </w:r>
      <w:proofErr w:type="gramStart"/>
      <w:r>
        <w:t>in order for</w:t>
      </w:r>
      <w:proofErr w:type="gramEnd"/>
      <w:r>
        <w:t xml:space="preserve"> the Bank and </w:t>
      </w:r>
      <w:r w:rsidR="0C2D9A0E">
        <w:t>Department for Business and Trade (</w:t>
      </w:r>
      <w:r>
        <w:t>DBT</w:t>
      </w:r>
      <w:r w:rsidR="3E63411B">
        <w:t>, formerly BEIS)</w:t>
      </w:r>
      <w:r>
        <w:t xml:space="preserve"> to monitor the overall size and scale of the programmes and to ensure that accredited lenders were providing facilities in line with the signed lender agreements. No significant issues were reported about the quality or timeliness of data being reported to the Bank. </w:t>
      </w:r>
    </w:p>
    <w:p w14:paraId="165784D5" w14:textId="77777777" w:rsidR="00FA21D9" w:rsidRDefault="00FA21D9" w:rsidP="00FA21D9">
      <w:r>
        <w:t>DBT have published data about the performance of the Covid-19 Loan Guarantee Schemes to increase the transparency of the schemes. While accredited lenders did not report having any issues with the publication of scheme data, both accredited lenders and stakeholders reported a concern about how the data would be interpreted and used by the public. Therefore, the publication of data was accompanied by explanatory text to mitigate this risk.</w:t>
      </w:r>
    </w:p>
    <w:p w14:paraId="368F8DE9" w14:textId="77777777" w:rsidR="00FA21D9" w:rsidRDefault="00FA21D9" w:rsidP="00FA21D9">
      <w:r>
        <w:t>Stakeholders reported that the introduction of a relationship manager role for the BBLS had a positive impact on the implementation of the schemes, for example supporting engagement with processes and forming a consensus with accredited lenders during challenging discussions. For CBILS and CLBILS the relationship manager role existed from the beginning of the schemes. However, accredited lenders were more neutral about the relationship manager role (across all schemes), with many reporting that they still used multiple communication routes into the British Business Bank for different topics. While they felt their relationship manager was good to have some consistency, they did not think it had added much to the previous communication processes.</w:t>
      </w:r>
    </w:p>
    <w:p w14:paraId="3C43F5C4" w14:textId="77777777" w:rsidR="00FA21D9" w:rsidRDefault="00FA21D9" w:rsidP="00FA21D9">
      <w:r>
        <w:t xml:space="preserve">The lender audit was seen as an appropriate and proportionate mechanism for a publicly supported scheme of this size. Most accredited lenders received a positive outcome </w:t>
      </w:r>
      <w:proofErr w:type="gramStart"/>
      <w:r>
        <w:t>as a result of</w:t>
      </w:r>
      <w:proofErr w:type="gramEnd"/>
      <w:r>
        <w:t xml:space="preserve"> their audit in all years of the scheme. The main challenge with the audit programme reported by stakeholders was the level of engagement from accredited lenders in the initial audit and </w:t>
      </w:r>
      <w:r>
        <w:lastRenderedPageBreak/>
        <w:t xml:space="preserve">follow up conversations – with stakeholders reporting that the relationship manager role had a positive effect on engagement. </w:t>
      </w:r>
    </w:p>
    <w:p w14:paraId="16383D0B" w14:textId="72554C33" w:rsidR="00FA21D9" w:rsidRDefault="00FA21D9" w:rsidP="00FA21D9">
      <w:r>
        <w:t xml:space="preserve">It has not been possible to access more detailed data about the audit outcomes due to the commercial sensitivity of the audit information and, </w:t>
      </w:r>
      <w:r w:rsidR="00962305">
        <w:t>therefore</w:t>
      </w:r>
      <w:r>
        <w:t>, objectively analyse how effective the audits have been in driving compliance with the scheme rules.</w:t>
      </w:r>
    </w:p>
    <w:p w14:paraId="2D21AA75" w14:textId="04C4B44F" w:rsidR="007D44D4" w:rsidRPr="005D5D23" w:rsidRDefault="00EB62B6" w:rsidP="00236B73">
      <w:bookmarkStart w:id="19" w:name="_Toc149801206"/>
      <w:bookmarkStart w:id="20" w:name="_Toc151016525"/>
      <w:r w:rsidRPr="00236B73">
        <w:rPr>
          <w:color w:val="142855" w:themeColor="text2"/>
        </w:rPr>
        <w:t>Repayments</w:t>
      </w:r>
      <w:bookmarkEnd w:id="19"/>
      <w:bookmarkEnd w:id="20"/>
    </w:p>
    <w:p w14:paraId="3D478AA4" w14:textId="477FAD57" w:rsidR="00862D83" w:rsidRDefault="6FF87C1C" w:rsidP="00862D83">
      <w:r>
        <w:t xml:space="preserve">The British Business Bank’s management data </w:t>
      </w:r>
      <w:r w:rsidR="004722A6">
        <w:t xml:space="preserve">available for this </w:t>
      </w:r>
      <w:r w:rsidR="00E838BB">
        <w:t xml:space="preserve">report </w:t>
      </w:r>
      <w:r>
        <w:t>suggests that 22% of the Covid-19 Loan Guarantee Schemes portfolio value has been fully repaid (</w:t>
      </w:r>
      <w:r w:rsidR="00E838BB">
        <w:t xml:space="preserve">data </w:t>
      </w:r>
      <w:r>
        <w:t>as of 3</w:t>
      </w:r>
      <w:r w:rsidR="00A74031">
        <w:t>0</w:t>
      </w:r>
      <w:r w:rsidR="00A74031" w:rsidRPr="00F2246F">
        <w:rPr>
          <w:vertAlign w:val="superscript"/>
        </w:rPr>
        <w:t>th</w:t>
      </w:r>
      <w:r w:rsidR="00A74031">
        <w:t xml:space="preserve"> June</w:t>
      </w:r>
      <w:r>
        <w:t xml:space="preserve"> 2023</w:t>
      </w:r>
      <w:r w:rsidR="000C3067">
        <w:t xml:space="preserve"> and </w:t>
      </w:r>
      <w:r w:rsidR="00E838BB">
        <w:t xml:space="preserve">previously </w:t>
      </w:r>
      <w:r w:rsidR="000C3067">
        <w:t>published in September 2023</w:t>
      </w:r>
      <w:r>
        <w:t xml:space="preserve">). This represents £17 billion of repayments made. </w:t>
      </w:r>
      <w:r w:rsidR="00323FBE">
        <w:t xml:space="preserve">This does not include partial repayments for facilities where full payment has not yet been provided. </w:t>
      </w:r>
      <w:r>
        <w:t xml:space="preserve">A further 40% (£31 billion) is on schedule to be repaid (although this could fall into arrears or default). </w:t>
      </w:r>
    </w:p>
    <w:p w14:paraId="7C9E96C2" w14:textId="4D593318" w:rsidR="00862D83" w:rsidRDefault="00862D83" w:rsidP="00862D83">
      <w:r>
        <w:t>The value of facilities that have defaulted (including facilities that have been settled and claimed) or are in arrears in the Covid-19 Loan Guarantee Schemes are (as of Ju</w:t>
      </w:r>
      <w:r w:rsidR="3665DE38">
        <w:t>ne</w:t>
      </w:r>
      <w:r>
        <w:t xml:space="preserve"> 2023):</w:t>
      </w:r>
    </w:p>
    <w:p w14:paraId="6B0A80DE" w14:textId="77777777" w:rsidR="00862D83" w:rsidRDefault="00862D83" w:rsidP="00862D83">
      <w:pPr>
        <w:pStyle w:val="ListBullet"/>
        <w:spacing w:after="240"/>
      </w:pPr>
      <w:r>
        <w:t>22% of the value of BBLS (£10.4 billion)</w:t>
      </w:r>
    </w:p>
    <w:p w14:paraId="0CFEB02D" w14:textId="022B0679" w:rsidR="00862D83" w:rsidRDefault="00862D83" w:rsidP="00862D83">
      <w:pPr>
        <w:pStyle w:val="ListBullet"/>
        <w:spacing w:after="240"/>
      </w:pPr>
      <w:r>
        <w:t>4% of the value of CBILS (£1.1 billion)</w:t>
      </w:r>
    </w:p>
    <w:p w14:paraId="21B954A3" w14:textId="77777777" w:rsidR="00862D83" w:rsidRDefault="00862D83" w:rsidP="00862D83">
      <w:pPr>
        <w:pStyle w:val="ListBullet"/>
        <w:spacing w:after="240"/>
      </w:pPr>
      <w:r>
        <w:t>1% of the value of CLBILS (£46 million)</w:t>
      </w:r>
    </w:p>
    <w:p w14:paraId="5DF0C416" w14:textId="42C15159" w:rsidR="00862D83" w:rsidRDefault="00862D83" w:rsidP="00862D83">
      <w:r>
        <w:t xml:space="preserve">The </w:t>
      </w:r>
      <w:r w:rsidR="001D0EDF">
        <w:t xml:space="preserve">arrears and </w:t>
      </w:r>
      <w:r>
        <w:t>default rates are above the arrears rate for SMEs in commercial lending both before and after the Covid-19 pandemic (around 2%</w:t>
      </w:r>
      <w:r>
        <w:rPr>
          <w:rStyle w:val="FootnoteReference"/>
        </w:rPr>
        <w:footnoteReference w:id="3"/>
      </w:r>
      <w:r>
        <w:t>). However, the higher rate of arrears observed in the BBLS was anticipated at the scheme design stage, which was accepted by Ministers. The Bank had modelled multiple scenarios, including a 25% default rate for BBLS while the scheme was being designed (</w:t>
      </w:r>
      <w:r w:rsidR="00D27A5F">
        <w:t xml:space="preserve">potentially </w:t>
      </w:r>
      <w:r>
        <w:t>anticipat</w:t>
      </w:r>
      <w:r w:rsidR="0090476C">
        <w:t>ing an</w:t>
      </w:r>
      <w:r>
        <w:t xml:space="preserve"> arrears rate </w:t>
      </w:r>
      <w:r w:rsidR="00E32538">
        <w:t>at</w:t>
      </w:r>
      <w:r>
        <w:t xml:space="preserve"> this level), and the current rate is below this scenario. Lenders reported that the approaches used to secure repayments were in line with their BAU models and were not the reason for the higher than usual arrears / defaults in the schemes. </w:t>
      </w:r>
    </w:p>
    <w:p w14:paraId="789F55C8" w14:textId="77777777" w:rsidR="00862D83" w:rsidRPr="00A2747D" w:rsidRDefault="00862D83" w:rsidP="00862D83">
      <w:r>
        <w:lastRenderedPageBreak/>
        <w:t>The process to remove any ineligible facilities was reported to be working efficiently, in both identifying ineligible facilities and removing these from the scheme portfolios. The relationship manager role was reported to play an important part in the effective functioning of this process. However, none of the lenders consulted reported having to go through this process, so did not provide views on the effectiveness of the process.</w:t>
      </w:r>
    </w:p>
    <w:p w14:paraId="6E294777" w14:textId="01F278F3" w:rsidR="00EB62B6" w:rsidRPr="005D5D23" w:rsidRDefault="00897613" w:rsidP="00236B73">
      <w:bookmarkStart w:id="21" w:name="_Toc149801207"/>
      <w:bookmarkStart w:id="22" w:name="_Toc151016526"/>
      <w:r w:rsidRPr="00236B73">
        <w:rPr>
          <w:color w:val="142855" w:themeColor="text2"/>
        </w:rPr>
        <w:t>Counter fraud work and enforcement</w:t>
      </w:r>
      <w:bookmarkEnd w:id="21"/>
      <w:bookmarkEnd w:id="22"/>
    </w:p>
    <w:p w14:paraId="12EBD452" w14:textId="79109769" w:rsidR="001C2A90" w:rsidRDefault="001C2A90" w:rsidP="001C2A90">
      <w:r>
        <w:t xml:space="preserve">Around £1.7 billion of </w:t>
      </w:r>
      <w:r w:rsidR="56F5CCEC">
        <w:t>Covid-19 Loan Guarantee Schemes</w:t>
      </w:r>
      <w:r>
        <w:t xml:space="preserve"> lending has been flagged as suspected cases of fraud by accredited lenders, or 2.2% of total lending. The vast majority of suspected cases of fraud are in the BBLS portfolio (3.5% of the lending through the BBLS, 0.2% for CBILS and 0% in CLBILS</w:t>
      </w:r>
      <w:r w:rsidR="001E02C9">
        <w:t xml:space="preserve"> as </w:t>
      </w:r>
      <w:proofErr w:type="gramStart"/>
      <w:r w:rsidR="001E02C9">
        <w:t>at</w:t>
      </w:r>
      <w:proofErr w:type="gramEnd"/>
      <w:r w:rsidR="001E02C9">
        <w:t xml:space="preserve"> 30</w:t>
      </w:r>
      <w:r w:rsidR="001E02C9" w:rsidRPr="00F2246F">
        <w:rPr>
          <w:vertAlign w:val="superscript"/>
        </w:rPr>
        <w:t>th</w:t>
      </w:r>
      <w:r w:rsidR="001E02C9">
        <w:t xml:space="preserve"> June 2023</w:t>
      </w:r>
      <w:r>
        <w:t xml:space="preserve">). The risks of fraud in BBLS in particular </w:t>
      </w:r>
      <w:proofErr w:type="gramStart"/>
      <w:r>
        <w:t>was</w:t>
      </w:r>
      <w:proofErr w:type="gramEnd"/>
      <w:r>
        <w:t xml:space="preserve"> highlighted at the scheme design stage and were accepted by Ministers. However, the current estimated level of suspected fraud is lower than previous estimates from the British Business Bank (of 11% and 7% for the BBLS). The current estimates of suspected fraud are reported to be more robust than the previous estimates as lenders and the British Business Bank have more information about businesses that have used the schemes.</w:t>
      </w:r>
    </w:p>
    <w:p w14:paraId="7C3D01F0" w14:textId="0C8D9387" w:rsidR="001C2A90" w:rsidRDefault="001C2A90" w:rsidP="001C2A90">
      <w:r>
        <w:t>The British Business Bank, DBT and the Cabinet Office have undertaken data modelling exercises to identify indicators of suspected cases of fraud, which is a separate exercise to the lenders</w:t>
      </w:r>
      <w:r w:rsidR="00894D96">
        <w:t>’</w:t>
      </w:r>
      <w:r>
        <w:t xml:space="preserve"> BAU monitoring processes. Both stakeholders and accredited lenders reported that this activity was beneficial in supporting a stringent assessment of suspected fraud activity, and added value in that the accredited lenders themselves could not have completed the analysis due to resource and data access issues. The analysis undertaken by the Cabinet Office led to a sharing of 6,478 </w:t>
      </w:r>
      <w:r w:rsidR="00CA487E">
        <w:t xml:space="preserve">instances </w:t>
      </w:r>
      <w:r>
        <w:t xml:space="preserve">of indications of suspected fraud, and of these accredited lenders accepted that 2,817 met their definitions of suspected fraud (43%). </w:t>
      </w:r>
    </w:p>
    <w:p w14:paraId="4B803E36" w14:textId="77777777" w:rsidR="001C2A90" w:rsidRDefault="001C2A90" w:rsidP="001C2A90">
      <w:r>
        <w:t>There were some potential issues with lenders using the data provided from these modelling activities (both regulatory and legal challenges that were identified by the accredited lenders interviewed and accredited lenders’ appetite and desire to make use of data), which presents a challenge to the effectiveness of this work.</w:t>
      </w:r>
    </w:p>
    <w:p w14:paraId="11DF785C" w14:textId="77777777" w:rsidR="001C2A90" w:rsidRDefault="001C2A90" w:rsidP="001C2A90">
      <w:r>
        <w:t xml:space="preserve">Enforcement activities undertaken by the Insolvency Service have overcome some initial resource and administrative challenges (such as not having sufficient capacity initially to respond to the additional cases created by the schemes) and are reported to be delivering </w:t>
      </w:r>
      <w:r>
        <w:lastRenderedPageBreak/>
        <w:t>investigations and enforcement activity in line with expectations. The Insolvency Service has not had to introduce new ways of working to undertake enforcement activity for the Covid-19 Loan Guarantee Schemes.</w:t>
      </w:r>
    </w:p>
    <w:p w14:paraId="652F1ECE" w14:textId="26195846" w:rsidR="00533A25" w:rsidRPr="0020058F" w:rsidRDefault="00533A25" w:rsidP="0020058F">
      <w:pPr>
        <w:pStyle w:val="Heading2"/>
      </w:pPr>
      <w:bookmarkStart w:id="23" w:name="_Toc151549872"/>
      <w:r w:rsidRPr="0020058F">
        <w:t>Year 2 impact evaluation</w:t>
      </w:r>
      <w:bookmarkEnd w:id="15"/>
      <w:bookmarkEnd w:id="16"/>
      <w:bookmarkEnd w:id="23"/>
    </w:p>
    <w:p w14:paraId="2A63D0FB" w14:textId="4FA4F4F1" w:rsidR="00537F10" w:rsidRDefault="00533A25" w:rsidP="00537F10">
      <w:r w:rsidRPr="00490C53">
        <w:t xml:space="preserve">The aim of the </w:t>
      </w:r>
      <w:r>
        <w:t>Year 2</w:t>
      </w:r>
      <w:r w:rsidRPr="00490C53">
        <w:t xml:space="preserve"> impact evaluation was to quantify the impacts of the three Covid-19 Loan Guarantee</w:t>
      </w:r>
      <w:r w:rsidR="007F5695">
        <w:t xml:space="preserve"> </w:t>
      </w:r>
      <w:r w:rsidRPr="00490C53">
        <w:t>Schemes on business-level economic outcomes of borrowers in the second year after the onset of the pandemic</w:t>
      </w:r>
      <w:r>
        <w:t>,</w:t>
      </w:r>
      <w:r w:rsidR="00B92DA4">
        <w:rPr>
          <w:rStyle w:val="FootnoteReference"/>
        </w:rPr>
        <w:footnoteReference w:id="4"/>
      </w:r>
      <w:r>
        <w:t xml:space="preserve"> as well as any wider impacts of the </w:t>
      </w:r>
      <w:r w:rsidR="003850D1">
        <w:t>s</w:t>
      </w:r>
      <w:r>
        <w:t>chemes (including on non-borrowers)</w:t>
      </w:r>
      <w:r w:rsidRPr="00490C53">
        <w:t xml:space="preserve">. The </w:t>
      </w:r>
      <w:r w:rsidR="002B3ABB">
        <w:t xml:space="preserve">Year 2 </w:t>
      </w:r>
      <w:r w:rsidRPr="00490C53">
        <w:t>impact evaluation relie</w:t>
      </w:r>
      <w:r>
        <w:t>d</w:t>
      </w:r>
      <w:r w:rsidRPr="00490C53">
        <w:t xml:space="preserve"> on a combination of </w:t>
      </w:r>
      <w:r>
        <w:t xml:space="preserve">survey-based </w:t>
      </w:r>
      <w:r w:rsidRPr="00490C53">
        <w:t>self-reported impacts, secondary data, and econometric analysis</w:t>
      </w:r>
      <w:r>
        <w:t xml:space="preserve"> of survey data.</w:t>
      </w:r>
      <w:r w:rsidR="00537F10">
        <w:t xml:space="preserve"> The figure below illustrates the timing of the Year 1 and Year 2 survey-based survival estimates. </w:t>
      </w:r>
    </w:p>
    <w:p w14:paraId="0B7E5D51" w14:textId="60EE5959" w:rsidR="006F7C7C" w:rsidRPr="00490C53" w:rsidRDefault="006F7C7C" w:rsidP="006F7C7C">
      <w:pPr>
        <w:pStyle w:val="Heading5"/>
      </w:pPr>
      <w:r w:rsidRPr="00490C53">
        <w:t xml:space="preserve">Figure </w:t>
      </w:r>
      <w:fldSimple w:instr=" SEQ Figure \* ARABIC ">
        <w:r w:rsidR="00397D49">
          <w:rPr>
            <w:noProof/>
          </w:rPr>
          <w:t>1</w:t>
        </w:r>
      </w:fldSimple>
      <w:r w:rsidRPr="00490C53">
        <w:t xml:space="preserve">: </w:t>
      </w:r>
      <w:r>
        <w:t>Timeline of self-reported business survival analysis</w:t>
      </w:r>
    </w:p>
    <w:p w14:paraId="5BBDAE8F" w14:textId="7AFF72B2" w:rsidR="00533A25" w:rsidRPr="006F7C7C" w:rsidRDefault="006F7C7C" w:rsidP="00533A25">
      <w:pPr>
        <w:spacing w:after="240"/>
      </w:pPr>
      <w:r w:rsidRPr="00936118">
        <w:rPr>
          <w:noProof/>
        </w:rPr>
        <w:drawing>
          <wp:inline distT="0" distB="0" distL="0" distR="0" wp14:anchorId="34E001D0" wp14:editId="16E2EFD6">
            <wp:extent cx="6447790" cy="2635250"/>
            <wp:effectExtent l="0" t="0" r="0" b="0"/>
            <wp:docPr id="2081516052" name="Picture 2081516052" descr="CBILS, CLBILS and BBLS were launched in March, April and May 2020 respectively, all closing in April 2021. The Year 1 business survival impact estimate covers the period up to the end of December 2020 and the Year 2 business survival estimate covers the period up to the end of December 2021.&#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16052" name="Picture 2081516052" descr="CBILS, CLBILS and BBLS were launched in March, April and May 2020 respectively, all closing in April 2021. The Year 1 business survival impact estimate covers the period up to the end of December 2020 and the Year 2 business survival estimate covers the period up to the end of December 2021.&#10;&#10;Description automatically generated"/>
                    <pic:cNvPicPr/>
                  </pic:nvPicPr>
                  <pic:blipFill>
                    <a:blip r:embed="rId26"/>
                    <a:stretch>
                      <a:fillRect/>
                    </a:stretch>
                  </pic:blipFill>
                  <pic:spPr>
                    <a:xfrm>
                      <a:off x="0" y="0"/>
                      <a:ext cx="6447790" cy="2635250"/>
                    </a:xfrm>
                    <a:prstGeom prst="rect">
                      <a:avLst/>
                    </a:prstGeom>
                  </pic:spPr>
                </pic:pic>
              </a:graphicData>
            </a:graphic>
          </wp:inline>
        </w:drawing>
      </w:r>
    </w:p>
    <w:p w14:paraId="16DE891B" w14:textId="77777777" w:rsidR="00533A25" w:rsidRPr="005D5D23" w:rsidRDefault="00533A25" w:rsidP="00236B73">
      <w:bookmarkStart w:id="24" w:name="_Toc134631131"/>
      <w:bookmarkStart w:id="25" w:name="_Toc149801209"/>
      <w:bookmarkStart w:id="26" w:name="_Toc151016528"/>
      <w:r w:rsidRPr="00236B73">
        <w:rPr>
          <w:color w:val="142855" w:themeColor="text2"/>
        </w:rPr>
        <w:t>Impact on business survival</w:t>
      </w:r>
      <w:bookmarkEnd w:id="24"/>
      <w:bookmarkEnd w:id="25"/>
      <w:bookmarkEnd w:id="26"/>
    </w:p>
    <w:p w14:paraId="03F5644F" w14:textId="31CD9CCD" w:rsidR="00BC1AF5" w:rsidRDefault="000A2762">
      <w:pPr>
        <w:spacing w:after="240"/>
      </w:pPr>
      <w:r>
        <w:t>B</w:t>
      </w:r>
      <w:r w:rsidR="00533A25" w:rsidRPr="00490C53">
        <w:t>etween 12% and 4</w:t>
      </w:r>
      <w:r w:rsidR="00075C04">
        <w:t>2</w:t>
      </w:r>
      <w:r w:rsidR="00533A25" w:rsidRPr="00490C53">
        <w:t>%</w:t>
      </w:r>
      <w:r w:rsidR="004441C1">
        <w:rPr>
          <w:rStyle w:val="FootnoteReference"/>
        </w:rPr>
        <w:footnoteReference w:id="5"/>
      </w:r>
      <w:r w:rsidR="00533A25" w:rsidRPr="00490C53">
        <w:t xml:space="preserve"> of BBLS borrowers would have permanently closed by </w:t>
      </w:r>
      <w:r w:rsidR="00B540DE">
        <w:t>December</w:t>
      </w:r>
      <w:r w:rsidR="00533A25" w:rsidRPr="00490C53">
        <w:t xml:space="preserve"> 2021 if they had not had access to the Covid-19 Loan Guarantee Schemes, compared to </w:t>
      </w:r>
      <w:r w:rsidR="00533A25" w:rsidRPr="00490C53">
        <w:lastRenderedPageBreak/>
        <w:t xml:space="preserve">between </w:t>
      </w:r>
      <w:r w:rsidR="00533A25">
        <w:t>6</w:t>
      </w:r>
      <w:r w:rsidR="00533A25" w:rsidRPr="00490C53">
        <w:t>% and 3</w:t>
      </w:r>
      <w:r w:rsidR="00533A25">
        <w:t>5</w:t>
      </w:r>
      <w:r w:rsidR="00533A25" w:rsidRPr="00490C53">
        <w:t>% of CBILS/CLBILS borrowers</w:t>
      </w:r>
      <w:r w:rsidR="00533A25">
        <w:t>.</w:t>
      </w:r>
      <w:r w:rsidR="002F6658">
        <w:t xml:space="preserve"> These figures are </w:t>
      </w:r>
      <w:r w:rsidR="0086717A">
        <w:t xml:space="preserve">based on </w:t>
      </w:r>
      <w:r w:rsidR="002F6658">
        <w:t>self-reported data, collected during a survey of BBLS and CBILS/CLBILS borrowers</w:t>
      </w:r>
      <w:r w:rsidR="009C41D0">
        <w:t xml:space="preserve"> to the Covid-19 Loan Guarantee Schemes</w:t>
      </w:r>
      <w:r w:rsidR="00075C04">
        <w:t>,</w:t>
      </w:r>
      <w:r w:rsidR="009C41D0">
        <w:rPr>
          <w:rStyle w:val="FootnoteReference"/>
        </w:rPr>
        <w:footnoteReference w:id="6"/>
      </w:r>
      <w:r w:rsidR="009C41D0">
        <w:t xml:space="preserve"> </w:t>
      </w:r>
      <w:r w:rsidR="00075C04">
        <w:t>as well as</w:t>
      </w:r>
      <w:r w:rsidR="009C41D0">
        <w:t xml:space="preserve"> BBB Management Information and Portal Data</w:t>
      </w:r>
      <w:r w:rsidR="00075C04">
        <w:t>.</w:t>
      </w:r>
      <w:r w:rsidR="009C41D0">
        <w:t xml:space="preserve"> </w:t>
      </w:r>
      <w:r w:rsidR="00075C04">
        <w:t>It</w:t>
      </w:r>
      <w:r w:rsidR="00075C04" w:rsidRPr="00490C53">
        <w:t xml:space="preserve"> </w:t>
      </w:r>
      <w:r w:rsidR="009C41D0" w:rsidRPr="00490C53">
        <w:t>is estimated that an additional 175</w:t>
      </w:r>
      <w:r w:rsidR="009C41D0">
        <w:t xml:space="preserve">,000 </w:t>
      </w:r>
      <w:r w:rsidR="009C41D0" w:rsidRPr="00490C53">
        <w:t>to 618</w:t>
      </w:r>
      <w:r w:rsidR="009C41D0">
        <w:t xml:space="preserve">,000 </w:t>
      </w:r>
      <w:r w:rsidR="009C41D0" w:rsidRPr="00490C53">
        <w:t>BBLS borrowers and 4</w:t>
      </w:r>
      <w:r w:rsidR="009C41D0">
        <w:t xml:space="preserve">,000 </w:t>
      </w:r>
      <w:r w:rsidR="009C41D0" w:rsidRPr="00490C53">
        <w:t>to 25</w:t>
      </w:r>
      <w:r w:rsidR="009C41D0">
        <w:t xml:space="preserve">,000 </w:t>
      </w:r>
      <w:r w:rsidR="009C41D0" w:rsidRPr="00490C53">
        <w:t xml:space="preserve">CBILS/CLBILS borrowers may have </w:t>
      </w:r>
      <w:r w:rsidR="009C41D0">
        <w:t>permanently closed</w:t>
      </w:r>
      <w:r w:rsidR="009C41D0" w:rsidRPr="00490C53">
        <w:t xml:space="preserve"> </w:t>
      </w:r>
      <w:r w:rsidR="00B540DE">
        <w:t xml:space="preserve">by December 2021 (i.e., </w:t>
      </w:r>
      <w:r w:rsidR="009C41D0" w:rsidRPr="00490C53">
        <w:t>in 2020 or 2021</w:t>
      </w:r>
      <w:r w:rsidR="00B540DE">
        <w:t>)</w:t>
      </w:r>
      <w:r w:rsidR="009C41D0" w:rsidRPr="00490C53">
        <w:t xml:space="preserve"> without access to the Covid-19 Loan Guarantee Schemes</w:t>
      </w:r>
      <w:r w:rsidR="009C41D0">
        <w:t>, accounting for approximately</w:t>
      </w:r>
      <w:r w:rsidR="009C41D0" w:rsidRPr="00490C53">
        <w:t xml:space="preserve"> 0.9 million to 3.4 million jobs</w:t>
      </w:r>
      <w:r w:rsidR="009C41D0">
        <w:t xml:space="preserve">. </w:t>
      </w:r>
    </w:p>
    <w:p w14:paraId="3F2E0034" w14:textId="239C3D65" w:rsidR="009C41D0" w:rsidRDefault="009C41D0" w:rsidP="00A36500">
      <w:pPr>
        <w:spacing w:after="240"/>
      </w:pPr>
      <w:r>
        <w:t xml:space="preserve">While the above ranges are large, the Year 3 report will look to </w:t>
      </w:r>
      <w:r w:rsidR="008C1A7E">
        <w:t>assess</w:t>
      </w:r>
      <w:r>
        <w:t xml:space="preserve"> these findings using secondary data and provide a sense of where in these ranges the impact is likely to lie, or even whether these ranges might overestimate the impact due to the self-reported nature of the underlying data. As suggested by the </w:t>
      </w:r>
      <w:r w:rsidR="005F0A68">
        <w:t xml:space="preserve">secondary analysis </w:t>
      </w:r>
      <w:r>
        <w:t xml:space="preserve">of the Year 1 early impact evaluation (see below), it is likely that estimates based on secondary data will be lower than those based on self-reported data. </w:t>
      </w:r>
    </w:p>
    <w:p w14:paraId="64A1E7F7" w14:textId="22250E2C" w:rsidR="00533A25" w:rsidRDefault="00EC0D29" w:rsidP="00533A25">
      <w:pPr>
        <w:spacing w:after="240"/>
      </w:pPr>
      <w:r>
        <w:fldChar w:fldCharType="begin"/>
      </w:r>
      <w:r>
        <w:instrText xml:space="preserve"> REF _Ref138328996 \h </w:instrText>
      </w:r>
      <w:r>
        <w:fldChar w:fldCharType="separate"/>
      </w:r>
      <w:r w:rsidR="00397D49">
        <w:t xml:space="preserve">Table </w:t>
      </w:r>
      <w:r w:rsidR="00397D49">
        <w:rPr>
          <w:noProof/>
        </w:rPr>
        <w:t>2</w:t>
      </w:r>
      <w:r>
        <w:fldChar w:fldCharType="end"/>
      </w:r>
      <w:r>
        <w:t xml:space="preserve"> </w:t>
      </w:r>
      <w:r w:rsidR="00533A25">
        <w:t>below compares the results of th</w:t>
      </w:r>
      <w:r w:rsidR="00930458">
        <w:t>e Year 2</w:t>
      </w:r>
      <w:r w:rsidR="00533A25">
        <w:t xml:space="preserve"> analysis to those from the Year 1 report, which relate to the estimated proportion, number and pre-pandemic employment of borrowers that would have closed by </w:t>
      </w:r>
      <w:r w:rsidR="00B540DE">
        <w:t>December</w:t>
      </w:r>
      <w:r w:rsidR="00533A25">
        <w:t xml:space="preserve"> 2020</w:t>
      </w:r>
      <w:r w:rsidR="000A2762">
        <w:t xml:space="preserve"> (</w:t>
      </w:r>
      <w:r w:rsidR="00B540DE">
        <w:t xml:space="preserve">December </w:t>
      </w:r>
      <w:r w:rsidR="000A2762">
        <w:t>2021</w:t>
      </w:r>
      <w:r w:rsidR="00930458">
        <w:t xml:space="preserve"> in the case of the Year 2 analysis</w:t>
      </w:r>
      <w:r w:rsidR="000A2762">
        <w:t>)</w:t>
      </w:r>
      <w:r w:rsidR="00533A25">
        <w:t xml:space="preserve"> if they had not had access to the Covid-19 Loan Guarantee Schemes. As shown in the table, estimated survival impacts are higher in Year 2. </w:t>
      </w:r>
    </w:p>
    <w:p w14:paraId="324CCF2A" w14:textId="4ACB248E" w:rsidR="00533A25" w:rsidRDefault="00533A25" w:rsidP="00533A25">
      <w:pPr>
        <w:pStyle w:val="Heading5"/>
      </w:pPr>
      <w:bookmarkStart w:id="27" w:name="_Ref138328996"/>
      <w:r>
        <w:t xml:space="preserve">Table </w:t>
      </w:r>
      <w:r>
        <w:fldChar w:fldCharType="begin"/>
      </w:r>
      <w:r>
        <w:instrText>SEQ Table \* ARABIC</w:instrText>
      </w:r>
      <w:r>
        <w:fldChar w:fldCharType="separate"/>
      </w:r>
      <w:r w:rsidR="00397D49">
        <w:rPr>
          <w:noProof/>
        </w:rPr>
        <w:t>2</w:t>
      </w:r>
      <w:r>
        <w:fldChar w:fldCharType="end"/>
      </w:r>
      <w:bookmarkEnd w:id="27"/>
      <w:r>
        <w:t xml:space="preserve"> : </w:t>
      </w:r>
      <w:r w:rsidRPr="00846F78">
        <w:t>Year 1 survey-based estimate</w:t>
      </w:r>
      <w:r>
        <w:t>s</w:t>
      </w:r>
      <w:r w:rsidRPr="00846F78">
        <w:t xml:space="preserve"> compared to </w:t>
      </w:r>
      <w:r>
        <w:t>Year 2 survey-based estimates</w:t>
      </w:r>
    </w:p>
    <w:tbl>
      <w:tblPr>
        <w:tblStyle w:val="TableGrid"/>
        <w:tblW w:w="4947" w:type="pct"/>
        <w:tblLook w:val="04A0" w:firstRow="1" w:lastRow="0" w:firstColumn="1" w:lastColumn="0" w:noHBand="0" w:noVBand="1"/>
      </w:tblPr>
      <w:tblGrid>
        <w:gridCol w:w="1804"/>
        <w:gridCol w:w="4707"/>
        <w:gridCol w:w="1896"/>
        <w:gridCol w:w="1639"/>
      </w:tblGrid>
      <w:tr w:rsidR="00533A25" w:rsidRPr="00D13154" w14:paraId="1A1FDBF0" w14:textId="77777777">
        <w:trPr>
          <w:cnfStyle w:val="100000000000" w:firstRow="1" w:lastRow="0" w:firstColumn="0" w:lastColumn="0" w:oddVBand="0" w:evenVBand="0" w:oddHBand="0" w:evenHBand="0" w:firstRowFirstColumn="0" w:firstRowLastColumn="0" w:lastRowFirstColumn="0" w:lastRowLastColumn="0"/>
          <w:tblHeader/>
        </w:trPr>
        <w:tc>
          <w:tcPr>
            <w:tcW w:w="873" w:type="pct"/>
          </w:tcPr>
          <w:p w14:paraId="47B44F55" w14:textId="77777777" w:rsidR="00533A25" w:rsidRPr="00AB131F" w:rsidRDefault="00533A25">
            <w:pPr>
              <w:pStyle w:val="Tablecolumnheading-inkblue"/>
              <w:rPr>
                <w:bCs/>
                <w:color w:val="FFFFFF" w:themeColor="background1"/>
                <w:sz w:val="22"/>
                <w:szCs w:val="20"/>
              </w:rPr>
            </w:pPr>
            <w:r w:rsidRPr="00336C7F">
              <w:rPr>
                <w:bCs/>
                <w:color w:val="FFFFFF" w:themeColor="background1"/>
                <w:sz w:val="22"/>
                <w:szCs w:val="20"/>
              </w:rPr>
              <w:t>Scheme</w:t>
            </w:r>
          </w:p>
        </w:tc>
        <w:tc>
          <w:tcPr>
            <w:tcW w:w="2302" w:type="pct"/>
          </w:tcPr>
          <w:p w14:paraId="6B5437E2" w14:textId="77777777" w:rsidR="00533A25" w:rsidRDefault="00533A25">
            <w:pPr>
              <w:pStyle w:val="Tablecolumnheading-inkblue"/>
              <w:rPr>
                <w:bCs/>
                <w:color w:val="FFFFFF" w:themeColor="background1"/>
                <w:sz w:val="22"/>
                <w:szCs w:val="20"/>
              </w:rPr>
            </w:pPr>
          </w:p>
        </w:tc>
        <w:tc>
          <w:tcPr>
            <w:tcW w:w="952" w:type="pct"/>
          </w:tcPr>
          <w:p w14:paraId="18F0C84C" w14:textId="31277D7A" w:rsidR="00533A25" w:rsidRDefault="00533A25">
            <w:pPr>
              <w:pStyle w:val="Tablecolumnheading-inkblue"/>
              <w:rPr>
                <w:bCs/>
                <w:color w:val="FFFFFF" w:themeColor="background1"/>
                <w:sz w:val="22"/>
                <w:szCs w:val="20"/>
              </w:rPr>
            </w:pPr>
            <w:r>
              <w:rPr>
                <w:bCs/>
                <w:color w:val="FFFFFF" w:themeColor="background1"/>
                <w:sz w:val="22"/>
                <w:szCs w:val="20"/>
              </w:rPr>
              <w:t>Year 1</w:t>
            </w:r>
            <w:r w:rsidR="00B540DE">
              <w:rPr>
                <w:rStyle w:val="FootnoteReference"/>
                <w:bCs/>
                <w:color w:val="FFFFFF" w:themeColor="background1"/>
                <w:sz w:val="22"/>
                <w:szCs w:val="20"/>
              </w:rPr>
              <w:footnoteReference w:id="7"/>
            </w:r>
          </w:p>
        </w:tc>
        <w:tc>
          <w:tcPr>
            <w:tcW w:w="873" w:type="pct"/>
          </w:tcPr>
          <w:p w14:paraId="6840D45D" w14:textId="0C0DD7EB" w:rsidR="00533A25" w:rsidRPr="00E12E06" w:rsidRDefault="00533A25">
            <w:pPr>
              <w:pStyle w:val="Tablecolumnheading-inkblue"/>
              <w:rPr>
                <w:bCs/>
                <w:color w:val="FFFFFF" w:themeColor="background1"/>
                <w:sz w:val="22"/>
                <w:szCs w:val="20"/>
              </w:rPr>
            </w:pPr>
            <w:r>
              <w:rPr>
                <w:bCs/>
                <w:color w:val="FFFFFF" w:themeColor="background1"/>
                <w:sz w:val="22"/>
                <w:szCs w:val="20"/>
              </w:rPr>
              <w:t>Year 2</w:t>
            </w:r>
            <w:r w:rsidR="00B540DE">
              <w:rPr>
                <w:rStyle w:val="FootnoteReference"/>
                <w:bCs/>
                <w:color w:val="FFFFFF" w:themeColor="background1"/>
                <w:sz w:val="22"/>
                <w:szCs w:val="20"/>
              </w:rPr>
              <w:footnoteReference w:id="8"/>
            </w:r>
          </w:p>
        </w:tc>
      </w:tr>
      <w:tr w:rsidR="00533A25" w:rsidRPr="00D13154" w14:paraId="4EDABD4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24" w:type="pct"/>
            <w:vAlign w:val="center"/>
          </w:tcPr>
          <w:p w14:paraId="53454C18" w14:textId="77777777" w:rsidR="00533A25" w:rsidRPr="005812C4" w:rsidDel="000A1204" w:rsidRDefault="00533A25">
            <w:pPr>
              <w:pStyle w:val="Tabletext"/>
            </w:pPr>
            <w:r>
              <w:t>BBLS</w:t>
            </w:r>
          </w:p>
        </w:tc>
        <w:tc>
          <w:tcPr>
            <w:tcW w:w="2351" w:type="pct"/>
          </w:tcPr>
          <w:p w14:paraId="2485209E" w14:textId="62B24770" w:rsidR="00533A25" w:rsidRPr="00447BC9" w:rsidRDefault="00075C04">
            <w:pPr>
              <w:pStyle w:val="Tabletext"/>
              <w:spacing w:before="0"/>
              <w:rPr>
                <w:rStyle w:val="Bold"/>
                <w:b w:val="0"/>
              </w:rPr>
            </w:pPr>
            <w:r>
              <w:t>Proportion of borrowers that may have ceased trading without access to the scheme</w:t>
            </w:r>
          </w:p>
        </w:tc>
        <w:tc>
          <w:tcPr>
            <w:tcW w:w="952" w:type="pct"/>
            <w:vAlign w:val="center"/>
          </w:tcPr>
          <w:p w14:paraId="22411675" w14:textId="77777777" w:rsidR="00533A25" w:rsidRPr="007552F5" w:rsidRDefault="00533A25">
            <w:pPr>
              <w:pStyle w:val="Tabletext"/>
              <w:spacing w:before="0"/>
            </w:pPr>
            <w:r>
              <w:t>10</w:t>
            </w:r>
            <w:r w:rsidRPr="00846F78">
              <w:t>%-34%</w:t>
            </w:r>
          </w:p>
        </w:tc>
        <w:tc>
          <w:tcPr>
            <w:tcW w:w="873" w:type="pct"/>
            <w:vAlign w:val="center"/>
          </w:tcPr>
          <w:p w14:paraId="36073DCD" w14:textId="6C6B80DB" w:rsidR="00533A25" w:rsidRPr="00447BC9" w:rsidRDefault="00533A25">
            <w:pPr>
              <w:pStyle w:val="Tabletext"/>
              <w:spacing w:before="0"/>
              <w:rPr>
                <w:rStyle w:val="Bold"/>
                <w:b w:val="0"/>
              </w:rPr>
            </w:pPr>
            <w:r>
              <w:t>12%-4</w:t>
            </w:r>
            <w:r w:rsidR="00075C04">
              <w:t>2</w:t>
            </w:r>
            <w:r>
              <w:t>%</w:t>
            </w:r>
          </w:p>
        </w:tc>
      </w:tr>
      <w:tr w:rsidR="00533A25" w:rsidRPr="00D13154" w14:paraId="7A2CE9A2" w14:textId="77777777">
        <w:tblPrEx>
          <w:tblCellMar>
            <w:left w:w="108" w:type="dxa"/>
            <w:right w:w="108" w:type="dxa"/>
          </w:tblCellMar>
        </w:tblPrEx>
        <w:tc>
          <w:tcPr>
            <w:tcW w:w="824" w:type="pct"/>
            <w:vAlign w:val="center"/>
          </w:tcPr>
          <w:p w14:paraId="389B7A5F" w14:textId="77777777" w:rsidR="00533A25" w:rsidRPr="005812C4" w:rsidDel="000A1204" w:rsidRDefault="00533A25">
            <w:pPr>
              <w:pStyle w:val="Tabletext"/>
            </w:pPr>
            <w:r>
              <w:t>BBLS</w:t>
            </w:r>
          </w:p>
        </w:tc>
        <w:tc>
          <w:tcPr>
            <w:tcW w:w="2351" w:type="pct"/>
          </w:tcPr>
          <w:p w14:paraId="3FB26FD8" w14:textId="04F96914" w:rsidR="00533A25" w:rsidRPr="003D6B4D" w:rsidRDefault="00D34326">
            <w:pPr>
              <w:pStyle w:val="Tabletext"/>
              <w:spacing w:before="0"/>
              <w:rPr>
                <w:rStyle w:val="Bold"/>
                <w:b w:val="0"/>
              </w:rPr>
            </w:pPr>
            <w:r>
              <w:rPr>
                <w:rStyle w:val="Bold"/>
                <w:b w:val="0"/>
              </w:rPr>
              <w:t>Number of b</w:t>
            </w:r>
            <w:r w:rsidR="00533A25">
              <w:rPr>
                <w:rStyle w:val="Bold"/>
                <w:b w:val="0"/>
              </w:rPr>
              <w:t xml:space="preserve">orrowers that may have ceased trading </w:t>
            </w:r>
            <w:r w:rsidR="00533A25">
              <w:t>without access to</w:t>
            </w:r>
            <w:r w:rsidR="00533A25">
              <w:rPr>
                <w:rStyle w:val="Bold"/>
                <w:b w:val="0"/>
              </w:rPr>
              <w:t xml:space="preserve"> the scheme</w:t>
            </w:r>
            <w:r w:rsidR="003D6B4D">
              <w:rPr>
                <w:rStyle w:val="Bold"/>
                <w:b w:val="0"/>
              </w:rPr>
              <w:t xml:space="preserve"> </w:t>
            </w:r>
          </w:p>
        </w:tc>
        <w:tc>
          <w:tcPr>
            <w:tcW w:w="952" w:type="pct"/>
            <w:vAlign w:val="center"/>
          </w:tcPr>
          <w:p w14:paraId="3B79896F" w14:textId="77777777" w:rsidR="00533A25" w:rsidRPr="007552F5" w:rsidRDefault="00533A25">
            <w:pPr>
              <w:pStyle w:val="Tabletext"/>
              <w:spacing w:before="0"/>
            </w:pPr>
            <w:r w:rsidRPr="00490C53">
              <w:t>1</w:t>
            </w:r>
            <w:r>
              <w:t>46,000-505,000</w:t>
            </w:r>
          </w:p>
        </w:tc>
        <w:tc>
          <w:tcPr>
            <w:tcW w:w="873" w:type="pct"/>
            <w:vAlign w:val="center"/>
          </w:tcPr>
          <w:p w14:paraId="409A4A9B" w14:textId="77777777" w:rsidR="00533A25" w:rsidRPr="00447BC9" w:rsidRDefault="00533A25">
            <w:pPr>
              <w:pStyle w:val="Tabletext"/>
              <w:spacing w:before="0"/>
              <w:rPr>
                <w:rStyle w:val="Bold"/>
                <w:b w:val="0"/>
              </w:rPr>
            </w:pPr>
            <w:r w:rsidRPr="00490C53">
              <w:t>175</w:t>
            </w:r>
            <w:r>
              <w:t>,000-</w:t>
            </w:r>
            <w:r w:rsidRPr="00490C53">
              <w:t>618</w:t>
            </w:r>
            <w:r>
              <w:t>,000</w:t>
            </w:r>
          </w:p>
        </w:tc>
      </w:tr>
      <w:tr w:rsidR="00533A25" w:rsidRPr="00D13154" w14:paraId="3A2A690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24" w:type="pct"/>
            <w:vAlign w:val="center"/>
          </w:tcPr>
          <w:p w14:paraId="280BD713" w14:textId="77777777" w:rsidR="00533A25" w:rsidRPr="005812C4" w:rsidDel="000A1204" w:rsidRDefault="00533A25">
            <w:pPr>
              <w:pStyle w:val="Tabletext"/>
            </w:pPr>
            <w:r>
              <w:lastRenderedPageBreak/>
              <w:t>CBILS/CLBILS</w:t>
            </w:r>
          </w:p>
        </w:tc>
        <w:tc>
          <w:tcPr>
            <w:tcW w:w="2351" w:type="pct"/>
          </w:tcPr>
          <w:p w14:paraId="6946CB0B" w14:textId="20267E5E" w:rsidR="00533A25" w:rsidRPr="00447BC9" w:rsidRDefault="00075C04">
            <w:pPr>
              <w:pStyle w:val="Tabletext"/>
              <w:spacing w:before="0"/>
              <w:rPr>
                <w:rStyle w:val="Bold"/>
                <w:b w:val="0"/>
              </w:rPr>
            </w:pPr>
            <w:r>
              <w:t>Proportion of borrowers that may have ceased trading without access to the scheme</w:t>
            </w:r>
          </w:p>
        </w:tc>
        <w:tc>
          <w:tcPr>
            <w:tcW w:w="952" w:type="pct"/>
            <w:vAlign w:val="center"/>
          </w:tcPr>
          <w:p w14:paraId="5BE8485A" w14:textId="77777777" w:rsidR="00533A25" w:rsidRPr="007552F5" w:rsidRDefault="00533A25">
            <w:pPr>
              <w:pStyle w:val="Tabletext"/>
              <w:spacing w:before="0"/>
            </w:pPr>
            <w:r>
              <w:t>7</w:t>
            </w:r>
            <w:r w:rsidRPr="00846F78">
              <w:t>%-28%</w:t>
            </w:r>
          </w:p>
        </w:tc>
        <w:tc>
          <w:tcPr>
            <w:tcW w:w="873" w:type="pct"/>
            <w:vAlign w:val="center"/>
          </w:tcPr>
          <w:p w14:paraId="792C78FD" w14:textId="77777777" w:rsidR="00533A25" w:rsidRPr="00447BC9" w:rsidRDefault="00533A25">
            <w:pPr>
              <w:pStyle w:val="Tabletext"/>
              <w:spacing w:before="0"/>
              <w:rPr>
                <w:rStyle w:val="Bold"/>
                <w:b w:val="0"/>
              </w:rPr>
            </w:pPr>
            <w:r>
              <w:t>6</w:t>
            </w:r>
            <w:r w:rsidRPr="00846F78">
              <w:t>%</w:t>
            </w:r>
            <w:r>
              <w:t>-35%</w:t>
            </w:r>
          </w:p>
        </w:tc>
      </w:tr>
      <w:tr w:rsidR="00533A25" w:rsidRPr="00D13154" w14:paraId="7D282831" w14:textId="77777777">
        <w:tblPrEx>
          <w:tblCellMar>
            <w:left w:w="108" w:type="dxa"/>
            <w:right w:w="108" w:type="dxa"/>
          </w:tblCellMar>
        </w:tblPrEx>
        <w:tc>
          <w:tcPr>
            <w:tcW w:w="824" w:type="pct"/>
            <w:vAlign w:val="center"/>
          </w:tcPr>
          <w:p w14:paraId="080B6F89" w14:textId="77777777" w:rsidR="00533A25" w:rsidRDefault="00533A25">
            <w:pPr>
              <w:pStyle w:val="Tabletext"/>
            </w:pPr>
            <w:r>
              <w:t>CBILS/CLBILS</w:t>
            </w:r>
          </w:p>
        </w:tc>
        <w:tc>
          <w:tcPr>
            <w:tcW w:w="2351" w:type="pct"/>
          </w:tcPr>
          <w:p w14:paraId="39C28D46" w14:textId="613DC904" w:rsidR="00533A25" w:rsidRDefault="00D34326">
            <w:pPr>
              <w:pStyle w:val="Tabletext"/>
              <w:spacing w:before="0"/>
            </w:pPr>
            <w:r>
              <w:rPr>
                <w:rStyle w:val="Bold"/>
                <w:b w:val="0"/>
              </w:rPr>
              <w:t>Number of b</w:t>
            </w:r>
            <w:r w:rsidR="00533A25">
              <w:rPr>
                <w:rStyle w:val="Bold"/>
                <w:b w:val="0"/>
              </w:rPr>
              <w:t xml:space="preserve">orrowers that may have ceased trading </w:t>
            </w:r>
            <w:r w:rsidR="00533A25">
              <w:t>without access to</w:t>
            </w:r>
            <w:r w:rsidR="00533A25">
              <w:rPr>
                <w:rStyle w:val="Bold"/>
                <w:b w:val="0"/>
              </w:rPr>
              <w:t xml:space="preserve"> the schemes</w:t>
            </w:r>
            <w:r w:rsidR="003D6B4D">
              <w:rPr>
                <w:rStyle w:val="Bold"/>
                <w:b w:val="0"/>
              </w:rPr>
              <w:t xml:space="preserve"> </w:t>
            </w:r>
          </w:p>
        </w:tc>
        <w:tc>
          <w:tcPr>
            <w:tcW w:w="952" w:type="pct"/>
            <w:vAlign w:val="center"/>
          </w:tcPr>
          <w:p w14:paraId="77B27A3D" w14:textId="77777777" w:rsidR="00533A25" w:rsidRDefault="00533A25">
            <w:pPr>
              <w:pStyle w:val="Tabletext"/>
              <w:spacing w:before="0"/>
            </w:pPr>
            <w:r>
              <w:t>5,000-21,000</w:t>
            </w:r>
          </w:p>
        </w:tc>
        <w:tc>
          <w:tcPr>
            <w:tcW w:w="873" w:type="pct"/>
            <w:vAlign w:val="center"/>
          </w:tcPr>
          <w:p w14:paraId="15085EC3" w14:textId="77777777" w:rsidR="00533A25" w:rsidRDefault="00533A25">
            <w:pPr>
              <w:pStyle w:val="Tabletext"/>
              <w:spacing w:before="0"/>
            </w:pPr>
            <w:r>
              <w:t>4,000-25,000</w:t>
            </w:r>
          </w:p>
        </w:tc>
      </w:tr>
      <w:tr w:rsidR="00533A25" w:rsidRPr="00D13154" w14:paraId="4833571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24" w:type="pct"/>
            <w:vAlign w:val="center"/>
          </w:tcPr>
          <w:p w14:paraId="089AD957" w14:textId="77777777" w:rsidR="00533A25" w:rsidRDefault="00533A25">
            <w:pPr>
              <w:pStyle w:val="Tabletext"/>
            </w:pPr>
            <w:r>
              <w:t>Total</w:t>
            </w:r>
          </w:p>
        </w:tc>
        <w:tc>
          <w:tcPr>
            <w:tcW w:w="2351" w:type="pct"/>
          </w:tcPr>
          <w:p w14:paraId="379083B2" w14:textId="77777777" w:rsidR="00533A25" w:rsidRDefault="00533A25">
            <w:pPr>
              <w:pStyle w:val="Tabletext"/>
              <w:spacing w:before="0"/>
            </w:pPr>
            <w:r>
              <w:rPr>
                <w:rStyle w:val="Bold"/>
                <w:b w:val="0"/>
              </w:rPr>
              <w:t xml:space="preserve">Number of pre-pandemic jobs in borrower firms that may have ceased trading </w:t>
            </w:r>
            <w:r>
              <w:t xml:space="preserve">without access to </w:t>
            </w:r>
            <w:r>
              <w:rPr>
                <w:rStyle w:val="Bold"/>
                <w:b w:val="0"/>
              </w:rPr>
              <w:t>the schemes</w:t>
            </w:r>
          </w:p>
        </w:tc>
        <w:tc>
          <w:tcPr>
            <w:tcW w:w="952" w:type="pct"/>
            <w:vAlign w:val="center"/>
          </w:tcPr>
          <w:p w14:paraId="3E191A22" w14:textId="77777777" w:rsidR="00533A25" w:rsidRDefault="00533A25">
            <w:pPr>
              <w:pStyle w:val="Tabletext"/>
              <w:spacing w:before="0"/>
            </w:pPr>
            <w:r>
              <w:t>0.5 million – 2.9 million</w:t>
            </w:r>
          </w:p>
        </w:tc>
        <w:tc>
          <w:tcPr>
            <w:tcW w:w="873" w:type="pct"/>
            <w:vAlign w:val="center"/>
          </w:tcPr>
          <w:p w14:paraId="640C555A" w14:textId="77777777" w:rsidR="00533A25" w:rsidRDefault="00533A25">
            <w:pPr>
              <w:pStyle w:val="Tabletext"/>
              <w:spacing w:before="0"/>
            </w:pPr>
            <w:r>
              <w:t>0.9 million-3.4 million</w:t>
            </w:r>
          </w:p>
        </w:tc>
      </w:tr>
    </w:tbl>
    <w:p w14:paraId="47D7BB17" w14:textId="79C44D9D" w:rsidR="00653909" w:rsidRPr="00653909" w:rsidRDefault="00533A25" w:rsidP="00A36500">
      <w:pPr>
        <w:pStyle w:val="Caption"/>
      </w:pPr>
      <w:r w:rsidRPr="00490C53">
        <w:t xml:space="preserve">Source: London Economics’ analysis of </w:t>
      </w:r>
      <w:r>
        <w:t>survey</w:t>
      </w:r>
      <w:r w:rsidR="00EB7729">
        <w:t xml:space="preserve"> data, BBB Management Information</w:t>
      </w:r>
      <w:r w:rsidRPr="00490C53">
        <w:t xml:space="preserve"> </w:t>
      </w:r>
      <w:r>
        <w:t xml:space="preserve">and BBB portal </w:t>
      </w:r>
      <w:r w:rsidRPr="00490C53">
        <w:t>data</w:t>
      </w:r>
    </w:p>
    <w:p w14:paraId="4C0E7069" w14:textId="77777777" w:rsidR="00533A25" w:rsidRPr="005D5D23" w:rsidRDefault="00533A25" w:rsidP="00236B73">
      <w:bookmarkStart w:id="28" w:name="_Toc134631132"/>
      <w:bookmarkStart w:id="29" w:name="_Toc149801210"/>
      <w:bookmarkStart w:id="30" w:name="_Toc151016529"/>
      <w:r w:rsidRPr="00236B73">
        <w:rPr>
          <w:color w:val="142855" w:themeColor="text2"/>
        </w:rPr>
        <w:t>Impact on turnover and employment</w:t>
      </w:r>
      <w:bookmarkEnd w:id="28"/>
      <w:bookmarkEnd w:id="29"/>
      <w:bookmarkEnd w:id="30"/>
    </w:p>
    <w:p w14:paraId="60FB3ECA" w14:textId="5157FF78" w:rsidR="00533A25" w:rsidRDefault="00533A25" w:rsidP="00533A25">
      <w:pPr>
        <w:spacing w:after="240"/>
      </w:pPr>
      <w:r w:rsidRPr="00490C53">
        <w:t xml:space="preserve">Econometric models are used to estimate the impacts of the Covid-19 Loan Guarantee Schemes on businesses’ turnover and employment in </w:t>
      </w:r>
      <w:r w:rsidR="00396952">
        <w:t>the second year of the pandemic</w:t>
      </w:r>
      <w:r w:rsidRPr="00490C53">
        <w:t xml:space="preserve">. </w:t>
      </w:r>
    </w:p>
    <w:p w14:paraId="21A4B2A3" w14:textId="7985E76F" w:rsidR="00533A25" w:rsidRDefault="00533A25" w:rsidP="00533A25">
      <w:pPr>
        <w:spacing w:after="240"/>
      </w:pPr>
      <w:r w:rsidRPr="00490C53">
        <w:t xml:space="preserve">The econometric analysis does not identify a </w:t>
      </w:r>
      <w:r>
        <w:t>robust</w:t>
      </w:r>
      <w:r w:rsidR="00B474F7">
        <w:rPr>
          <w:rStyle w:val="FootnoteReference"/>
        </w:rPr>
        <w:footnoteReference w:id="9"/>
      </w:r>
      <w:r>
        <w:t xml:space="preserve"> </w:t>
      </w:r>
      <w:r w:rsidRPr="00490C53">
        <w:t>statistically significant impact of the BBLS</w:t>
      </w:r>
      <w:r>
        <w:t xml:space="preserve"> or CBILS/CLBILS</w:t>
      </w:r>
      <w:r w:rsidRPr="00490C53">
        <w:t xml:space="preserve"> scheme</w:t>
      </w:r>
      <w:r>
        <w:t>s</w:t>
      </w:r>
      <w:r w:rsidRPr="00490C53">
        <w:t xml:space="preserve"> on borrowers’ turnover</w:t>
      </w:r>
      <w:r>
        <w:t xml:space="preserve"> or employment</w:t>
      </w:r>
      <w:r w:rsidRPr="00490C53">
        <w:t xml:space="preserve"> in the second year </w:t>
      </w:r>
      <w:r w:rsidR="00396952">
        <w:t>of</w:t>
      </w:r>
      <w:r w:rsidR="00396952" w:rsidRPr="00490C53">
        <w:t xml:space="preserve"> </w:t>
      </w:r>
      <w:r w:rsidRPr="00490C53">
        <w:t>the pandemic</w:t>
      </w:r>
      <w:r w:rsidR="004C17A2">
        <w:t xml:space="preserve"> in addition to the impacts arising due to business survival outlined above</w:t>
      </w:r>
      <w:r w:rsidR="00A27D8C">
        <w:t>.</w:t>
      </w:r>
      <w:r w:rsidR="00312E61">
        <w:t xml:space="preserve"> </w:t>
      </w:r>
      <w:r w:rsidR="00A27D8C">
        <w:t>I</w:t>
      </w:r>
      <w:r w:rsidR="004C17A2">
        <w:t xml:space="preserve">ndeed, </w:t>
      </w:r>
      <w:r>
        <w:t>because the analysis is based on a survey of businesses that largely have survived,</w:t>
      </w:r>
      <w:r w:rsidRPr="00490C53">
        <w:t xml:space="preserve"> these estimated impacts mostly exclude any impact</w:t>
      </w:r>
      <w:r w:rsidR="00BD5765">
        <w:t>s</w:t>
      </w:r>
      <w:r w:rsidRPr="00490C53">
        <w:t xml:space="preserve"> from business survival</w:t>
      </w:r>
      <w:r w:rsidR="0086717A">
        <w:rPr>
          <w:rStyle w:val="FootnoteReference"/>
        </w:rPr>
        <w:footnoteReference w:id="10"/>
      </w:r>
      <w:r w:rsidR="00312E61">
        <w:t>.</w:t>
      </w:r>
      <w:r w:rsidR="0086717A">
        <w:t xml:space="preserve"> </w:t>
      </w:r>
    </w:p>
    <w:p w14:paraId="4665D63B" w14:textId="77777777" w:rsidR="00533A25" w:rsidRPr="005D5D23" w:rsidRDefault="00533A25" w:rsidP="00236B73">
      <w:bookmarkStart w:id="31" w:name="_Toc134631133"/>
      <w:bookmarkStart w:id="32" w:name="_Toc149801211"/>
      <w:bookmarkStart w:id="33" w:name="_Toc151016530"/>
      <w:r w:rsidRPr="00236B73">
        <w:rPr>
          <w:color w:val="142855" w:themeColor="text2"/>
        </w:rPr>
        <w:t>Wider impacts</w:t>
      </w:r>
      <w:bookmarkEnd w:id="31"/>
      <w:bookmarkEnd w:id="32"/>
      <w:bookmarkEnd w:id="33"/>
    </w:p>
    <w:p w14:paraId="4BD8660E" w14:textId="77777777" w:rsidR="00533A25" w:rsidRDefault="00533A25" w:rsidP="00533A25">
      <w:r>
        <w:t>Econometric a</w:t>
      </w:r>
      <w:r w:rsidRPr="00490C53">
        <w:t xml:space="preserve">nalysis </w:t>
      </w:r>
      <w:r>
        <w:t xml:space="preserve">was also undertaken to </w:t>
      </w:r>
      <w:r w:rsidRPr="00490C53">
        <w:t>explore whether businesses</w:t>
      </w:r>
      <w:r>
        <w:t xml:space="preserve"> (borrowers and non-borrowers)</w:t>
      </w:r>
      <w:r w:rsidRPr="00490C53">
        <w:t xml:space="preserve"> in sectors </w:t>
      </w:r>
      <w:r>
        <w:t>that received</w:t>
      </w:r>
      <w:r w:rsidRPr="00490C53">
        <w:t xml:space="preserve"> more funding under the Covid-19 Loan Guarantee Schemes experienced any </w:t>
      </w:r>
      <w:r>
        <w:t xml:space="preserve">impact </w:t>
      </w:r>
      <w:r w:rsidRPr="00490C53">
        <w:t>on turnover and employment.</w:t>
      </w:r>
    </w:p>
    <w:p w14:paraId="47D01202" w14:textId="345001DD" w:rsidR="00533A25" w:rsidRPr="00C16919" w:rsidRDefault="00533A25" w:rsidP="00533A25">
      <w:r>
        <w:lastRenderedPageBreak/>
        <w:t>Overall, t</w:t>
      </w:r>
      <w:r w:rsidRPr="00490C53">
        <w:t xml:space="preserve">he evidence of additional benefits of the </w:t>
      </w:r>
      <w:r>
        <w:t xml:space="preserve">Covid-19 Loan Guarantee Schemes </w:t>
      </w:r>
      <w:r w:rsidRPr="00490C53">
        <w:t xml:space="preserve">for businesses in sectors receiving larger amounts of support is inconclusive. </w:t>
      </w:r>
      <w:r>
        <w:t xml:space="preserve">This is primarily because of the high correlation between the use of the Covid-19 Loan Guarantee Schemes and </w:t>
      </w:r>
      <w:r w:rsidR="006A34DF">
        <w:t xml:space="preserve">another important business support measure – </w:t>
      </w:r>
      <w:r>
        <w:t>the</w:t>
      </w:r>
      <w:r w:rsidR="006A34DF">
        <w:t xml:space="preserve"> </w:t>
      </w:r>
      <w:r w:rsidR="006A34DF" w:rsidRPr="006A34DF">
        <w:t>Coronavirus Job Retention Scheme</w:t>
      </w:r>
      <w:r>
        <w:t xml:space="preserve"> </w:t>
      </w:r>
      <w:r w:rsidR="006A34DF">
        <w:t>(</w:t>
      </w:r>
      <w:r>
        <w:t>CJRS</w:t>
      </w:r>
      <w:r w:rsidR="006A34DF">
        <w:t>)</w:t>
      </w:r>
      <w:r>
        <w:t xml:space="preserve"> </w:t>
      </w:r>
      <w:r w:rsidR="006A34DF">
        <w:t xml:space="preserve">– </w:t>
      </w:r>
      <w:r>
        <w:t xml:space="preserve">across sectors, which makes it difficult to attribute variations in outcomes at the sector level to a specific </w:t>
      </w:r>
      <w:r w:rsidR="00D41003">
        <w:t>business support measure</w:t>
      </w:r>
      <w:r>
        <w:t>.</w:t>
      </w:r>
    </w:p>
    <w:p w14:paraId="144FB849" w14:textId="54B6575B" w:rsidR="00533A25" w:rsidRDefault="005640FA" w:rsidP="00533A25">
      <w:pPr>
        <w:pStyle w:val="Heading2"/>
      </w:pPr>
      <w:bookmarkStart w:id="34" w:name="_Toc134631134"/>
      <w:bookmarkStart w:id="35" w:name="_Ref138411345"/>
      <w:bookmarkStart w:id="36" w:name="_Toc151549873"/>
      <w:r>
        <w:t xml:space="preserve">Secondary analysis </w:t>
      </w:r>
      <w:r w:rsidR="00533A25">
        <w:t>of Year 1 early impact evaluation</w:t>
      </w:r>
      <w:bookmarkEnd w:id="34"/>
      <w:bookmarkEnd w:id="35"/>
      <w:bookmarkEnd w:id="36"/>
    </w:p>
    <w:p w14:paraId="515D8F07" w14:textId="68219432" w:rsidR="00533A25" w:rsidRDefault="006717D1" w:rsidP="00533A25">
      <w:r>
        <w:t xml:space="preserve">To </w:t>
      </w:r>
      <w:r w:rsidR="005640FA">
        <w:t>assess</w:t>
      </w:r>
      <w:r>
        <w:t xml:space="preserve"> the findings from the Year 1 early impact evaluation, </w:t>
      </w:r>
      <w:r w:rsidR="00305068">
        <w:t>a</w:t>
      </w:r>
      <w:r w:rsidR="005640FA">
        <w:t xml:space="preserve"> secondary analysis </w:t>
      </w:r>
      <w:r w:rsidR="00305068">
        <w:t xml:space="preserve">of </w:t>
      </w:r>
      <w:r>
        <w:t xml:space="preserve">the impact of the Covid-19 Loan Guarantee Schemes </w:t>
      </w:r>
      <w:r w:rsidR="00093D9D">
        <w:t>on business survival</w:t>
      </w:r>
      <w:r w:rsidR="00396952">
        <w:t xml:space="preserve">, </w:t>
      </w:r>
      <w:r w:rsidR="00661B94">
        <w:t>turnover,</w:t>
      </w:r>
      <w:r w:rsidR="00396952">
        <w:t xml:space="preserve"> and employment in the first year of the pandemic</w:t>
      </w:r>
      <w:r w:rsidR="00396952">
        <w:rPr>
          <w:rStyle w:val="FootnoteReference"/>
        </w:rPr>
        <w:footnoteReference w:id="11"/>
      </w:r>
      <w:r w:rsidR="00396952">
        <w:t xml:space="preserve"> </w:t>
      </w:r>
      <w:r>
        <w:t xml:space="preserve">was </w:t>
      </w:r>
      <w:r w:rsidR="00305068">
        <w:t>conducted</w:t>
      </w:r>
      <w:r w:rsidR="00333795">
        <w:t xml:space="preserve">. </w:t>
      </w:r>
      <w:r w:rsidR="00533A25" w:rsidRPr="00490C53">
        <w:t xml:space="preserve">This </w:t>
      </w:r>
      <w:r w:rsidR="00533A25">
        <w:t>section</w:t>
      </w:r>
      <w:r w:rsidR="00533A25" w:rsidRPr="00490C53">
        <w:t xml:space="preserve"> </w:t>
      </w:r>
      <w:r w:rsidR="003B3D4A">
        <w:t>summarises</w:t>
      </w:r>
      <w:r w:rsidR="00533A25">
        <w:t xml:space="preserve"> </w:t>
      </w:r>
      <w:r w:rsidR="00533A25" w:rsidRPr="00490C53">
        <w:t>the results of th</w:t>
      </w:r>
      <w:r>
        <w:t>is</w:t>
      </w:r>
      <w:r w:rsidR="00533A25" w:rsidRPr="00490C53">
        <w:t xml:space="preserve"> </w:t>
      </w:r>
      <w:r w:rsidR="005A7E9E">
        <w:t>exercise</w:t>
      </w:r>
      <w:r w:rsidR="00533A25" w:rsidRPr="00490C53">
        <w:t xml:space="preserve">. </w:t>
      </w:r>
      <w:r w:rsidR="00533A25">
        <w:t>R</w:t>
      </w:r>
      <w:r w:rsidR="00533A25" w:rsidRPr="00490C53">
        <w:t>ather than a quantitative survey</w:t>
      </w:r>
      <w:r w:rsidR="00333795">
        <w:t>,</w:t>
      </w:r>
      <w:r w:rsidR="00533A25">
        <w:t xml:space="preserve"> such as was conducted in the Year 1 </w:t>
      </w:r>
      <w:r w:rsidR="00533A25" w:rsidRPr="00490C53">
        <w:t>early impact evaluation</w:t>
      </w:r>
      <w:r w:rsidR="00533A25">
        <w:t>, t</w:t>
      </w:r>
      <w:r w:rsidR="00533A25" w:rsidRPr="00490C53">
        <w:t xml:space="preserve">he exercise </w:t>
      </w:r>
      <w:r w:rsidR="00533A25">
        <w:t>utilised</w:t>
      </w:r>
      <w:r w:rsidR="00533A25" w:rsidRPr="00490C53">
        <w:t xml:space="preserve"> secondary data sources</w:t>
      </w:r>
      <w:r w:rsidR="00533A25">
        <w:t xml:space="preserve"> </w:t>
      </w:r>
      <w:r w:rsidR="002F1910">
        <w:t xml:space="preserve">such as </w:t>
      </w:r>
      <w:r w:rsidR="00533A25" w:rsidRPr="00490C53">
        <w:t xml:space="preserve">the IDBR and </w:t>
      </w:r>
      <w:r w:rsidR="00533A25">
        <w:t>the BICS</w:t>
      </w:r>
      <w:r w:rsidR="00533A25" w:rsidRPr="00490C53">
        <w:t xml:space="preserve"> to explore the impact of the Covid-19 Loan Guarantee Schemes on businesses. This allows for a much larger number of businesses to be included in the analysis relative to the early impact evaluation</w:t>
      </w:r>
      <w:r w:rsidR="00533A25">
        <w:t>.</w:t>
      </w:r>
    </w:p>
    <w:p w14:paraId="0D44D677" w14:textId="77777777" w:rsidR="00533A25" w:rsidRPr="005D5D23" w:rsidRDefault="00533A25" w:rsidP="00236B73">
      <w:bookmarkStart w:id="37" w:name="_Toc134631135"/>
      <w:bookmarkStart w:id="38" w:name="_Toc149801213"/>
      <w:bookmarkStart w:id="39" w:name="_Toc151016532"/>
      <w:r w:rsidRPr="00236B73">
        <w:rPr>
          <w:color w:val="142855" w:themeColor="text2"/>
        </w:rPr>
        <w:t>Impact on business survival</w:t>
      </w:r>
      <w:bookmarkEnd w:id="37"/>
      <w:bookmarkEnd w:id="38"/>
      <w:bookmarkEnd w:id="39"/>
    </w:p>
    <w:p w14:paraId="24E43B52" w14:textId="43089AF8" w:rsidR="00533A25" w:rsidRPr="00DC0950" w:rsidRDefault="00533A25" w:rsidP="00533A25">
      <w:r>
        <w:t>I</w:t>
      </w:r>
      <w:r w:rsidRPr="00490C53">
        <w:t xml:space="preserve">t is estimated that an additional </w:t>
      </w:r>
      <w:r w:rsidR="003A522E">
        <w:t>5.0%-</w:t>
      </w:r>
      <w:r>
        <w:t>6</w:t>
      </w:r>
      <w:r w:rsidR="003A522E">
        <w:t>.5</w:t>
      </w:r>
      <w:r w:rsidRPr="00490C53">
        <w:t>%</w:t>
      </w:r>
      <w:r w:rsidR="003A522E">
        <w:rPr>
          <w:rStyle w:val="FootnoteReference"/>
        </w:rPr>
        <w:footnoteReference w:id="12"/>
      </w:r>
      <w:r w:rsidRPr="00490C53">
        <w:t xml:space="preserve"> of all BBLS borrowers (</w:t>
      </w:r>
      <w:proofErr w:type="gramStart"/>
      <w:r w:rsidRPr="00490C53">
        <w:t>i.e.</w:t>
      </w:r>
      <w:proofErr w:type="gramEnd"/>
      <w:r w:rsidRPr="00490C53">
        <w:t xml:space="preserve"> around </w:t>
      </w:r>
      <w:r w:rsidR="003A522E">
        <w:t>74,000-96,000</w:t>
      </w:r>
      <w:r w:rsidR="003A522E">
        <w:rPr>
          <w:rStyle w:val="FootnoteReference"/>
        </w:rPr>
        <w:footnoteReference w:id="13"/>
      </w:r>
      <w:r>
        <w:t xml:space="preserve"> </w:t>
      </w:r>
      <w:r w:rsidRPr="00490C53">
        <w:t>businesses) and 4</w:t>
      </w:r>
      <w:r w:rsidR="003A522E">
        <w:t>.0</w:t>
      </w:r>
      <w:r w:rsidRPr="00490C53">
        <w:t>%</w:t>
      </w:r>
      <w:r w:rsidR="003A522E">
        <w:t>-4.7%</w:t>
      </w:r>
      <w:r w:rsidR="003A522E">
        <w:rPr>
          <w:rStyle w:val="FootnoteReference"/>
        </w:rPr>
        <w:footnoteReference w:id="14"/>
      </w:r>
      <w:r w:rsidRPr="00490C53">
        <w:t xml:space="preserve"> of CBILS/CLBILS borrowers (i.e. around 3</w:t>
      </w:r>
      <w:r>
        <w:t>,000</w:t>
      </w:r>
      <w:r w:rsidR="003A522E">
        <w:t>-3,500</w:t>
      </w:r>
      <w:r w:rsidR="003A522E">
        <w:rPr>
          <w:rStyle w:val="FootnoteReference"/>
        </w:rPr>
        <w:footnoteReference w:id="15"/>
      </w:r>
      <w:r>
        <w:t xml:space="preserve"> </w:t>
      </w:r>
      <w:r w:rsidRPr="00490C53">
        <w:t xml:space="preserve">businesses) could have ceased trading between April 2020 and March 2021 had the Covid-19 Loan Guarantee Schemes not been in place. </w:t>
      </w:r>
      <w:r>
        <w:t>I</w:t>
      </w:r>
      <w:r w:rsidRPr="00490C53">
        <w:t>t is estimated that the</w:t>
      </w:r>
      <w:r>
        <w:t>se borrowers account for approximately</w:t>
      </w:r>
      <w:r w:rsidR="003A522E">
        <w:t xml:space="preserve"> 256,000-326,000</w:t>
      </w:r>
      <w:r>
        <w:t xml:space="preserve"> </w:t>
      </w:r>
      <w:r w:rsidRPr="00490C53">
        <w:t>jobs.</w:t>
      </w:r>
      <w:r w:rsidR="00E861AD">
        <w:rPr>
          <w:rStyle w:val="FootnoteReference"/>
        </w:rPr>
        <w:footnoteReference w:id="16"/>
      </w:r>
    </w:p>
    <w:p w14:paraId="62C47315" w14:textId="2858D4D9" w:rsidR="00533A25" w:rsidRDefault="00533A25" w:rsidP="00533A25">
      <w:r w:rsidRPr="00490C53">
        <w:t xml:space="preserve">The </w:t>
      </w:r>
      <w:r>
        <w:t xml:space="preserve">Year 1 </w:t>
      </w:r>
      <w:r w:rsidRPr="00490C53">
        <w:t xml:space="preserve">survey-based analysis estimated that an additional </w:t>
      </w:r>
      <w:r>
        <w:t>10</w:t>
      </w:r>
      <w:r w:rsidRPr="00490C53">
        <w:t>%-34% of BBLS borrowers (</w:t>
      </w:r>
      <w:proofErr w:type="gramStart"/>
      <w:r w:rsidRPr="00490C53">
        <w:t>i.e.</w:t>
      </w:r>
      <w:proofErr w:type="gramEnd"/>
      <w:r w:rsidRPr="00490C53">
        <w:t xml:space="preserve"> 146</w:t>
      </w:r>
      <w:r>
        <w:t xml:space="preserve">,000 </w:t>
      </w:r>
      <w:r w:rsidRPr="00490C53">
        <w:t>to 505</w:t>
      </w:r>
      <w:r>
        <w:t xml:space="preserve">,000 </w:t>
      </w:r>
      <w:r w:rsidRPr="00490C53">
        <w:t xml:space="preserve">businesses) and </w:t>
      </w:r>
      <w:r>
        <w:t>7</w:t>
      </w:r>
      <w:r w:rsidRPr="00490C53">
        <w:t>%-28% of CBILS/CLBILS borrowers (i.e. 5</w:t>
      </w:r>
      <w:r>
        <w:t xml:space="preserve">,000 </w:t>
      </w:r>
      <w:r w:rsidRPr="00490C53">
        <w:t xml:space="preserve">to </w:t>
      </w:r>
      <w:r>
        <w:lastRenderedPageBreak/>
        <w:t xml:space="preserve">21,000 </w:t>
      </w:r>
      <w:r w:rsidRPr="00490C53">
        <w:t xml:space="preserve">businesses) could have ceased trading </w:t>
      </w:r>
      <w:r w:rsidR="00533CCA">
        <w:t>by December</w:t>
      </w:r>
      <w:r w:rsidR="00533CCA" w:rsidRPr="00490C53">
        <w:t xml:space="preserve"> </w:t>
      </w:r>
      <w:r w:rsidRPr="00490C53">
        <w:t xml:space="preserve">2020 had the Covid-19 Loan Guarantee Schemes not been in place. </w:t>
      </w:r>
      <w:r>
        <w:t>These businesses were</w:t>
      </w:r>
      <w:r w:rsidRPr="00490C53">
        <w:t xml:space="preserve"> estimated </w:t>
      </w:r>
      <w:r>
        <w:t xml:space="preserve">to represent </w:t>
      </w:r>
      <w:r w:rsidRPr="00490C53">
        <w:t xml:space="preserve">0.5 million to 2.9 million </w:t>
      </w:r>
      <w:r>
        <w:t xml:space="preserve">pre-pandemic </w:t>
      </w:r>
      <w:r w:rsidRPr="00490C53">
        <w:t>jobs.</w:t>
      </w:r>
      <w:r>
        <w:t xml:space="preserve"> </w:t>
      </w:r>
    </w:p>
    <w:p w14:paraId="257FD29C" w14:textId="23C9FE51" w:rsidR="00533A25" w:rsidRDefault="00533A25" w:rsidP="00533A25">
      <w:r w:rsidRPr="00490C53">
        <w:t xml:space="preserve">The </w:t>
      </w:r>
      <w:r w:rsidR="00B70761">
        <w:t>secondary analysis</w:t>
      </w:r>
      <w:r w:rsidR="00B70761" w:rsidRPr="00490C53">
        <w:t xml:space="preserve"> </w:t>
      </w:r>
      <w:r w:rsidRPr="00490C53">
        <w:t>results therefore suggest a lower impact of the Covid-19 Loan Guarantee Schemes</w:t>
      </w:r>
      <w:r>
        <w:t xml:space="preserve"> compared to the Year 1 analysis</w:t>
      </w:r>
      <w:r w:rsidRPr="00490C53">
        <w:t>.</w:t>
      </w:r>
      <w:r>
        <w:t xml:space="preserve"> This may be explained by the fact that</w:t>
      </w:r>
      <w:r>
        <w:rPr>
          <w:rFonts w:cstheme="minorHAnsi"/>
        </w:rPr>
        <w:t xml:space="preserve"> t</w:t>
      </w:r>
      <w:r w:rsidRPr="00846F78">
        <w:rPr>
          <w:rFonts w:cstheme="minorHAnsi"/>
        </w:rPr>
        <w:t xml:space="preserve">he </w:t>
      </w:r>
      <w:r>
        <w:rPr>
          <w:rFonts w:cstheme="minorHAnsi"/>
        </w:rPr>
        <w:t>Year 1</w:t>
      </w:r>
      <w:r w:rsidRPr="00846F78">
        <w:rPr>
          <w:rFonts w:cstheme="minorHAnsi"/>
        </w:rPr>
        <w:t xml:space="preserve"> analysis </w:t>
      </w:r>
      <w:r>
        <w:rPr>
          <w:rFonts w:cstheme="minorHAnsi"/>
        </w:rPr>
        <w:t xml:space="preserve">largely </w:t>
      </w:r>
      <w:r w:rsidRPr="00846F78">
        <w:rPr>
          <w:rFonts w:cstheme="minorHAnsi"/>
        </w:rPr>
        <w:t>relied on borrowers’ self-reported likelihood of closing in the absence of Covid-19 Loan Guarantee Schemes</w:t>
      </w:r>
      <w:r>
        <w:rPr>
          <w:rFonts w:cstheme="minorHAnsi"/>
        </w:rPr>
        <w:t>, whereas th</w:t>
      </w:r>
      <w:r w:rsidR="00EA7E5F">
        <w:rPr>
          <w:rFonts w:cstheme="minorHAnsi"/>
        </w:rPr>
        <w:t xml:space="preserve">is </w:t>
      </w:r>
      <w:r>
        <w:rPr>
          <w:rFonts w:cstheme="minorHAnsi"/>
        </w:rPr>
        <w:t xml:space="preserve">analysis was based on observed </w:t>
      </w:r>
      <w:r w:rsidR="004550ED">
        <w:rPr>
          <w:rFonts w:cstheme="minorHAnsi"/>
        </w:rPr>
        <w:t xml:space="preserve">closure </w:t>
      </w:r>
      <w:r>
        <w:rPr>
          <w:rFonts w:cstheme="minorHAnsi"/>
        </w:rPr>
        <w:t>rates</w:t>
      </w:r>
      <w:r w:rsidRPr="00846F78">
        <w:rPr>
          <w:rFonts w:cstheme="minorHAnsi"/>
        </w:rPr>
        <w:t xml:space="preserve">. </w:t>
      </w:r>
      <w:r w:rsidR="002821BC">
        <w:t>Based on this</w:t>
      </w:r>
      <w:r w:rsidR="002821BC">
        <w:rPr>
          <w:rStyle w:val="cf01"/>
          <w:rFonts w:asciiTheme="minorHAnsi" w:hAnsiTheme="minorHAnsi" w:cstheme="minorHAnsi"/>
          <w:sz w:val="24"/>
          <w:szCs w:val="24"/>
        </w:rPr>
        <w:t xml:space="preserve">, the </w:t>
      </w:r>
      <w:r w:rsidR="00EA7E5F">
        <w:rPr>
          <w:rStyle w:val="cf01"/>
          <w:rFonts w:asciiTheme="minorHAnsi" w:hAnsiTheme="minorHAnsi" w:cstheme="minorHAnsi"/>
          <w:sz w:val="24"/>
          <w:szCs w:val="24"/>
        </w:rPr>
        <w:t>secondary analysis</w:t>
      </w:r>
      <w:r w:rsidR="002821BC">
        <w:rPr>
          <w:rStyle w:val="cf01"/>
          <w:rFonts w:asciiTheme="minorHAnsi" w:hAnsiTheme="minorHAnsi" w:cstheme="minorHAnsi"/>
          <w:sz w:val="24"/>
          <w:szCs w:val="24"/>
        </w:rPr>
        <w:t xml:space="preserve"> of Year 2 impact evaluation findings (which will be undertaken as part of the Year 3 evaluation) may lead to lower estimates of the business survival impacts compared to those presented above based on self-reported survey data</w:t>
      </w:r>
      <w:r w:rsidR="006D1390">
        <w:rPr>
          <w:rStyle w:val="cf01"/>
          <w:rFonts w:asciiTheme="minorHAnsi" w:hAnsiTheme="minorHAnsi" w:cstheme="minorHAnsi"/>
          <w:sz w:val="24"/>
          <w:szCs w:val="24"/>
        </w:rPr>
        <w:t>.</w:t>
      </w:r>
    </w:p>
    <w:p w14:paraId="33BF6651" w14:textId="77777777" w:rsidR="00533A25" w:rsidRPr="005D5D23" w:rsidRDefault="00533A25" w:rsidP="00236B73">
      <w:bookmarkStart w:id="40" w:name="_Toc134631136"/>
      <w:bookmarkStart w:id="41" w:name="_Toc149801214"/>
      <w:bookmarkStart w:id="42" w:name="_Toc151016533"/>
      <w:r w:rsidRPr="00236B73">
        <w:rPr>
          <w:color w:val="142855" w:themeColor="text2"/>
        </w:rPr>
        <w:t>Impact on turnover and employment</w:t>
      </w:r>
      <w:bookmarkEnd w:id="40"/>
      <w:bookmarkEnd w:id="41"/>
      <w:bookmarkEnd w:id="42"/>
    </w:p>
    <w:p w14:paraId="50C4FB61" w14:textId="1BD2FC70" w:rsidR="00533A25" w:rsidRPr="00490C53" w:rsidRDefault="0097781D" w:rsidP="00533A25">
      <w:r>
        <w:t>Both t</w:t>
      </w:r>
      <w:r w:rsidR="00533A25" w:rsidRPr="00490C53">
        <w:t xml:space="preserve">he </w:t>
      </w:r>
      <w:r>
        <w:t xml:space="preserve">original </w:t>
      </w:r>
      <w:r w:rsidR="00533A25">
        <w:t>Year 1</w:t>
      </w:r>
      <w:r w:rsidR="00533A25" w:rsidRPr="00490C53">
        <w:t xml:space="preserve"> survey analysis </w:t>
      </w:r>
      <w:r w:rsidR="00533A25">
        <w:t xml:space="preserve">and </w:t>
      </w:r>
      <w:r>
        <w:t xml:space="preserve">this report’s </w:t>
      </w:r>
      <w:r w:rsidR="00FD2E4E">
        <w:t xml:space="preserve">secondary analysis </w:t>
      </w:r>
      <w:r w:rsidR="00533A25">
        <w:t xml:space="preserve">exercise </w:t>
      </w:r>
      <w:r w:rsidR="00533A25" w:rsidRPr="00490C53">
        <w:t xml:space="preserve">used econometric models to quantify the impacts of the Covid-19 Loan Guarantee Schemes on businesses’ turnover and employment. </w:t>
      </w:r>
    </w:p>
    <w:p w14:paraId="2FEC9CCB" w14:textId="77777777" w:rsidR="00533A25" w:rsidRPr="005D5D23" w:rsidRDefault="00533A25" w:rsidP="00236B73">
      <w:r w:rsidRPr="00236B73">
        <w:rPr>
          <w:color w:val="142855" w:themeColor="text2"/>
        </w:rPr>
        <w:t>Turnover</w:t>
      </w:r>
    </w:p>
    <w:p w14:paraId="2347E872" w14:textId="28E55632" w:rsidR="00533A25" w:rsidRDefault="00533A25" w:rsidP="00533A25">
      <w:r w:rsidRPr="00490C53">
        <w:t>The econometric analysis</w:t>
      </w:r>
      <w:r w:rsidR="00447469">
        <w:t xml:space="preserve"> of secondary data</w:t>
      </w:r>
      <w:r w:rsidRPr="00490C53">
        <w:t xml:space="preserve"> finds a positive and statistically significant impact of the BBLS </w:t>
      </w:r>
      <w:r w:rsidR="00170F54">
        <w:t>and</w:t>
      </w:r>
      <w:r w:rsidRPr="00490C53">
        <w:t xml:space="preserve"> CBILS/CLBILS schemes on borrowers’ turnover</w:t>
      </w:r>
      <w:r>
        <w:t>.</w:t>
      </w:r>
      <w:r w:rsidRPr="00490C53">
        <w:rPr>
          <w:vertAlign w:val="superscript"/>
        </w:rPr>
        <w:t xml:space="preserve"> </w:t>
      </w:r>
      <w:r w:rsidRPr="00490C53">
        <w:t>This suggests that, on average, BBLS and CBILS/CLBILS borrowers’ turnover was respectively 10% and 12% higher than it would have been in the absence of the Covid-19 Loan Guarantee Schemes</w:t>
      </w:r>
      <w:r w:rsidR="00B775F6">
        <w:t xml:space="preserve"> </w:t>
      </w:r>
      <w:r w:rsidR="00533CCA">
        <w:t>in the first year of the pandemic</w:t>
      </w:r>
      <w:r w:rsidRPr="00490C53">
        <w:t xml:space="preserve">. </w:t>
      </w:r>
      <w:r w:rsidRPr="00846F78">
        <w:t xml:space="preserve">It should be noted that this is in addition to </w:t>
      </w:r>
      <w:r>
        <w:t>any impact arising from business survival</w:t>
      </w:r>
      <w:r w:rsidRPr="00846F78">
        <w:t xml:space="preserve">, </w:t>
      </w:r>
      <w:r>
        <w:t xml:space="preserve">as </w:t>
      </w:r>
      <w:r w:rsidRPr="00846F78">
        <w:t xml:space="preserve">businesses that </w:t>
      </w:r>
      <w:r w:rsidR="00C738DF">
        <w:t>permanently</w:t>
      </w:r>
      <w:r w:rsidR="004550ED">
        <w:t xml:space="preserve"> closed</w:t>
      </w:r>
      <w:r w:rsidR="004550ED" w:rsidRPr="00846F78">
        <w:t xml:space="preserve"> </w:t>
      </w:r>
      <w:r w:rsidRPr="00846F78">
        <w:t xml:space="preserve">in the first year of the pandemic were excluded from </w:t>
      </w:r>
      <w:r>
        <w:t>this</w:t>
      </w:r>
      <w:r w:rsidRPr="00846F78">
        <w:t xml:space="preserve"> econometric analysis</w:t>
      </w:r>
      <w:r>
        <w:t xml:space="preserve"> (as well as the econometric analysis of employment, described below)</w:t>
      </w:r>
      <w:r w:rsidRPr="00846F78">
        <w:t>.</w:t>
      </w:r>
    </w:p>
    <w:p w14:paraId="18AD28F2" w14:textId="4834BC68" w:rsidR="00533A25" w:rsidRDefault="00533A25" w:rsidP="00533A25">
      <w:r>
        <w:t>In contrast, t</w:t>
      </w:r>
      <w:r w:rsidRPr="00490C53">
        <w:t xml:space="preserve">he </w:t>
      </w:r>
      <w:r>
        <w:t>Year 1</w:t>
      </w:r>
      <w:r w:rsidRPr="00490C53">
        <w:t xml:space="preserve"> </w:t>
      </w:r>
      <w:r w:rsidR="00FB684B">
        <w:t xml:space="preserve">report’s </w:t>
      </w:r>
      <w:r w:rsidRPr="00490C53">
        <w:t xml:space="preserve">econometric analysis of survey data did not find a statistically significant impact of the BBLS </w:t>
      </w:r>
      <w:r w:rsidR="00170F54">
        <w:t>or</w:t>
      </w:r>
      <w:r w:rsidRPr="00490C53">
        <w:t xml:space="preserve"> CBILS/CLBILS schemes on borrowers’ turnover</w:t>
      </w:r>
      <w:r>
        <w:t xml:space="preserve">. The differences between the results could be caused by the fact that the Year 1 analysis was based on a much smaller sample size. </w:t>
      </w:r>
    </w:p>
    <w:p w14:paraId="36E9F353" w14:textId="77777777" w:rsidR="00ED53D8" w:rsidRPr="00490C53" w:rsidRDefault="00ED53D8" w:rsidP="00533A25"/>
    <w:p w14:paraId="460882FC" w14:textId="77777777" w:rsidR="00533A25" w:rsidRPr="005D5D23" w:rsidRDefault="00533A25" w:rsidP="00236B73">
      <w:r w:rsidRPr="00236B73">
        <w:rPr>
          <w:color w:val="142855" w:themeColor="text2"/>
        </w:rPr>
        <w:lastRenderedPageBreak/>
        <w:t>Employment</w:t>
      </w:r>
    </w:p>
    <w:p w14:paraId="4F95EACB" w14:textId="45D456F5" w:rsidR="00533A25" w:rsidRDefault="00533A25" w:rsidP="00533A25">
      <w:r w:rsidRPr="00490C53">
        <w:t>The econometric analysis</w:t>
      </w:r>
      <w:r w:rsidR="000204C7">
        <w:t xml:space="preserve"> of secondary data</w:t>
      </w:r>
      <w:r w:rsidRPr="00490C53">
        <w:t xml:space="preserve"> finds a positive and statistically significant impact of the BBLS </w:t>
      </w:r>
      <w:r w:rsidR="002B2314">
        <w:t>and</w:t>
      </w:r>
      <w:r w:rsidRPr="00490C53">
        <w:t xml:space="preserve"> CBILS/CLBILS schemes on borrowers’ employment levels</w:t>
      </w:r>
      <w:r>
        <w:t>.</w:t>
      </w:r>
      <w:r w:rsidRPr="00490C53">
        <w:rPr>
          <w:vertAlign w:val="superscript"/>
        </w:rPr>
        <w:t xml:space="preserve"> </w:t>
      </w:r>
      <w:r w:rsidRPr="00490C53">
        <w:t>This suggests that, on average, BBLS and CBILS/CLBILS borrowers’ employment was respectively 6% and 9% higher than it would have been in the absence of the Covid-19 Loan Guarantee Schemes</w:t>
      </w:r>
      <w:r w:rsidR="00B934AF">
        <w:t xml:space="preserve"> </w:t>
      </w:r>
      <w:r w:rsidR="00533CCA">
        <w:t>in the first year of the pandemic</w:t>
      </w:r>
      <w:r w:rsidR="00394DDA">
        <w:t>.</w:t>
      </w:r>
      <w:r>
        <w:t xml:space="preserve"> </w:t>
      </w:r>
      <w:r w:rsidRPr="00490C53">
        <w:t xml:space="preserve">Again, </w:t>
      </w:r>
      <w:r w:rsidRPr="00846F78">
        <w:t xml:space="preserve">it should be noted that this is in addition to </w:t>
      </w:r>
      <w:r>
        <w:t>any impact arising from business survival</w:t>
      </w:r>
      <w:r w:rsidRPr="00846F78">
        <w:t xml:space="preserve">, </w:t>
      </w:r>
      <w:r>
        <w:t xml:space="preserve">as </w:t>
      </w:r>
      <w:r w:rsidRPr="00846F78">
        <w:t xml:space="preserve">businesses that </w:t>
      </w:r>
      <w:r w:rsidR="004550ED">
        <w:t>permanently closed</w:t>
      </w:r>
      <w:r w:rsidR="004550ED" w:rsidRPr="00846F78">
        <w:t xml:space="preserve"> </w:t>
      </w:r>
      <w:r w:rsidRPr="00846F78">
        <w:t xml:space="preserve">in the first year of the pandemic were excluded from </w:t>
      </w:r>
      <w:r>
        <w:t>this</w:t>
      </w:r>
      <w:r w:rsidRPr="00846F78">
        <w:t xml:space="preserve"> econometric analysis.</w:t>
      </w:r>
    </w:p>
    <w:p w14:paraId="455D4124" w14:textId="599EC8AF" w:rsidR="00533A25" w:rsidRPr="00490C53" w:rsidRDefault="00533A25" w:rsidP="00533A25">
      <w:r>
        <w:t>As was the case with turnover, t</w:t>
      </w:r>
      <w:r w:rsidRPr="00490C53">
        <w:t xml:space="preserve">he </w:t>
      </w:r>
      <w:r>
        <w:t>Year 1</w:t>
      </w:r>
      <w:r w:rsidRPr="00490C53">
        <w:t xml:space="preserve"> econometric analysis of survey data did not find a statistically significant impact of the BBLS </w:t>
      </w:r>
      <w:r w:rsidR="002B2314">
        <w:t>or</w:t>
      </w:r>
      <w:r w:rsidRPr="00490C53">
        <w:t xml:space="preserve"> CBILS/CLBILS schemes on borrowers’ employment</w:t>
      </w:r>
      <w:r>
        <w:t>.</w:t>
      </w:r>
      <w:r w:rsidRPr="00490C53">
        <w:t xml:space="preserve"> </w:t>
      </w:r>
      <w:r>
        <w:t xml:space="preserve">As with turnover, the difference between the results of the Year 1 analysis and </w:t>
      </w:r>
      <w:r w:rsidR="008A29B3">
        <w:t xml:space="preserve">secondary analysis </w:t>
      </w:r>
      <w:r>
        <w:t>may be due to the different sample sizes.</w:t>
      </w:r>
    </w:p>
    <w:p w14:paraId="2598E24A" w14:textId="3B85B5DF" w:rsidR="00533A25" w:rsidRDefault="00533A25" w:rsidP="00533A25">
      <w:r>
        <w:t>Additional econometric analysis was undertaken to estimate the number of additional jobs that could have been lost in the absence of the Covid-19 Loan Guarantee Schemes</w:t>
      </w:r>
      <w:r w:rsidR="00533CCA">
        <w:t xml:space="preserve"> in the first year of the pandemic</w:t>
      </w:r>
      <w:r>
        <w:t xml:space="preserve">, taking into account both the impacts on businesses that would have </w:t>
      </w:r>
      <w:r w:rsidR="004550ED">
        <w:t xml:space="preserve">permanently closed </w:t>
      </w:r>
      <w:r>
        <w:t>in their absence, and businesses that would have survived but with lower employment levels.</w:t>
      </w:r>
      <w:r>
        <w:rPr>
          <w:rStyle w:val="FootnoteReference"/>
        </w:rPr>
        <w:footnoteReference w:id="17"/>
      </w:r>
      <w:r>
        <w:t xml:space="preserve"> It was </w:t>
      </w:r>
      <w:r w:rsidRPr="00490C53">
        <w:t>estimated that 704</w:t>
      </w:r>
      <w:r>
        <w:t xml:space="preserve">,000 </w:t>
      </w:r>
      <w:r w:rsidRPr="00490C53">
        <w:t xml:space="preserve">additional jobs could potentially have been lost among </w:t>
      </w:r>
      <w:r>
        <w:t>borrowers</w:t>
      </w:r>
      <w:r w:rsidRPr="00490C53">
        <w:t xml:space="preserve"> in the absence of the Covid-19 Loan Guarantee Schemes.</w:t>
      </w:r>
      <w:r>
        <w:t xml:space="preserve"> </w:t>
      </w:r>
      <w:r w:rsidRPr="00490C53">
        <w:t>This estimate is made up of 407</w:t>
      </w:r>
      <w:r>
        <w:t xml:space="preserve">,000 </w:t>
      </w:r>
      <w:r w:rsidRPr="00490C53">
        <w:t>job losses avoided due to the BBLS scheme, and 297</w:t>
      </w:r>
      <w:r>
        <w:t xml:space="preserve">,000 </w:t>
      </w:r>
      <w:r w:rsidRPr="00490C53">
        <w:t>job losses avoided due to the CBILS/CLBILS schemes</w:t>
      </w:r>
      <w:r>
        <w:t xml:space="preserve">. Given that this analysis aims to account </w:t>
      </w:r>
      <w:r w:rsidR="00E1335F">
        <w:t xml:space="preserve">for </w:t>
      </w:r>
      <w:r>
        <w:t>both impacts on employment via business survival and impacts on employment of businesses that would have survived in the absence of the Covid-19 Loan Guarantee Schemes, this estimate cannot</w:t>
      </w:r>
      <w:r w:rsidRPr="00846F78">
        <w:t xml:space="preserve"> be considered additional to the estimate </w:t>
      </w:r>
      <w:r>
        <w:t>of pre-pandemic jobs among businesses that survived due to the Covid-19 Loan Guarantee Schemes presented</w:t>
      </w:r>
      <w:r w:rsidRPr="00846F78">
        <w:t xml:space="preserve"> </w:t>
      </w:r>
      <w:r>
        <w:t>above.</w:t>
      </w:r>
    </w:p>
    <w:p w14:paraId="3AAE5B74" w14:textId="768385AA" w:rsidR="00BA4CCE" w:rsidRPr="005D5D23" w:rsidRDefault="00BA4CCE" w:rsidP="00236B73">
      <w:bookmarkStart w:id="43" w:name="_Toc149801215"/>
      <w:bookmarkStart w:id="44" w:name="_Toc151016534"/>
      <w:r w:rsidRPr="00236B73">
        <w:rPr>
          <w:color w:val="142855" w:themeColor="text2"/>
        </w:rPr>
        <w:t xml:space="preserve">Differences </w:t>
      </w:r>
      <w:r w:rsidR="007C748A" w:rsidRPr="00236B73">
        <w:rPr>
          <w:color w:val="142855" w:themeColor="text2"/>
        </w:rPr>
        <w:t>between Year 1 survey-based analysis and secondary analysis presented in Year 2</w:t>
      </w:r>
      <w:bookmarkEnd w:id="43"/>
      <w:bookmarkEnd w:id="44"/>
    </w:p>
    <w:p w14:paraId="69D3089D" w14:textId="4FA9FB7B" w:rsidR="00BA4CCE" w:rsidRDefault="00BA4CCE" w:rsidP="00533A25">
      <w:proofErr w:type="gramStart"/>
      <w:r>
        <w:lastRenderedPageBreak/>
        <w:t>In light of</w:t>
      </w:r>
      <w:proofErr w:type="gramEnd"/>
      <w:r>
        <w:t xml:space="preserve"> key differences between the survey-based results presented in last year’s report and those of the </w:t>
      </w:r>
      <w:r w:rsidR="00E17A98">
        <w:t xml:space="preserve">secondary analysis </w:t>
      </w:r>
      <w:r>
        <w:t xml:space="preserve">conducted this year, the box below highlights key factors that may be driving these differences. </w:t>
      </w:r>
    </w:p>
    <w:p w14:paraId="0D28062B" w14:textId="271C314C" w:rsidR="00BA4CCE" w:rsidRDefault="00BA4CCE" w:rsidP="00BA4CCE">
      <w:pPr>
        <w:pBdr>
          <w:top w:val="single" w:sz="4" w:space="1" w:color="auto"/>
          <w:left w:val="single" w:sz="4" w:space="4" w:color="auto"/>
          <w:bottom w:val="single" w:sz="4" w:space="1" w:color="auto"/>
          <w:right w:val="single" w:sz="4" w:space="4" w:color="auto"/>
        </w:pBdr>
        <w:rPr>
          <w:b/>
          <w:bCs/>
        </w:rPr>
      </w:pPr>
      <w:r>
        <w:rPr>
          <w:b/>
          <w:bCs/>
        </w:rPr>
        <w:t>Interpreting differences between Year 1 survey-based analysis and the</w:t>
      </w:r>
      <w:r w:rsidR="00AD0280">
        <w:rPr>
          <w:b/>
          <w:bCs/>
        </w:rPr>
        <w:t xml:space="preserve"> </w:t>
      </w:r>
      <w:r>
        <w:rPr>
          <w:b/>
          <w:bCs/>
        </w:rPr>
        <w:t>exercise based on secondary data</w:t>
      </w:r>
      <w:r w:rsidR="004441C1">
        <w:rPr>
          <w:b/>
          <w:bCs/>
        </w:rPr>
        <w:t xml:space="preserve"> presented in Year 2</w:t>
      </w:r>
    </w:p>
    <w:p w14:paraId="5381581E" w14:textId="7F9BF610" w:rsidR="00BA4CCE" w:rsidRDefault="00BA4CCE" w:rsidP="00BA4CCE">
      <w:pPr>
        <w:pBdr>
          <w:top w:val="single" w:sz="4" w:space="1" w:color="auto"/>
          <w:left w:val="single" w:sz="4" w:space="4" w:color="auto"/>
          <w:bottom w:val="single" w:sz="4" w:space="1" w:color="auto"/>
          <w:right w:val="single" w:sz="4" w:space="4" w:color="auto"/>
        </w:pBdr>
      </w:pPr>
      <w:r>
        <w:t xml:space="preserve">This box </w:t>
      </w:r>
      <w:r w:rsidR="00EB0B7A">
        <w:t xml:space="preserve">discusses key factors that may be driving </w:t>
      </w:r>
      <w:r>
        <w:t xml:space="preserve">differences between the Year 1 survey-based analysis (presented in last year’s report), and the </w:t>
      </w:r>
      <w:r w:rsidR="00E81AE0">
        <w:t xml:space="preserve">assessment </w:t>
      </w:r>
      <w:r>
        <w:t xml:space="preserve">of these results based on secondary data (presented in this year’s report). </w:t>
      </w:r>
    </w:p>
    <w:p w14:paraId="241E4F17" w14:textId="5E429D94" w:rsidR="00BA4CCE" w:rsidRDefault="00BA4CCE" w:rsidP="00BA4CCE">
      <w:pPr>
        <w:pBdr>
          <w:top w:val="single" w:sz="4" w:space="1" w:color="auto"/>
          <w:left w:val="single" w:sz="4" w:space="4" w:color="auto"/>
          <w:bottom w:val="single" w:sz="4" w:space="1" w:color="auto"/>
          <w:right w:val="single" w:sz="4" w:space="4" w:color="auto"/>
        </w:pBdr>
      </w:pPr>
      <w:r>
        <w:t>A first important difference is the use of a self-reported counterfactual in the Year 1 survey-based survival analysis, in contrast to th</w:t>
      </w:r>
      <w:r w:rsidR="001D65EE">
        <w:t xml:space="preserve">is </w:t>
      </w:r>
      <w:r>
        <w:t xml:space="preserve">exercise, which fully relies on secondary data to estimate the counterfactual outcome in the absence of the Covid-19 Loan Guarantee Schemes. This means that results from </w:t>
      </w:r>
      <w:r w:rsidR="001D65EE">
        <w:t xml:space="preserve">this </w:t>
      </w:r>
      <w:r>
        <w:t>exercise are less likely to be affected by issues such as poor recall (</w:t>
      </w:r>
      <w:r w:rsidR="00D5524B">
        <w:t>for example</w:t>
      </w:r>
      <w:r>
        <w:t xml:space="preserve"> borrowers may have been overly pessimistic about their survival prospects in the absence of the schemes). </w:t>
      </w:r>
    </w:p>
    <w:p w14:paraId="39CCF72E" w14:textId="43820234" w:rsidR="00BA4CCE" w:rsidRDefault="00BA4CCE" w:rsidP="00BA4CCE">
      <w:pPr>
        <w:pBdr>
          <w:top w:val="single" w:sz="4" w:space="1" w:color="auto"/>
          <w:left w:val="single" w:sz="4" w:space="4" w:color="auto"/>
          <w:bottom w:val="single" w:sz="4" w:space="1" w:color="auto"/>
          <w:right w:val="single" w:sz="4" w:space="4" w:color="auto"/>
        </w:pBdr>
      </w:pPr>
      <w:r>
        <w:t xml:space="preserve">Second, the </w:t>
      </w:r>
      <w:r w:rsidR="00B156C9">
        <w:t xml:space="preserve">secondary </w:t>
      </w:r>
      <w:r>
        <w:t xml:space="preserve">analysis was based on a sample size of the order of tens of thousands to over a hundred thousand businesses, whereas the survey-based analysis was based on a sample of hundreds of businesses. The much larger sample sizes in the </w:t>
      </w:r>
      <w:r w:rsidR="00B156C9">
        <w:t xml:space="preserve">secondary </w:t>
      </w:r>
      <w:r>
        <w:t xml:space="preserve">analysis increases the likelihood of detecting an impact of the schemes. </w:t>
      </w:r>
    </w:p>
    <w:p w14:paraId="073360AD" w14:textId="7D7143B1" w:rsidR="00BA4CCE" w:rsidRDefault="00BA4CCE" w:rsidP="00BA4CCE">
      <w:pPr>
        <w:pBdr>
          <w:top w:val="single" w:sz="4" w:space="1" w:color="auto"/>
          <w:left w:val="single" w:sz="4" w:space="4" w:color="auto"/>
          <w:bottom w:val="single" w:sz="4" w:space="1" w:color="auto"/>
          <w:right w:val="single" w:sz="4" w:space="4" w:color="auto"/>
        </w:pBdr>
      </w:pPr>
      <w:r>
        <w:t xml:space="preserve">Third, there were differences in the econometric model specifications between the survey-based and </w:t>
      </w:r>
      <w:r w:rsidR="00B156C9">
        <w:t xml:space="preserve">secondary </w:t>
      </w:r>
      <w:r>
        <w:t>analyses due to differences in the types of data available. Indeed, the survey</w:t>
      </w:r>
      <w:r w:rsidR="60C1A290">
        <w:t>-</w:t>
      </w:r>
      <w:r w:rsidR="004441C1">
        <w:t xml:space="preserve">based analysis </w:t>
      </w:r>
      <w:proofErr w:type="gramStart"/>
      <w:r w:rsidR="004441C1">
        <w:t>took</w:t>
      </w:r>
      <w:r>
        <w:t xml:space="preserve"> into account</w:t>
      </w:r>
      <w:proofErr w:type="gramEnd"/>
      <w:r>
        <w:t xml:space="preserve"> businesses’ use (or not) of various other support during the pandemic (</w:t>
      </w:r>
      <w:r w:rsidR="00D5524B">
        <w:t>for example</w:t>
      </w:r>
      <w:r>
        <w:t xml:space="preserve"> CJRS, deferral of VAT payments), as well as their perception of certain business obstacles</w:t>
      </w:r>
      <w:r w:rsidR="004441C1">
        <w:t>.</w:t>
      </w:r>
      <w:r>
        <w:t xml:space="preserve"> </w:t>
      </w:r>
      <w:r w:rsidR="004441C1">
        <w:t>M</w:t>
      </w:r>
      <w:r>
        <w:t xml:space="preserve">ost of this information was not available in secondary data (other than an indicator of CJRS use), though a longer time series of turnover and employment allowed to account for pre-pandemic growth (which may have influenced the types of challenges faced during the pandemic). </w:t>
      </w:r>
    </w:p>
    <w:p w14:paraId="591092D4" w14:textId="15A15797" w:rsidR="00BA4CCE" w:rsidRDefault="00BA4CCE" w:rsidP="00BA4CCE">
      <w:pPr>
        <w:pBdr>
          <w:top w:val="single" w:sz="4" w:space="1" w:color="auto"/>
          <w:left w:val="single" w:sz="4" w:space="4" w:color="auto"/>
          <w:bottom w:val="single" w:sz="4" w:space="1" w:color="auto"/>
          <w:right w:val="single" w:sz="4" w:space="4" w:color="auto"/>
        </w:pBdr>
      </w:pPr>
      <w:r>
        <w:t xml:space="preserve">Fourth it is possible that the temporary measures put in place as part of the Corporate Insolvency and Governance Act 2020 (CIGA 2020) may have delayed the closures of certain businesses. If this issue was particularly prevalent among businesses which did not access the Covid-19 Loan Guarantee Schemes, it may have ‘artificially’ lowered the estimated </w:t>
      </w:r>
      <w:r>
        <w:lastRenderedPageBreak/>
        <w:t>counterfactual closure rate (and therefore the impact) estimated in secondary data.</w:t>
      </w:r>
      <w:r>
        <w:rPr>
          <w:rStyle w:val="FootnoteReference"/>
        </w:rPr>
        <w:footnoteReference w:id="18"/>
      </w:r>
      <w:r>
        <w:t xml:space="preserve"> As a result, the estimated impacts on business survival may increase in the</w:t>
      </w:r>
      <w:r w:rsidR="004441C1">
        <w:t xml:space="preserve"> </w:t>
      </w:r>
      <w:r w:rsidR="00A37583">
        <w:t>secondary</w:t>
      </w:r>
      <w:r w:rsidR="004441C1">
        <w:t xml:space="preserve"> analysis of the</w:t>
      </w:r>
      <w:r>
        <w:t xml:space="preserve"> Year 2 </w:t>
      </w:r>
      <w:r w:rsidR="004441C1">
        <w:t>impacts</w:t>
      </w:r>
      <w:r>
        <w:t xml:space="preserve"> (presented in next year’s report) as these delayed closures (if any) materialise. It is unclear whether this issue would affect self-reported survey-based counterfactuals as this depends on survey respondents’ awareness of CIGA 2020, and whether they took it into account when assessing their counterfactual outcome. </w:t>
      </w:r>
    </w:p>
    <w:p w14:paraId="6BDDC1E1" w14:textId="38B3D184" w:rsidR="00BA4CCE" w:rsidRDefault="004441C1" w:rsidP="00BA4CCE">
      <w:pPr>
        <w:pBdr>
          <w:top w:val="single" w:sz="4" w:space="1" w:color="auto"/>
          <w:left w:val="single" w:sz="4" w:space="4" w:color="auto"/>
          <w:bottom w:val="single" w:sz="4" w:space="1" w:color="auto"/>
          <w:right w:val="single" w:sz="4" w:space="4" w:color="auto"/>
        </w:pBdr>
      </w:pPr>
      <w:r>
        <w:t xml:space="preserve">Finally, it should also be noted that at the time of publication of this report the full impacts of the schemes have not materialised, and further evidence will become available over time. As such, to a certain degree it is too early to tell which of the estimates presented in this report are the most accurate. </w:t>
      </w:r>
      <w:r w:rsidR="00BA4CCE">
        <w:t xml:space="preserve">Next year’s analysis </w:t>
      </w:r>
      <w:r>
        <w:t xml:space="preserve">will add another year of data and </w:t>
      </w:r>
      <w:r w:rsidR="00BA4CCE">
        <w:t>may provide greater clarity on whether there may have been ‘delayed’ closures recorded in secondary data</w:t>
      </w:r>
      <w:r>
        <w:t>.</w:t>
      </w:r>
      <w:r w:rsidR="00BA4CCE">
        <w:t xml:space="preserve"> </w:t>
      </w:r>
      <w:r w:rsidRPr="00F2246F">
        <w:t xml:space="preserve">Furthermore, </w:t>
      </w:r>
      <w:r w:rsidR="00BA4CCE" w:rsidRPr="00F2246F">
        <w:t>additional qualitative analysis may be undertaken to explore whether survey respondents’ perceptions of their survival prospects in the absence of the schemes might have been excessively pessimistic</w:t>
      </w:r>
      <w:r w:rsidR="00BA4CCE" w:rsidRPr="000B73EB">
        <w:t>.</w:t>
      </w:r>
      <w:r w:rsidR="00BA4CCE">
        <w:t xml:space="preserve"> Together, these findings may provide additional insights on the reliability of each set of results. </w:t>
      </w:r>
    </w:p>
    <w:p w14:paraId="752DED0C" w14:textId="77777777" w:rsidR="00533A25" w:rsidRPr="005D5D23" w:rsidRDefault="00533A25" w:rsidP="00236B73">
      <w:bookmarkStart w:id="45" w:name="_Toc134631137"/>
      <w:bookmarkStart w:id="46" w:name="_Toc149801216"/>
      <w:bookmarkStart w:id="47" w:name="_Toc151016535"/>
      <w:r w:rsidRPr="00236B73">
        <w:rPr>
          <w:color w:val="142855" w:themeColor="text2"/>
        </w:rPr>
        <w:t>Product market displacement</w:t>
      </w:r>
      <w:bookmarkEnd w:id="45"/>
      <w:bookmarkEnd w:id="46"/>
      <w:bookmarkEnd w:id="47"/>
    </w:p>
    <w:p w14:paraId="5DC64BE7" w14:textId="77777777" w:rsidR="000A75E8" w:rsidRDefault="000A75E8" w:rsidP="00533A25">
      <w:r>
        <w:t>Product market d</w:t>
      </w:r>
      <w:r w:rsidRPr="00E13BD1">
        <w:t>isplacement shows the extent to which benefits from the schemes in the form of increased business output (relative to a scenario without the Covid-19 Loan Guarantee Schemes) occur at the expense of other businesses.</w:t>
      </w:r>
      <w:r>
        <w:t xml:space="preserve"> </w:t>
      </w:r>
    </w:p>
    <w:p w14:paraId="7DEBE017" w14:textId="2998782F" w:rsidR="00533A25" w:rsidRDefault="00533A25" w:rsidP="00533A25">
      <w:r w:rsidRPr="00490C53">
        <w:t xml:space="preserve">Product market displacement was estimated to assess the extent to which </w:t>
      </w:r>
      <w:r>
        <w:t xml:space="preserve">the </w:t>
      </w:r>
      <w:r w:rsidRPr="00490C53">
        <w:t xml:space="preserve">Covid-19 Loan Guarantee Schemes had a net impact on economic output. </w:t>
      </w:r>
      <w:r>
        <w:t xml:space="preserve">In the Year 1 analysis, product market displacement was calculated based on borrowers’ self-reported assessment of the level of competition they faced (element I), the extent to which their competitors would take up their sales if they ceased trading (element II), and the extent to which their competitors were based in the UK (element III). The first of these three elements </w:t>
      </w:r>
      <w:proofErr w:type="gramStart"/>
      <w:r>
        <w:t>was</w:t>
      </w:r>
      <w:proofErr w:type="gramEnd"/>
      <w:r>
        <w:t xml:space="preserve"> compared to </w:t>
      </w:r>
      <w:r w:rsidRPr="00490C53">
        <w:t xml:space="preserve">Herfindahl-Hirschman </w:t>
      </w:r>
      <w:r>
        <w:t xml:space="preserve">Indices </w:t>
      </w:r>
      <w:r w:rsidRPr="00490C53">
        <w:t>(HHI)</w:t>
      </w:r>
      <w:r>
        <w:t xml:space="preserve"> as observable measures of </w:t>
      </w:r>
      <w:r w:rsidRPr="00490C53">
        <w:t>sector-level market competition</w:t>
      </w:r>
      <w:r>
        <w:t xml:space="preserve">. The correlation across sectors between HHIs and businesses’ average assessment of the level of competition that they faced is close to zero in both the case of the BBLS and CBILS/CLBILS, </w:t>
      </w:r>
      <w:r w:rsidRPr="00490C53">
        <w:lastRenderedPageBreak/>
        <w:t>suggesting that there is little evidence of a relationship between self-reported competition and the competition that is observed through the calculation of HHIs</w:t>
      </w:r>
      <w:r>
        <w:t>.</w:t>
      </w:r>
      <w:r w:rsidR="00AA442E">
        <w:t xml:space="preserve"> Businesses tend to report lower levels of competition than HHIs suggest. The average element I displacement factor when using self-reported competition is 58% and 63% for BBLS and CBILS/CLBILS recipients respectively, compared to 74</w:t>
      </w:r>
      <w:r w:rsidR="00CC7280">
        <w:t>%</w:t>
      </w:r>
      <w:r w:rsidR="00AA442E">
        <w:t>-80% for both groups when using observed competition.</w:t>
      </w:r>
    </w:p>
    <w:p w14:paraId="5D00C093" w14:textId="6115E043" w:rsidR="00533A25" w:rsidRDefault="00AA442E" w:rsidP="00533A25">
      <w:r>
        <w:t>P</w:t>
      </w:r>
      <w:r w:rsidR="00533A25">
        <w:t>roduct market displacement was re-calculated based on a combination of self-reported data – capturing elements II and III – and HHI data – capturing element I. Following this approach, p</w:t>
      </w:r>
      <w:r w:rsidR="00533A25" w:rsidRPr="00490C53">
        <w:t xml:space="preserve">roduct market displacement </w:t>
      </w:r>
      <w:r w:rsidR="00533A25">
        <w:t xml:space="preserve">was estimated to be </w:t>
      </w:r>
      <w:r w:rsidR="00533A25" w:rsidRPr="00490C53">
        <w:t>51</w:t>
      </w:r>
      <w:r w:rsidR="00E434C6">
        <w:t>%</w:t>
      </w:r>
      <w:r w:rsidR="00533A25" w:rsidRPr="00490C53">
        <w:t xml:space="preserve">-56% for BBLS </w:t>
      </w:r>
      <w:r w:rsidR="00533A25">
        <w:t>borrowers</w:t>
      </w:r>
      <w:r w:rsidR="00533A25" w:rsidRPr="00490C53">
        <w:t xml:space="preserve"> and 5</w:t>
      </w:r>
      <w:r w:rsidR="00533A25">
        <w:t>2</w:t>
      </w:r>
      <w:r w:rsidR="00E434C6">
        <w:t>%</w:t>
      </w:r>
      <w:r w:rsidR="00533A25" w:rsidRPr="00490C53">
        <w:t xml:space="preserve">-56% for CBILS/CLBILS </w:t>
      </w:r>
      <w:r w:rsidR="00533A25">
        <w:t>borrowers. This compares to Year 1 estimates of 43% for BBLS borrowers and 46% for CBILS/CLBILS borrowers, based fully on self-reported data.</w:t>
      </w:r>
      <w:r>
        <w:t xml:space="preserve"> The difference in </w:t>
      </w:r>
      <w:r w:rsidR="00F43F6B">
        <w:t xml:space="preserve">estimated </w:t>
      </w:r>
      <w:r>
        <w:t xml:space="preserve">product market displacement between these approaches is due to higher levels of competition </w:t>
      </w:r>
      <w:r w:rsidR="008C2464">
        <w:t>suggested by analysis of</w:t>
      </w:r>
      <w:r>
        <w:t xml:space="preserve"> HHIs</w:t>
      </w:r>
      <w:r w:rsidR="00F43F6B">
        <w:t xml:space="preserve">, in comparison to </w:t>
      </w:r>
      <w:r>
        <w:t>level</w:t>
      </w:r>
      <w:r w:rsidR="00685E62">
        <w:t>s</w:t>
      </w:r>
      <w:r>
        <w:t xml:space="preserve"> of self-reported competition.</w:t>
      </w:r>
      <w:r w:rsidR="00B5269D" w:rsidRPr="00B5269D">
        <w:t xml:space="preserve"> </w:t>
      </w:r>
      <w:r w:rsidR="00807EBA">
        <w:t xml:space="preserve">Note that </w:t>
      </w:r>
      <w:r w:rsidR="00B5269D">
        <w:t>product market displacement is unlikely to have occurred immediately due to economic output being below its potential during much of the pandemic; but it may become more noticeable as the economy approaches full capacity</w:t>
      </w:r>
      <w:r w:rsidR="00E434C6">
        <w:t>.</w:t>
      </w:r>
    </w:p>
    <w:p w14:paraId="00E8A8BD" w14:textId="77777777" w:rsidR="00533A25" w:rsidRDefault="00533A25" w:rsidP="00236B73">
      <w:bookmarkStart w:id="48" w:name="_Toc134631138"/>
      <w:bookmarkStart w:id="49" w:name="_Toc149801217"/>
      <w:bookmarkStart w:id="50" w:name="_Toc151016536"/>
      <w:r w:rsidRPr="00236B73">
        <w:rPr>
          <w:color w:val="142855" w:themeColor="text2"/>
        </w:rPr>
        <w:t>Business Insights and Conditions Survey</w:t>
      </w:r>
      <w:bookmarkEnd w:id="48"/>
      <w:bookmarkEnd w:id="49"/>
      <w:bookmarkEnd w:id="50"/>
    </w:p>
    <w:p w14:paraId="6249499F" w14:textId="1D3773CE" w:rsidR="00533A25" w:rsidRDefault="00C467CB" w:rsidP="00533A25">
      <w:r>
        <w:t xml:space="preserve">As part of the </w:t>
      </w:r>
      <w:r w:rsidR="00D90D14">
        <w:t xml:space="preserve">secondary analysis of </w:t>
      </w:r>
      <w:r>
        <w:t xml:space="preserve">Year 1 </w:t>
      </w:r>
      <w:r w:rsidR="00D90D14">
        <w:t>impacts</w:t>
      </w:r>
      <w:r>
        <w:t>, t</w:t>
      </w:r>
      <w:r w:rsidRPr="00490C53">
        <w:t xml:space="preserve">he Business Insights and Conditions Survey (BICS) </w:t>
      </w:r>
      <w:r>
        <w:t xml:space="preserve">has been analysed to </w:t>
      </w:r>
      <w:r w:rsidRPr="00490C53">
        <w:t xml:space="preserve">provide </w:t>
      </w:r>
      <w:r w:rsidR="007F7A5A">
        <w:t>additional context for</w:t>
      </w:r>
      <w:r w:rsidR="007F7A5A" w:rsidRPr="00490C53">
        <w:t xml:space="preserve"> the findings of the </w:t>
      </w:r>
      <w:r w:rsidR="007F7A5A">
        <w:t>Year 1 analysis.</w:t>
      </w:r>
      <w:r>
        <w:t xml:space="preserve"> </w:t>
      </w:r>
      <w:proofErr w:type="gramStart"/>
      <w:r w:rsidR="00533A25" w:rsidRPr="00490C53">
        <w:t>The majority of</w:t>
      </w:r>
      <w:proofErr w:type="gramEnd"/>
      <w:r w:rsidR="00533A25" w:rsidRPr="00490C53">
        <w:t xml:space="preserve"> businesses </w:t>
      </w:r>
      <w:r w:rsidR="00533A25">
        <w:t>that</w:t>
      </w:r>
      <w:r w:rsidR="00533A25" w:rsidRPr="00490C53">
        <w:t xml:space="preserve"> received government suppor</w:t>
      </w:r>
      <w:r w:rsidR="00533A25">
        <w:t xml:space="preserve">t </w:t>
      </w:r>
      <w:r w:rsidR="00533A25" w:rsidRPr="00490C53">
        <w:t xml:space="preserve">reported that the government support they used helped them </w:t>
      </w:r>
      <w:r w:rsidR="00533A25">
        <w:t xml:space="preserve">to </w:t>
      </w:r>
      <w:r w:rsidR="00533A25" w:rsidRPr="00490C53">
        <w:t>continue trading during the pandemic</w:t>
      </w:r>
      <w:r w:rsidR="00533A25">
        <w:t>.</w:t>
      </w:r>
      <w:r w:rsidR="00533A25" w:rsidRPr="00490C53">
        <w:t xml:space="preserve"> </w:t>
      </w:r>
      <w:r w:rsidR="00533A25">
        <w:t>However</w:t>
      </w:r>
      <w:r w:rsidR="00533A25" w:rsidRPr="00490C53">
        <w:t xml:space="preserve">, the proportion of businesses </w:t>
      </w:r>
      <w:r w:rsidR="00533A25">
        <w:t>stating</w:t>
      </w:r>
      <w:r w:rsidR="00533A25" w:rsidRPr="00490C53">
        <w:t xml:space="preserve"> that the support they received helped them continue trading was higher amongst </w:t>
      </w:r>
      <w:r w:rsidR="00533A25">
        <w:t>businesses that used a government-backed loan</w:t>
      </w:r>
      <w:r w:rsidR="00533A25" w:rsidRPr="00490C53">
        <w:t xml:space="preserve"> (75%) than non-borrowers (57%). </w:t>
      </w:r>
      <w:r w:rsidR="00533A25">
        <w:t>These</w:t>
      </w:r>
      <w:r w:rsidR="00533A25" w:rsidRPr="00490C53">
        <w:t xml:space="preserve"> results are consistent with findings from the </w:t>
      </w:r>
      <w:r w:rsidR="00533A25">
        <w:t xml:space="preserve">Year 1 </w:t>
      </w:r>
      <w:r w:rsidR="00533A25" w:rsidRPr="00490C53">
        <w:t>business survival analysis</w:t>
      </w:r>
      <w:r w:rsidR="00533A25">
        <w:t>.</w:t>
      </w:r>
      <w:r w:rsidR="00533A25">
        <w:rPr>
          <w:rStyle w:val="FootnoteReference"/>
        </w:rPr>
        <w:footnoteReference w:id="19"/>
      </w:r>
    </w:p>
    <w:p w14:paraId="55980DE9" w14:textId="4D828386" w:rsidR="00FB35E2" w:rsidRDefault="00FB35E2" w:rsidP="00FB35E2">
      <w:pPr>
        <w:pStyle w:val="Heading5"/>
      </w:pPr>
      <w:r>
        <w:lastRenderedPageBreak/>
        <w:t xml:space="preserve">Table </w:t>
      </w:r>
      <w:r>
        <w:fldChar w:fldCharType="begin"/>
      </w:r>
      <w:r>
        <w:instrText>SEQ Table \* ARABIC</w:instrText>
      </w:r>
      <w:r>
        <w:fldChar w:fldCharType="separate"/>
      </w:r>
      <w:r w:rsidR="00397D49">
        <w:rPr>
          <w:noProof/>
        </w:rPr>
        <w:t>3</w:t>
      </w:r>
      <w:r>
        <w:fldChar w:fldCharType="end"/>
      </w:r>
      <w:r>
        <w:rPr>
          <w:noProof/>
        </w:rPr>
        <w:t>:</w:t>
      </w:r>
      <w:r>
        <w:t xml:space="preserve"> Business survival findings from the Year 1 analysis of self-reported data, </w:t>
      </w:r>
      <w:r w:rsidR="00D90D14">
        <w:t xml:space="preserve">secondary analysis of </w:t>
      </w:r>
      <w:r>
        <w:t xml:space="preserve">Year 1 </w:t>
      </w:r>
      <w:r w:rsidR="00D90D14">
        <w:t xml:space="preserve">impacts </w:t>
      </w:r>
      <w:r>
        <w:t xml:space="preserve">and BICS analysis </w:t>
      </w:r>
    </w:p>
    <w:tbl>
      <w:tblPr>
        <w:tblStyle w:val="TableGrid"/>
        <w:tblW w:w="4936" w:type="pct"/>
        <w:tblLayout w:type="fixed"/>
        <w:tblLook w:val="04A0" w:firstRow="1" w:lastRow="0" w:firstColumn="1" w:lastColumn="0" w:noHBand="0" w:noVBand="1"/>
      </w:tblPr>
      <w:tblGrid>
        <w:gridCol w:w="3827"/>
        <w:gridCol w:w="6197"/>
      </w:tblGrid>
      <w:tr w:rsidR="00FB35E2" w:rsidRPr="00490C53" w14:paraId="7CFD3ECD" w14:textId="77777777" w:rsidTr="00A36500">
        <w:trPr>
          <w:cnfStyle w:val="100000000000" w:firstRow="1" w:lastRow="0" w:firstColumn="0" w:lastColumn="0" w:oddVBand="0" w:evenVBand="0" w:oddHBand="0" w:evenHBand="0" w:firstRowFirstColumn="0" w:firstRowLastColumn="0" w:lastRowFirstColumn="0" w:lastRowLastColumn="0"/>
          <w:trHeight w:val="309"/>
          <w:tblHeader/>
        </w:trPr>
        <w:tc>
          <w:tcPr>
            <w:tcW w:w="1909" w:type="pct"/>
            <w:noWrap/>
            <w:vAlign w:val="center"/>
          </w:tcPr>
          <w:p w14:paraId="455A96BC" w14:textId="77777777" w:rsidR="00FB35E2" w:rsidRPr="00490C53" w:rsidRDefault="00FB35E2">
            <w:pPr>
              <w:pStyle w:val="Tablecolumnheading-white"/>
            </w:pPr>
            <w:r>
              <w:t>Research method</w:t>
            </w:r>
          </w:p>
        </w:tc>
        <w:tc>
          <w:tcPr>
            <w:tcW w:w="3091" w:type="pct"/>
            <w:noWrap/>
            <w:vAlign w:val="center"/>
          </w:tcPr>
          <w:p w14:paraId="3F558423" w14:textId="77777777" w:rsidR="00FB35E2" w:rsidRPr="00490C53" w:rsidRDefault="00FB35E2">
            <w:pPr>
              <w:pStyle w:val="Tablecolumnheading-white"/>
              <w:rPr>
                <w:bCs/>
              </w:rPr>
            </w:pPr>
            <w:r>
              <w:rPr>
                <w:bCs/>
              </w:rPr>
              <w:t>Findings</w:t>
            </w:r>
          </w:p>
        </w:tc>
      </w:tr>
      <w:tr w:rsidR="00FB35E2" w:rsidRPr="00490C53" w14:paraId="37A3D269"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30"/>
        </w:trPr>
        <w:tc>
          <w:tcPr>
            <w:tcW w:w="1909" w:type="pct"/>
            <w:noWrap/>
            <w:vAlign w:val="center"/>
          </w:tcPr>
          <w:p w14:paraId="77A4235A" w14:textId="77777777" w:rsidR="00FB35E2" w:rsidRPr="00490C53" w:rsidRDefault="00FB35E2">
            <w:pPr>
              <w:pStyle w:val="Tabletext"/>
            </w:pPr>
            <w:r>
              <w:t>Year 1 (based on self-reported impacts)</w:t>
            </w:r>
          </w:p>
        </w:tc>
        <w:tc>
          <w:tcPr>
            <w:tcW w:w="3091" w:type="pct"/>
            <w:vAlign w:val="center"/>
          </w:tcPr>
          <w:p w14:paraId="6EED2848" w14:textId="1F0363FF" w:rsidR="00FB35E2" w:rsidRPr="00490C53" w:rsidRDefault="00FB35E2">
            <w:pPr>
              <w:pStyle w:val="Tabletext"/>
              <w:spacing w:before="0"/>
            </w:pPr>
            <w:r w:rsidRPr="00D66D5B">
              <w:t xml:space="preserve">An additional </w:t>
            </w:r>
            <w:r>
              <w:t>10</w:t>
            </w:r>
            <w:r w:rsidRPr="00D66D5B">
              <w:t xml:space="preserve">%-34% of BBLS borrowers and </w:t>
            </w:r>
            <w:r>
              <w:t>7</w:t>
            </w:r>
            <w:r w:rsidRPr="00D66D5B">
              <w:t xml:space="preserve">%-28% of CBILS/CLBILS borrowers could have </w:t>
            </w:r>
            <w:r>
              <w:t>permanently closed</w:t>
            </w:r>
            <w:r w:rsidRPr="00D66D5B">
              <w:t xml:space="preserve"> </w:t>
            </w:r>
            <w:r w:rsidR="00533CCA">
              <w:t xml:space="preserve">by December </w:t>
            </w:r>
            <w:r>
              <w:t xml:space="preserve">2020 </w:t>
            </w:r>
            <w:r w:rsidRPr="00D66D5B">
              <w:t>had the Covid-19 Loan Guarantee Schemes not been in place</w:t>
            </w:r>
            <w:r>
              <w:t>.</w:t>
            </w:r>
          </w:p>
        </w:tc>
      </w:tr>
      <w:tr w:rsidR="00FB35E2" w:rsidRPr="00490C53" w14:paraId="550CF6EE" w14:textId="77777777" w:rsidTr="00A36500">
        <w:tblPrEx>
          <w:tblCellMar>
            <w:left w:w="108" w:type="dxa"/>
            <w:right w:w="108" w:type="dxa"/>
          </w:tblCellMar>
        </w:tblPrEx>
        <w:trPr>
          <w:trHeight w:val="930"/>
        </w:trPr>
        <w:tc>
          <w:tcPr>
            <w:tcW w:w="1909" w:type="pct"/>
            <w:noWrap/>
            <w:vAlign w:val="center"/>
          </w:tcPr>
          <w:p w14:paraId="7F5AFD7A" w14:textId="601FE8E7" w:rsidR="00FB35E2" w:rsidRPr="00490C53" w:rsidRDefault="00FB35E2">
            <w:pPr>
              <w:pStyle w:val="Tabletext"/>
            </w:pPr>
            <w:r>
              <w:t xml:space="preserve">Year 1 </w:t>
            </w:r>
            <w:r w:rsidR="002E530F">
              <w:t xml:space="preserve">impacts – secondary analysis </w:t>
            </w:r>
            <w:r>
              <w:t xml:space="preserve">(based on observed </w:t>
            </w:r>
            <w:r w:rsidR="004550ED">
              <w:t>closure</w:t>
            </w:r>
            <w:r>
              <w:t xml:space="preserve"> rates in IDBR)</w:t>
            </w:r>
          </w:p>
        </w:tc>
        <w:tc>
          <w:tcPr>
            <w:tcW w:w="3091" w:type="pct"/>
            <w:vAlign w:val="center"/>
          </w:tcPr>
          <w:p w14:paraId="60BB3F88" w14:textId="59B901AF" w:rsidR="00FB35E2" w:rsidRPr="00490C53" w:rsidRDefault="00FB35E2">
            <w:pPr>
              <w:pStyle w:val="Tabletext"/>
              <w:spacing w:before="0"/>
            </w:pPr>
            <w:r>
              <w:t xml:space="preserve">An additional </w:t>
            </w:r>
            <w:r w:rsidR="00075C04">
              <w:t>5.</w:t>
            </w:r>
            <w:r w:rsidR="00994BE7">
              <w:t>0</w:t>
            </w:r>
            <w:r>
              <w:t>%</w:t>
            </w:r>
            <w:r w:rsidR="00994BE7">
              <w:t>-6.5%</w:t>
            </w:r>
            <w:r>
              <w:t xml:space="preserve"> of BBLS borrowers and 4</w:t>
            </w:r>
            <w:r w:rsidR="00075C04">
              <w:t>.</w:t>
            </w:r>
            <w:r w:rsidR="00994BE7">
              <w:t>0</w:t>
            </w:r>
            <w:r>
              <w:t>%</w:t>
            </w:r>
            <w:r w:rsidR="00994BE7">
              <w:t>-4.7%</w:t>
            </w:r>
            <w:r>
              <w:t xml:space="preserve"> of CBILS/CLBILS borrowers could have </w:t>
            </w:r>
            <w:r w:rsidR="004550ED">
              <w:t xml:space="preserve">permanently closed </w:t>
            </w:r>
            <w:r>
              <w:t>by March 2021 in absence of the schemes</w:t>
            </w:r>
          </w:p>
        </w:tc>
      </w:tr>
      <w:tr w:rsidR="00FB35E2" w:rsidRPr="00490C53" w14:paraId="4BEA9981"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30"/>
        </w:trPr>
        <w:tc>
          <w:tcPr>
            <w:tcW w:w="1909" w:type="pct"/>
            <w:tcBorders>
              <w:bottom w:val="single" w:sz="4" w:space="0" w:color="0054BA" w:themeColor="accent2"/>
            </w:tcBorders>
            <w:noWrap/>
            <w:vAlign w:val="center"/>
          </w:tcPr>
          <w:p w14:paraId="1ACD7662" w14:textId="66C0DA32" w:rsidR="00FB35E2" w:rsidRDefault="00FB35E2">
            <w:pPr>
              <w:pStyle w:val="Tabletext"/>
            </w:pPr>
            <w:r>
              <w:t>BICS (descriptive analysis)</w:t>
            </w:r>
          </w:p>
        </w:tc>
        <w:tc>
          <w:tcPr>
            <w:tcW w:w="3091" w:type="pct"/>
            <w:tcBorders>
              <w:bottom w:val="single" w:sz="4" w:space="0" w:color="0054BA" w:themeColor="accent2"/>
            </w:tcBorders>
            <w:vAlign w:val="center"/>
          </w:tcPr>
          <w:p w14:paraId="57434CEA" w14:textId="77777777" w:rsidR="00FB35E2" w:rsidRDefault="00FB35E2">
            <w:pPr>
              <w:pStyle w:val="Tabletext"/>
              <w:spacing w:before="0"/>
            </w:pPr>
            <w:r>
              <w:t xml:space="preserve">75% of businesses that used a government-backed loan reported that the support they received helped them continue trading, compared to 57% of those that only used other types of government support. </w:t>
            </w:r>
          </w:p>
        </w:tc>
      </w:tr>
    </w:tbl>
    <w:p w14:paraId="020FC44E" w14:textId="77777777" w:rsidR="00FB35E2" w:rsidRPr="00490C53" w:rsidRDefault="00FB35E2" w:rsidP="00FB35E2">
      <w:pPr>
        <w:pStyle w:val="Caption"/>
      </w:pPr>
      <w:r w:rsidRPr="00490C53">
        <w:t>Source: London Economics’ analysis of the Business Insights and Conditions Survey (BICS)</w:t>
      </w:r>
      <w:r>
        <w:t xml:space="preserve">, survey data, </w:t>
      </w:r>
      <w:r>
        <w:rPr>
          <w:rStyle w:val="Emphasis"/>
          <w:b w:val="0"/>
          <w:bCs/>
          <w:color w:val="555674"/>
        </w:rPr>
        <w:t>IDBR data, BBB Management Information and BBB Portal Data</w:t>
      </w:r>
      <w:r>
        <w:t>.</w:t>
      </w:r>
    </w:p>
    <w:p w14:paraId="2671912C" w14:textId="44E3D7CA" w:rsidR="00533A25" w:rsidRDefault="00533A25" w:rsidP="00533A25">
      <w:r w:rsidRPr="00490C53">
        <w:t xml:space="preserve">Borrowers were </w:t>
      </w:r>
      <w:r>
        <w:t xml:space="preserve">also </w:t>
      </w:r>
      <w:r w:rsidRPr="00490C53">
        <w:t xml:space="preserve">more likely to have reduced the ambition of their expansion plans than non-borrowers (18% compared to 12%) and to have postponed or cancelled their expansion plans altogether (34% compared to 19%). </w:t>
      </w:r>
      <w:r>
        <w:t xml:space="preserve">This is consistent with the </w:t>
      </w:r>
      <w:r w:rsidR="004441C1">
        <w:t xml:space="preserve">finding in the </w:t>
      </w:r>
      <w:r>
        <w:t>Year 1 survival analysis</w:t>
      </w:r>
      <w:r w:rsidR="004441C1">
        <w:t xml:space="preserve"> that loans were very important for business survival</w:t>
      </w:r>
      <w:r>
        <w:t xml:space="preserve">, </w:t>
      </w:r>
      <w:r w:rsidR="004441C1">
        <w:t>as businesses</w:t>
      </w:r>
      <w:r>
        <w:t xml:space="preserve"> may have used the finance to ‘keep their business afloat’ rather than expand. Borrowers were more likely than non-borrowers to have stopped or reduced their capital expenditure </w:t>
      </w:r>
      <w:proofErr w:type="gramStart"/>
      <w:r>
        <w:t>as a result of</w:t>
      </w:r>
      <w:proofErr w:type="gramEnd"/>
      <w:r>
        <w:t xml:space="preserve"> the Covid-19 pandemic, but also almost twice as likely to have increased their capital expenditure. </w:t>
      </w:r>
    </w:p>
    <w:p w14:paraId="6DDB0319" w14:textId="045E90E5" w:rsidR="00533A25" w:rsidRPr="00490C53" w:rsidRDefault="00533A25" w:rsidP="00533A25">
      <w:r w:rsidRPr="00490C53">
        <w:t>Borrowers (15%) were more likely to have reduced their innovation due to the pandemic than non-borrowers (7%)</w:t>
      </w:r>
      <w:r>
        <w:t xml:space="preserve">. </w:t>
      </w:r>
      <w:r w:rsidR="001B7E03">
        <w:t>B</w:t>
      </w:r>
      <w:r w:rsidRPr="00490C53">
        <w:t>oth groups of companies were more likely to have increased their innovation than</w:t>
      </w:r>
      <w:r>
        <w:t xml:space="preserve"> to have</w:t>
      </w:r>
      <w:r w:rsidRPr="00490C53">
        <w:t xml:space="preserve"> reduced it,</w:t>
      </w:r>
      <w:r w:rsidR="001B7E03">
        <w:t xml:space="preserve"> but</w:t>
      </w:r>
      <w:r w:rsidRPr="00490C53">
        <w:t xml:space="preserve"> borrowers were more likely than non-borrowers to have increased their innovation since the pandemic (32% compared to 29%). </w:t>
      </w:r>
      <w:r>
        <w:t xml:space="preserve">This is consistent with </w:t>
      </w:r>
      <w:r w:rsidR="001B7E03">
        <w:t>Year 1 finding</w:t>
      </w:r>
      <w:r w:rsidRPr="00490C53">
        <w:t xml:space="preserve"> that borrowers were more likely than non-borrowers to be ‘trading in new goods, services, and/or </w:t>
      </w:r>
      <w:proofErr w:type="gramStart"/>
      <w:r w:rsidRPr="00490C53">
        <w:t>markets’</w:t>
      </w:r>
      <w:proofErr w:type="gramEnd"/>
      <w:r w:rsidRPr="00490C53">
        <w:t>.</w:t>
      </w:r>
    </w:p>
    <w:p w14:paraId="19497C00" w14:textId="298288B1" w:rsidR="00533A25" w:rsidRDefault="00533A25" w:rsidP="00533A25">
      <w:proofErr w:type="gramStart"/>
      <w:r w:rsidRPr="00490C53">
        <w:lastRenderedPageBreak/>
        <w:t>The vast majority of</w:t>
      </w:r>
      <w:proofErr w:type="gramEnd"/>
      <w:r w:rsidRPr="00490C53">
        <w:t xml:space="preserve"> companies (between 91% and 93%) reported that their workforce could meet the demands of the business between March and May 2020</w:t>
      </w:r>
      <w:r>
        <w:t xml:space="preserve">. This is consistent with the Year 1 </w:t>
      </w:r>
      <w:r w:rsidR="001B7E03">
        <w:t>finding</w:t>
      </w:r>
      <w:r>
        <w:t xml:space="preserve"> that a relatively small proportion of borrowers (approximately one tenth) used their loans to </w:t>
      </w:r>
      <w:r w:rsidRPr="000A4C78">
        <w:t>make "other adjustments to working practices (</w:t>
      </w:r>
      <w:r w:rsidR="00994BE7">
        <w:t>for example to</w:t>
      </w:r>
      <w:r w:rsidRPr="000A4C78">
        <w:t xml:space="preserve"> ensure workplace is Covid-19 safe)</w:t>
      </w:r>
      <w:r w:rsidR="001B7E03">
        <w:t xml:space="preserve">.” </w:t>
      </w:r>
      <w:r>
        <w:t>Borrowers were more likely than non-borrowers to have experienced a decrease in footfall due to the pandemic (</w:t>
      </w:r>
      <w:r w:rsidRPr="00490C53">
        <w:t>67%</w:t>
      </w:r>
      <w:r>
        <w:t>, compared to 63%</w:t>
      </w:r>
      <w:r w:rsidRPr="00490C53">
        <w:t>)</w:t>
      </w:r>
      <w:r>
        <w:t>, but were also more likely to have seen an increase in their footfall (7%, compared to 6%)</w:t>
      </w:r>
      <w:r w:rsidRPr="00490C53">
        <w:t xml:space="preserve">. </w:t>
      </w:r>
    </w:p>
    <w:p w14:paraId="3326C2B3" w14:textId="6E7F2710" w:rsidR="00533A25" w:rsidRDefault="00533A25" w:rsidP="00533A25">
      <w:r>
        <w:t>A clear majority of</w:t>
      </w:r>
      <w:r w:rsidRPr="00490C53">
        <w:t xml:space="preserve"> borrowers (68%) and non-borrowers (75%) </w:t>
      </w:r>
      <w:r>
        <w:t>indicated</w:t>
      </w:r>
      <w:r w:rsidRPr="00490C53">
        <w:t xml:space="preserve"> that they could access </w:t>
      </w:r>
      <w:r>
        <w:t>goods, materials, and services</w:t>
      </w:r>
      <w:r w:rsidRPr="00490C53">
        <w:t xml:space="preserve"> without having to change supplier</w:t>
      </w:r>
      <w:r>
        <w:t xml:space="preserve">. </w:t>
      </w:r>
      <w:r w:rsidR="001B7E03">
        <w:t>12% of borrowers were</w:t>
      </w:r>
      <w:r w:rsidRPr="00490C53">
        <w:t xml:space="preserve"> unable to access </w:t>
      </w:r>
      <w:r w:rsidR="001B7E03">
        <w:t xml:space="preserve">goods, </w:t>
      </w:r>
      <w:proofErr w:type="gramStart"/>
      <w:r w:rsidR="001B7E03">
        <w:t>services</w:t>
      </w:r>
      <w:proofErr w:type="gramEnd"/>
      <w:r w:rsidR="001B7E03">
        <w:t xml:space="preserve"> or materials</w:t>
      </w:r>
      <w:r w:rsidR="001B7E03" w:rsidRPr="00490C53">
        <w:t xml:space="preserve"> </w:t>
      </w:r>
      <w:r w:rsidRPr="00490C53">
        <w:t xml:space="preserve">at all </w:t>
      </w:r>
      <w:r w:rsidR="001B7E03">
        <w:t>and 20%</w:t>
      </w:r>
      <w:r w:rsidRPr="00490C53">
        <w:t xml:space="preserve"> to change supplier or find alternative solutions</w:t>
      </w:r>
      <w:r w:rsidR="001B7E03">
        <w:t>, higher than the corresponding proportions for non-borrowers (10% and 16% respectively)</w:t>
      </w:r>
      <w:r w:rsidRPr="00490C53">
        <w:t>. Th</w:t>
      </w:r>
      <w:r w:rsidR="001B7E03">
        <w:t>is is consistent with the</w:t>
      </w:r>
      <w:r w:rsidRPr="00490C53">
        <w:t xml:space="preserve"> </w:t>
      </w:r>
      <w:r>
        <w:t>Year 1</w:t>
      </w:r>
      <w:r w:rsidRPr="00490C53">
        <w:t xml:space="preserve"> survey </w:t>
      </w:r>
      <w:r w:rsidR="001B7E03">
        <w:t>finding</w:t>
      </w:r>
      <w:r w:rsidRPr="00490C53">
        <w:t xml:space="preserve"> that supply chain disruptions were a common obstacle to businesses, </w:t>
      </w:r>
      <w:r w:rsidR="001B7E03">
        <w:t xml:space="preserve">particularly for borrowers. </w:t>
      </w:r>
    </w:p>
    <w:p w14:paraId="54BA1FC4" w14:textId="5E6A07EC" w:rsidR="00AE1AFB" w:rsidRPr="00490C53" w:rsidRDefault="00AE1AFB">
      <w:pPr>
        <w:spacing w:after="160" w:line="259" w:lineRule="auto"/>
      </w:pPr>
      <w:r w:rsidRPr="00490C53">
        <w:br w:type="page"/>
      </w:r>
    </w:p>
    <w:p w14:paraId="322554BE" w14:textId="40B3FB62" w:rsidR="00176547" w:rsidRPr="00490C53" w:rsidRDefault="00176547" w:rsidP="00A36500">
      <w:pPr>
        <w:pStyle w:val="Heading1"/>
        <w:tabs>
          <w:tab w:val="left" w:pos="6840"/>
        </w:tabs>
      </w:pPr>
      <w:bookmarkStart w:id="51" w:name="_Toc151549874"/>
      <w:r w:rsidRPr="00490C53">
        <w:lastRenderedPageBreak/>
        <w:t>Introduction</w:t>
      </w:r>
      <w:bookmarkEnd w:id="51"/>
      <w:r w:rsidR="00264103">
        <w:tab/>
      </w:r>
    </w:p>
    <w:p w14:paraId="28DB8399" w14:textId="43E0D776" w:rsidR="00DE0F7D" w:rsidRDefault="00DE0F7D" w:rsidP="00DE0F7D">
      <w:r>
        <w:t xml:space="preserve">London Economics and Ipsos were commissioned by the British Business Bank (BBB) in March 2021 to undertake a three-year evaluation of the </w:t>
      </w:r>
      <w:r w:rsidRPr="00882ED1">
        <w:t>Bounce Back Loan Scheme (BBLS), Coronavirus Business Interruption Loan Scheme (CBILS) and Coronavirus Large Business Interruption Loan Scheme (CLBILS)</w:t>
      </w:r>
      <w:r>
        <w:t xml:space="preserve"> (hereafter referred to as the “Covid-19 Loan Guarantee Schemes” or the schemes (unless stated otherwise)). </w:t>
      </w:r>
    </w:p>
    <w:p w14:paraId="085451E9" w14:textId="159BA5B7" w:rsidR="00DE0F7D" w:rsidRDefault="00DE0F7D" w:rsidP="00DE0F7D">
      <w:r>
        <w:t>This report provides findings from the second year of the evaluation</w:t>
      </w:r>
      <w:r w:rsidR="003A6E28">
        <w:t xml:space="preserve">, which consists of two main parts. The first of these </w:t>
      </w:r>
      <w:r w:rsidR="003A6E28" w:rsidRPr="00A23B36">
        <w:t>is</w:t>
      </w:r>
      <w:r w:rsidRPr="00F2246F">
        <w:t xml:space="preserve"> a process evaluation </w:t>
      </w:r>
      <w:r w:rsidRPr="00A23B36">
        <w:t>aiming</w:t>
      </w:r>
      <w:r>
        <w:t xml:space="preserve"> to assess the </w:t>
      </w:r>
      <w:r w:rsidRPr="001B5308">
        <w:t xml:space="preserve">processes adopted to deliver the three </w:t>
      </w:r>
      <w:r>
        <w:t>Covid-19</w:t>
      </w:r>
      <w:r w:rsidRPr="001B5308">
        <w:t xml:space="preserve"> </w:t>
      </w:r>
      <w:r>
        <w:t>Loan</w:t>
      </w:r>
      <w:r w:rsidRPr="001B5308">
        <w:t xml:space="preserve"> </w:t>
      </w:r>
      <w:r>
        <w:t>G</w:t>
      </w:r>
      <w:r w:rsidRPr="001B5308">
        <w:t xml:space="preserve">uarantee </w:t>
      </w:r>
      <w:r>
        <w:t>S</w:t>
      </w:r>
      <w:r w:rsidRPr="001B5308">
        <w:t xml:space="preserve">chemes </w:t>
      </w:r>
      <w:r>
        <w:t>and</w:t>
      </w:r>
      <w:r w:rsidRPr="001B5308">
        <w:t xml:space="preserve"> enabl</w:t>
      </w:r>
      <w:r>
        <w:t>e</w:t>
      </w:r>
      <w:r w:rsidRPr="001B5308">
        <w:t xml:space="preserve"> them to efficiently meet their policy objectives</w:t>
      </w:r>
      <w:r w:rsidR="003A6E28">
        <w:t>. The second</w:t>
      </w:r>
      <w:r>
        <w:t xml:space="preserve"> </w:t>
      </w:r>
      <w:r w:rsidR="003A6E28">
        <w:t>is</w:t>
      </w:r>
      <w:r>
        <w:t xml:space="preserve"> an impact evaluation providing </w:t>
      </w:r>
      <w:r w:rsidRPr="001B5308">
        <w:t xml:space="preserve">estimates of </w:t>
      </w:r>
      <w:r>
        <w:t>the</w:t>
      </w:r>
      <w:r w:rsidRPr="001B5308">
        <w:t xml:space="preserve"> </w:t>
      </w:r>
      <w:r w:rsidR="00312E61">
        <w:t>s</w:t>
      </w:r>
      <w:r w:rsidRPr="001B5308">
        <w:t>chemes</w:t>
      </w:r>
      <w:r w:rsidR="00742E35">
        <w:t>’</w:t>
      </w:r>
      <w:r w:rsidRPr="001B5308">
        <w:t xml:space="preserve"> impacts on </w:t>
      </w:r>
      <w:r w:rsidR="00E93A13">
        <w:t>borrower</w:t>
      </w:r>
      <w:r w:rsidRPr="001B5308">
        <w:t>-level and wider economic outcome</w:t>
      </w:r>
      <w:r>
        <w:t>s</w:t>
      </w:r>
      <w:r w:rsidR="00E93A13">
        <w:t xml:space="preserve"> in the second year of the pandemic</w:t>
      </w:r>
      <w:r w:rsidR="00312E61">
        <w:t xml:space="preserve">, and </w:t>
      </w:r>
      <w:r>
        <w:t xml:space="preserve">a </w:t>
      </w:r>
      <w:r w:rsidR="00663B52">
        <w:t xml:space="preserve">secondary analysis </w:t>
      </w:r>
      <w:r>
        <w:t xml:space="preserve">of </w:t>
      </w:r>
      <w:r w:rsidR="00742E35">
        <w:t>key</w:t>
      </w:r>
      <w:r>
        <w:t xml:space="preserve"> results </w:t>
      </w:r>
      <w:r w:rsidR="00742E35">
        <w:t xml:space="preserve">from </w:t>
      </w:r>
      <w:r>
        <w:t xml:space="preserve">the early impact evaluation presented in the </w:t>
      </w:r>
      <w:hyperlink r:id="rId27" w:history="1">
        <w:r w:rsidRPr="00DE0F7D">
          <w:rPr>
            <w:rStyle w:val="Hyperlink"/>
          </w:rPr>
          <w:t>first year report</w:t>
        </w:r>
      </w:hyperlink>
      <w:r>
        <w:t>.</w:t>
      </w:r>
    </w:p>
    <w:p w14:paraId="25D71C81" w14:textId="77777777" w:rsidR="00DE0F7D" w:rsidRDefault="00DE0F7D" w:rsidP="00DE0F7D">
      <w:pPr>
        <w:pStyle w:val="Heading2"/>
      </w:pPr>
      <w:bookmarkStart w:id="52" w:name="_Toc105749879"/>
      <w:bookmarkStart w:id="53" w:name="_Toc151549875"/>
      <w:r>
        <w:t>Policy context</w:t>
      </w:r>
      <w:bookmarkEnd w:id="52"/>
      <w:bookmarkEnd w:id="53"/>
    </w:p>
    <w:p w14:paraId="620E3BEB" w14:textId="7D387F55" w:rsidR="00162AC7" w:rsidRDefault="00162AC7" w:rsidP="00162AC7">
      <w:r>
        <w:t xml:space="preserve">The extent to which the Covid-19 pandemic could potentially disrupt businesses and challenge them financially became apparent by mid-March 2020 in the UK. Business impacts of the pandemic started materialising in March 2020 following the introduction of public health measures to mitigate the spread of the virus and adoption of preventative behavioural changes amongst the UK population. Survey data from the first wave of the </w:t>
      </w:r>
      <w:r w:rsidRPr="0010793D">
        <w:t xml:space="preserve">Business </w:t>
      </w:r>
      <w:r>
        <w:t>I</w:t>
      </w:r>
      <w:r w:rsidRPr="0010793D">
        <w:t xml:space="preserve">nsights and </w:t>
      </w:r>
      <w:r>
        <w:t>Conditions Survey</w:t>
      </w:r>
      <w:r w:rsidR="00DB7205">
        <w:t xml:space="preserve"> (BICS)</w:t>
      </w:r>
      <w:r>
        <w:rPr>
          <w:rStyle w:val="FootnoteReference"/>
        </w:rPr>
        <w:footnoteReference w:id="20"/>
      </w:r>
      <w:r>
        <w:t xml:space="preserve"> highlighted early impacts on turnover, with 47% of surveyed businesses reporting that turnover was lower than normal between</w:t>
      </w:r>
      <w:r w:rsidRPr="00F82BE0">
        <w:t xml:space="preserve"> the period </w:t>
      </w:r>
      <w:r>
        <w:t xml:space="preserve">of </w:t>
      </w:r>
      <w:r w:rsidRPr="00F82BE0">
        <w:t>9 March to 22 March 2020</w:t>
      </w:r>
      <w:r>
        <w:t xml:space="preserve">, and subsequent waves showed a worsening situation over </w:t>
      </w:r>
      <w:r w:rsidR="00596700">
        <w:t xml:space="preserve">a short period of </w:t>
      </w:r>
      <w:r>
        <w:t xml:space="preserve">time. </w:t>
      </w:r>
    </w:p>
    <w:p w14:paraId="37A4AC23" w14:textId="59DF0899" w:rsidR="00162AC7" w:rsidRDefault="00162AC7" w:rsidP="00162AC7">
      <w:pPr>
        <w:spacing w:before="240"/>
      </w:pPr>
      <w:r>
        <w:t>Other emerging business impacts of the pandemic included disruptions at the operational level, from input provision, to exports, to</w:t>
      </w:r>
      <w:r w:rsidRPr="00454009">
        <w:t xml:space="preserve"> workforce availability, </w:t>
      </w:r>
      <w:r>
        <w:t xml:space="preserve">as well as deflated </w:t>
      </w:r>
      <w:r w:rsidRPr="00454009">
        <w:t>business confidence.</w:t>
      </w:r>
      <w:r>
        <w:t xml:space="preserve"> Again, </w:t>
      </w:r>
      <w:r w:rsidRPr="001A65E2">
        <w:t xml:space="preserve">the first wave of the </w:t>
      </w:r>
      <w:r w:rsidR="0067122A">
        <w:t>BICS</w:t>
      </w:r>
      <w:r>
        <w:t xml:space="preserve"> found that close to 25% of businesses reported </w:t>
      </w:r>
      <w:r>
        <w:lastRenderedPageBreak/>
        <w:t>that imports of materials, goods and services were affected by the pandemic, while close to 60% of businesses reported lacking confidence or feeling uncertain about having the financial resources to continue operating throughout the pandemic. T</w:t>
      </w:r>
      <w:r w:rsidRPr="00B85C74">
        <w:t xml:space="preserve">hese impacts also progressively worsened over time. </w:t>
      </w:r>
    </w:p>
    <w:p w14:paraId="23563793" w14:textId="6C7D8978" w:rsidR="00162AC7" w:rsidRPr="00454009" w:rsidRDefault="00162AC7" w:rsidP="00162AC7">
      <w:pPr>
        <w:spacing w:before="240"/>
      </w:pPr>
      <w:r>
        <w:t>As a result of these early disruptions and the significant financial uncertainty affecting UK businesses, the government acted quickly, and the Chancellor introduced CBILS as part of the Spring Budget on 12 March 2020. CBILS</w:t>
      </w:r>
      <w:r w:rsidRPr="00FA13D1">
        <w:t xml:space="preserve"> was developed by BEIS</w:t>
      </w:r>
      <w:r>
        <w:t>, BBB, HMT, and in collaboration with industry bodies and lenders</w:t>
      </w:r>
      <w:r w:rsidRPr="00FA13D1">
        <w:t xml:space="preserve"> and launched on 23 March 2020. </w:t>
      </w:r>
      <w:r w:rsidR="00994BE7">
        <w:t xml:space="preserve">CLBILS was subsequently launched on 20 April 2020 and BBLS on 4 May 2020. </w:t>
      </w:r>
      <w:r>
        <w:t>Further detail on the development timeline of the schemes</w:t>
      </w:r>
      <w:r w:rsidR="005C4CBE">
        <w:t xml:space="preserve"> and the theory of change can</w:t>
      </w:r>
      <w:r>
        <w:t xml:space="preserve"> be found in the </w:t>
      </w:r>
      <w:hyperlink r:id="rId28" w:history="1">
        <w:r w:rsidRPr="00162AC7">
          <w:rPr>
            <w:rStyle w:val="Hyperlink"/>
          </w:rPr>
          <w:t>first year report</w:t>
        </w:r>
      </w:hyperlink>
      <w:r>
        <w:t>.</w:t>
      </w:r>
      <w:r>
        <w:rPr>
          <w:rStyle w:val="FootnoteReference"/>
        </w:rPr>
        <w:footnoteReference w:id="21"/>
      </w:r>
      <w:r>
        <w:t xml:space="preserve"> </w:t>
      </w:r>
    </w:p>
    <w:p w14:paraId="277038EB" w14:textId="5153938E" w:rsidR="00162AC7" w:rsidRDefault="00162AC7" w:rsidP="00162AC7">
      <w:pPr>
        <w:pStyle w:val="Heading2"/>
      </w:pPr>
      <w:bookmarkStart w:id="54" w:name="_Toc151549876"/>
      <w:r>
        <w:t>Key objectives</w:t>
      </w:r>
      <w:bookmarkEnd w:id="54"/>
    </w:p>
    <w:p w14:paraId="5FE50721" w14:textId="38977B05" w:rsidR="00844621" w:rsidRDefault="00162AC7" w:rsidP="00C849F3">
      <w:pPr>
        <w:sectPr w:rsidR="00844621" w:rsidSect="00240A4C">
          <w:pgSz w:w="11906" w:h="16838" w:code="9"/>
          <w:pgMar w:top="1701" w:right="845" w:bottom="1531" w:left="907" w:header="624" w:footer="454" w:gutter="0"/>
          <w:cols w:space="720"/>
          <w:titlePg/>
          <w:docGrid w:linePitch="360"/>
        </w:sectPr>
      </w:pPr>
      <w:r>
        <w:t xml:space="preserve">The overarching aims of the Schemes were to offer support to businesses experiencing </w:t>
      </w:r>
      <w:r w:rsidR="00E21E6F">
        <w:t>disruptions</w:t>
      </w:r>
      <w:r>
        <w:t xml:space="preserve"> to their cashflow and losses in revenue due to the Covid-19 outbreak (CBILS and CLBILS) and </w:t>
      </w:r>
      <w:r w:rsidR="00E21E6F">
        <w:t>allow rapid</w:t>
      </w:r>
      <w:r>
        <w:t xml:space="preserve"> access to finance during the outbreak (BBLS).</w:t>
      </w:r>
      <w:r>
        <w:rPr>
          <w:rStyle w:val="FootnoteReference"/>
        </w:rPr>
        <w:footnoteReference w:id="22"/>
      </w:r>
      <w:r>
        <w:t xml:space="preserve"> The table below </w:t>
      </w:r>
      <w:r w:rsidR="00C849F3">
        <w:t>outlines the key objectives of the scheme</w:t>
      </w:r>
      <w:r w:rsidR="00D04919">
        <w:t xml:space="preserve"> (and the year of the evaluation in which each is assessed) and </w:t>
      </w:r>
      <w:r w:rsidR="00C849F3">
        <w:t xml:space="preserve">presents the evidence collected </w:t>
      </w:r>
      <w:r w:rsidR="005C4CBE">
        <w:t xml:space="preserve">to </w:t>
      </w:r>
      <w:r w:rsidR="00E21E6F">
        <w:t>assess</w:t>
      </w:r>
      <w:r w:rsidR="005C4CBE">
        <w:t xml:space="preserve"> success of the Schemes against each objective</w:t>
      </w:r>
      <w:r w:rsidR="00C849F3">
        <w:t xml:space="preserve">. </w:t>
      </w:r>
    </w:p>
    <w:p w14:paraId="78871E06" w14:textId="7F698D05" w:rsidR="00EE4BB4" w:rsidRDefault="00CE22CC" w:rsidP="00EE4BB4">
      <w:pPr>
        <w:pStyle w:val="Heading5"/>
      </w:pPr>
      <w:r w:rsidRPr="000804B3">
        <w:lastRenderedPageBreak/>
        <w:t xml:space="preserve">Table </w:t>
      </w:r>
      <w:r>
        <w:fldChar w:fldCharType="begin"/>
      </w:r>
      <w:r>
        <w:instrText>SEQ Table \* ARABIC</w:instrText>
      </w:r>
      <w:r>
        <w:fldChar w:fldCharType="separate"/>
      </w:r>
      <w:r w:rsidR="00397D49">
        <w:rPr>
          <w:noProof/>
        </w:rPr>
        <w:t>4</w:t>
      </w:r>
      <w:r>
        <w:fldChar w:fldCharType="end"/>
      </w:r>
      <w:r w:rsidRPr="000804B3">
        <w:t xml:space="preserve">: </w:t>
      </w:r>
      <w:r>
        <w:t>Objectives of the schemes and assessment of progress</w:t>
      </w:r>
      <w:r w:rsidRPr="000804B3">
        <w:t xml:space="preserve"> </w:t>
      </w:r>
    </w:p>
    <w:p w14:paraId="117A9074" w14:textId="53A49BE7" w:rsidR="00894823" w:rsidRDefault="00F163D6" w:rsidP="00894823">
      <w:r>
        <w:rPr>
          <w:noProof/>
        </w:rPr>
        <w:drawing>
          <wp:inline distT="0" distB="0" distL="0" distR="0" wp14:anchorId="6CFDD823" wp14:editId="5BC54A64">
            <wp:extent cx="9363075" cy="5540359"/>
            <wp:effectExtent l="0" t="0" r="0" b="3810"/>
            <wp:docPr id="828540627" name="Picture 828540627" descr="A close-up of a blue and white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40627" name="Picture 1" descr="A close-up of a blue and white page&#10;&#10;Description automatically generated"/>
                    <pic:cNvPicPr/>
                  </pic:nvPicPr>
                  <pic:blipFill>
                    <a:blip r:embed="rId29"/>
                    <a:stretch>
                      <a:fillRect/>
                    </a:stretch>
                  </pic:blipFill>
                  <pic:spPr>
                    <a:xfrm>
                      <a:off x="0" y="0"/>
                      <a:ext cx="9375690" cy="5547824"/>
                    </a:xfrm>
                    <a:prstGeom prst="rect">
                      <a:avLst/>
                    </a:prstGeom>
                  </pic:spPr>
                </pic:pic>
              </a:graphicData>
            </a:graphic>
          </wp:inline>
        </w:drawing>
      </w:r>
    </w:p>
    <w:p w14:paraId="70B70CF9" w14:textId="77777777" w:rsidR="00894823" w:rsidRPr="00894823" w:rsidRDefault="00894823" w:rsidP="00A36500"/>
    <w:p w14:paraId="00593774" w14:textId="77777777" w:rsidR="00EE4BB4" w:rsidRDefault="00EE4BB4" w:rsidP="00455804">
      <w:pPr>
        <w:pStyle w:val="Heading2"/>
        <w:sectPr w:rsidR="00EE4BB4" w:rsidSect="00451832">
          <w:pgSz w:w="16838" w:h="11906" w:orient="landscape" w:code="9"/>
          <w:pgMar w:top="907" w:right="1701" w:bottom="845" w:left="1531" w:header="624" w:footer="454" w:gutter="0"/>
          <w:cols w:space="720"/>
          <w:titlePg/>
          <w:docGrid w:linePitch="360"/>
        </w:sectPr>
      </w:pPr>
    </w:p>
    <w:p w14:paraId="44D45AC1" w14:textId="768866E9" w:rsidR="00455804" w:rsidRDefault="00455804" w:rsidP="00455804">
      <w:pPr>
        <w:pStyle w:val="Heading2"/>
      </w:pPr>
      <w:bookmarkStart w:id="55" w:name="_Toc105749881"/>
      <w:bookmarkStart w:id="56" w:name="_Toc151549877"/>
      <w:r>
        <w:lastRenderedPageBreak/>
        <w:t>Evaluation context</w:t>
      </w:r>
      <w:bookmarkEnd w:id="55"/>
      <w:bookmarkEnd w:id="56"/>
    </w:p>
    <w:p w14:paraId="23FDF668" w14:textId="561C1C66" w:rsidR="00455804" w:rsidRDefault="00455804" w:rsidP="00455804">
      <w:r>
        <w:t xml:space="preserve">This report is the second in a series of three reports that are the principal output of this evaluation. </w:t>
      </w:r>
    </w:p>
    <w:p w14:paraId="7EB0A581" w14:textId="074D682E" w:rsidR="00455804" w:rsidRDefault="00455804" w:rsidP="00455804">
      <w:r>
        <w:t xml:space="preserve">The </w:t>
      </w:r>
      <w:hyperlink r:id="rId30" w:history="1">
        <w:r w:rsidRPr="00455804">
          <w:rPr>
            <w:rStyle w:val="Hyperlink"/>
          </w:rPr>
          <w:t>first year report</w:t>
        </w:r>
      </w:hyperlink>
      <w:r>
        <w:t xml:space="preserve"> presented findings from the process evaluation and provided an early impact evaluation. The process evaluation component assessed </w:t>
      </w:r>
      <w:r w:rsidRPr="007A6331">
        <w:t xml:space="preserve">the effectiveness of the processes adopted to administer the </w:t>
      </w:r>
      <w:r>
        <w:t>Covid-19 Loan Guarantee Schemes</w:t>
      </w:r>
      <w:r w:rsidR="00F102AB">
        <w:t>, considered</w:t>
      </w:r>
      <w:r>
        <w:t xml:space="preserve"> </w:t>
      </w:r>
      <w:r w:rsidRPr="007A6331">
        <w:t>end-to-end processes from scheme design through to implementation</w:t>
      </w:r>
      <w:r>
        <w:t xml:space="preserve"> and explored key learning opportunities. The impact evaluation analysed the quantitative survey data collected as a part of the project to assess the additionality of the Covid-19 Loan Guarantee Schemes, </w:t>
      </w:r>
      <w:r w:rsidR="00E13CF0">
        <w:t xml:space="preserve">and </w:t>
      </w:r>
      <w:r>
        <w:t xml:space="preserve">their impact on business outcomes (survival, turnover, employment). </w:t>
      </w:r>
    </w:p>
    <w:p w14:paraId="59CA3C79" w14:textId="0FC2BA48" w:rsidR="00455804" w:rsidRDefault="00455804" w:rsidP="00455804">
      <w:r>
        <w:t xml:space="preserve">This report focuses on the impact evaluation using survey data (collected in 2022) to assess the impact of the Covid-19 Loan Guarantee Schemes on business outcomes in </w:t>
      </w:r>
      <w:r w:rsidR="00705BBB">
        <w:t>the second year of the pandemic</w:t>
      </w:r>
      <w:r>
        <w:t xml:space="preserve"> and </w:t>
      </w:r>
      <w:r w:rsidR="00C60539">
        <w:t xml:space="preserve">assesses </w:t>
      </w:r>
      <w:r>
        <w:t xml:space="preserve">the </w:t>
      </w:r>
      <w:r w:rsidR="00E13CF0">
        <w:t>Year 1</w:t>
      </w:r>
      <w:r>
        <w:t xml:space="preserve"> results </w:t>
      </w:r>
      <w:r w:rsidR="00705BBB">
        <w:t xml:space="preserve">(i.e., impacts in the first year of the pandemic) </w:t>
      </w:r>
      <w:r>
        <w:t xml:space="preserve">using secondary data sources. Additionally, the wider impacts of the Covid-19 Loan Guarantee Schemes on the general population of businesses (borrowers and non-borrowers) are explored. </w:t>
      </w:r>
      <w:r w:rsidR="00253D5E">
        <w:t xml:space="preserve">A process evaluation focused on monitoring, repayment and counter fraud processes has been undertaken, drawing on scheme management information, wider </w:t>
      </w:r>
      <w:proofErr w:type="gramStart"/>
      <w:r w:rsidR="00253D5E">
        <w:t>data</w:t>
      </w:r>
      <w:proofErr w:type="gramEnd"/>
      <w:r w:rsidR="00253D5E">
        <w:t xml:space="preserve"> and a series of qualitative interviews with key stakeholders and accredited lenders.</w:t>
      </w:r>
    </w:p>
    <w:p w14:paraId="3E7EDC7A" w14:textId="31E6DFE9" w:rsidR="00455804" w:rsidRDefault="00455804" w:rsidP="00455804">
      <w:r>
        <w:t xml:space="preserve">In the third and final year, the study will focus on the process, impact, and economic evaluations. </w:t>
      </w:r>
      <w:r w:rsidR="00253D5E">
        <w:t xml:space="preserve">A further stage of process evaluation will be undertaken, which will focus on some of the processes that could not be fully assessed in Year 2 (for example recovery pilots, the effect of the </w:t>
      </w:r>
      <w:r w:rsidR="0000752C">
        <w:t>formalisation of the</w:t>
      </w:r>
      <w:r w:rsidR="00253D5E">
        <w:t xml:space="preserve"> counter fraud strategy and further analysis of counter fraud activity</w:t>
      </w:r>
      <w:r w:rsidR="00B66D93">
        <w:t>)</w:t>
      </w:r>
      <w:r>
        <w:t xml:space="preserve">. The impact evaluation component will again use survey data (collected in 2023) to assess the impact of the Covid-19 Loan Guarantee Schemes on business outcomes in </w:t>
      </w:r>
      <w:r w:rsidR="00705BBB">
        <w:t>the third year of the pandemic</w:t>
      </w:r>
      <w:r>
        <w:t xml:space="preserve"> – with the addition of labour productivity as a business outcome</w:t>
      </w:r>
      <w:r>
        <w:rPr>
          <w:rStyle w:val="FootnoteReference"/>
        </w:rPr>
        <w:footnoteReference w:id="23"/>
      </w:r>
      <w:r>
        <w:t xml:space="preserve"> – and </w:t>
      </w:r>
      <w:r w:rsidR="00D2127F">
        <w:lastRenderedPageBreak/>
        <w:t xml:space="preserve">analyse </w:t>
      </w:r>
      <w:r>
        <w:t xml:space="preserve">the second year’s results using secondary data sources. Finally, the economic evaluation component will assess the value for money of the Covid-19 Loan Guarantee Schemes. </w:t>
      </w:r>
    </w:p>
    <w:p w14:paraId="54A530D6" w14:textId="16E2A0C0" w:rsidR="00E50516" w:rsidRDefault="005640B0" w:rsidP="00E50516">
      <w:r>
        <w:t xml:space="preserve">A full list of research questions for this evaluation can be found in the </w:t>
      </w:r>
      <w:hyperlink r:id="rId31" w:history="1">
        <w:r w:rsidRPr="00455804">
          <w:rPr>
            <w:rStyle w:val="Hyperlink"/>
          </w:rPr>
          <w:t>first year report</w:t>
        </w:r>
      </w:hyperlink>
      <w:r>
        <w:t>.</w:t>
      </w:r>
      <w:r w:rsidR="00341AE5">
        <w:t xml:space="preserve"> </w:t>
      </w:r>
      <w:r w:rsidR="00E50516">
        <w:t>Th</w:t>
      </w:r>
      <w:r w:rsidR="002220B6">
        <w:t>is</w:t>
      </w:r>
      <w:r w:rsidR="00E50516">
        <w:t xml:space="preserve"> report is organised as follows: </w:t>
      </w:r>
    </w:p>
    <w:p w14:paraId="5DB4E217" w14:textId="77777777" w:rsidR="00340DA5" w:rsidRDefault="00E50516">
      <w:pPr>
        <w:pStyle w:val="ListBullet"/>
      </w:pPr>
      <w:r>
        <w:t xml:space="preserve">The first chapter presents the findings from the </w:t>
      </w:r>
      <w:r w:rsidRPr="00F2246F">
        <w:t>process evaluation</w:t>
      </w:r>
      <w:r w:rsidR="00340DA5">
        <w:t>.</w:t>
      </w:r>
      <w:r>
        <w:t xml:space="preserve"> </w:t>
      </w:r>
    </w:p>
    <w:p w14:paraId="61C0BA8C" w14:textId="194741D2" w:rsidR="00E50516" w:rsidRDefault="00E50516">
      <w:pPr>
        <w:pStyle w:val="ListBullet"/>
      </w:pPr>
      <w:r>
        <w:t>The second chapter provides the findings of the year 2 impact evaluation, covering the impact of lending on businesses.</w:t>
      </w:r>
    </w:p>
    <w:p w14:paraId="6E24D34A" w14:textId="4BCDE6A8" w:rsidR="00E50516" w:rsidRDefault="00340DA5" w:rsidP="00E50516">
      <w:pPr>
        <w:pStyle w:val="ListBullet"/>
      </w:pPr>
      <w:r>
        <w:t xml:space="preserve">The third chapter presents the results of the </w:t>
      </w:r>
      <w:r w:rsidR="00D2127F">
        <w:t xml:space="preserve">secondary analysis </w:t>
      </w:r>
      <w:r>
        <w:t xml:space="preserve">of the year 1 impact evaluation using secondary data. </w:t>
      </w:r>
    </w:p>
    <w:p w14:paraId="703CE6B6" w14:textId="20DFB2DE" w:rsidR="00C849F3" w:rsidRPr="00490C53" w:rsidRDefault="00E50516" w:rsidP="00E50516">
      <w:r>
        <w:t>Detailed information on the methods used in the evaluation and supplementary analysis are provided in the annexes to the report.</w:t>
      </w:r>
    </w:p>
    <w:p w14:paraId="1DEFDC54" w14:textId="03B94E8F" w:rsidR="00AE1AFB" w:rsidRPr="00490C53" w:rsidRDefault="00AE1AFB" w:rsidP="00BD366D">
      <w:r w:rsidRPr="00490C53">
        <w:br w:type="page"/>
      </w:r>
    </w:p>
    <w:p w14:paraId="571B4543" w14:textId="77777777" w:rsidR="00681D82" w:rsidRDefault="00176547" w:rsidP="00681D82">
      <w:pPr>
        <w:pStyle w:val="Heading1"/>
      </w:pPr>
      <w:bookmarkStart w:id="57" w:name="_Toc151549878"/>
      <w:r w:rsidRPr="00490C53">
        <w:lastRenderedPageBreak/>
        <w:t>Process evaluation</w:t>
      </w:r>
      <w:bookmarkEnd w:id="57"/>
    </w:p>
    <w:p w14:paraId="318373AA" w14:textId="0F3D93E9" w:rsidR="00681D82" w:rsidRDefault="00681D82" w:rsidP="00681D82">
      <w:r>
        <w:t xml:space="preserve">This section of the report provides findings from the </w:t>
      </w:r>
      <w:proofErr w:type="gramStart"/>
      <w:r>
        <w:t>second year</w:t>
      </w:r>
      <w:proofErr w:type="gramEnd"/>
      <w:r>
        <w:t xml:space="preserve"> research exploring the processes used to deliver the schemes. In particular, the report focuses on the processes used to monitor lenders, repayment processes and enforcement actions. The evaluation activity used in this report took place in the summer of 2023. </w:t>
      </w:r>
    </w:p>
    <w:p w14:paraId="5BD6DFA0" w14:textId="77777777" w:rsidR="009D1D44" w:rsidRDefault="009D1D44" w:rsidP="009D1D44">
      <w:pPr>
        <w:pStyle w:val="Heading2"/>
      </w:pPr>
      <w:bookmarkStart w:id="58" w:name="_Toc146230586"/>
      <w:bookmarkStart w:id="59" w:name="_Toc151549879"/>
      <w:r>
        <w:t>Research questions</w:t>
      </w:r>
      <w:bookmarkEnd w:id="58"/>
      <w:bookmarkEnd w:id="59"/>
    </w:p>
    <w:p w14:paraId="5D4DE426" w14:textId="26104F2D" w:rsidR="009D1D44" w:rsidRDefault="009D1D44" w:rsidP="009D1D44">
      <w:r>
        <w:t xml:space="preserve">The key process evaluation questions, set out in the Invitation </w:t>
      </w:r>
      <w:proofErr w:type="gramStart"/>
      <w:r>
        <w:t>To</w:t>
      </w:r>
      <w:proofErr w:type="gramEnd"/>
      <w:r>
        <w:t xml:space="preserve"> Tender (ITT), are presented in </w:t>
      </w:r>
      <w:r w:rsidR="00560D93">
        <w:t>the table below</w:t>
      </w:r>
      <w:r>
        <w:t>. Many of these questions were answered in the Year 1 process evaluation</w:t>
      </w:r>
      <w:r w:rsidR="00EC2542">
        <w:rPr>
          <w:rStyle w:val="FootnoteReference"/>
        </w:rPr>
        <w:footnoteReference w:id="24"/>
      </w:r>
      <w:r>
        <w:t xml:space="preserve">, and the key evaluation questions covered in the Year 2 process evaluation are highlighted in italics. </w:t>
      </w:r>
      <w:proofErr w:type="gramStart"/>
      <w:r>
        <w:t>In order to</w:t>
      </w:r>
      <w:proofErr w:type="gramEnd"/>
      <w:r>
        <w:t xml:space="preserve"> answer these questions, the research team, in partnership with the </w:t>
      </w:r>
      <w:r w:rsidR="005D5D23">
        <w:t>BBB</w:t>
      </w:r>
      <w:r>
        <w:t xml:space="preserve"> and DBT developed evaluation questions to assess the repayment, monitoring and enforcement processes. </w:t>
      </w:r>
    </w:p>
    <w:p w14:paraId="254A4A99" w14:textId="67783ED3" w:rsidR="00560D93" w:rsidRDefault="00560D93" w:rsidP="00F2246F">
      <w:pPr>
        <w:pStyle w:val="Heading5"/>
      </w:pPr>
      <w:r>
        <w:t xml:space="preserve">Table </w:t>
      </w:r>
      <w:fldSimple w:instr=" SEQ Table \* ARABIC ">
        <w:r w:rsidR="00397D49">
          <w:rPr>
            <w:noProof/>
          </w:rPr>
          <w:t>5</w:t>
        </w:r>
      </w:fldSimple>
      <w:r>
        <w:t>: Key process evaluation questions</w:t>
      </w:r>
    </w:p>
    <w:tbl>
      <w:tblPr>
        <w:tblStyle w:val="BBBTableoption1"/>
        <w:tblW w:w="5000" w:type="pct"/>
        <w:tblLook w:val="04A0" w:firstRow="1" w:lastRow="0" w:firstColumn="1" w:lastColumn="0" w:noHBand="0" w:noVBand="1"/>
        <w:tblCaption w:val="Table title"/>
        <w:tblDescription w:val="Add description of table"/>
      </w:tblPr>
      <w:tblGrid>
        <w:gridCol w:w="1095"/>
        <w:gridCol w:w="9059"/>
      </w:tblGrid>
      <w:tr w:rsidR="009D1D44" w:rsidRPr="0033734B" w14:paraId="54A8892B" w14:textId="77777777" w:rsidTr="00F2246F">
        <w:trPr>
          <w:cnfStyle w:val="100000000000" w:firstRow="1" w:lastRow="0" w:firstColumn="0" w:lastColumn="0" w:oddVBand="0" w:evenVBand="0" w:oddHBand="0" w:evenHBand="0" w:firstRowFirstColumn="0" w:firstRowLastColumn="0" w:lastRowFirstColumn="0" w:lastRowLastColumn="0"/>
        </w:trPr>
        <w:tc>
          <w:tcPr>
            <w:tcW w:w="539" w:type="pct"/>
            <w:vAlign w:val="top"/>
          </w:tcPr>
          <w:p w14:paraId="15587C91" w14:textId="77777777" w:rsidR="009D1D44" w:rsidRPr="00890CF0" w:rsidRDefault="009D1D44">
            <w:pPr>
              <w:pStyle w:val="Tabletext"/>
              <w:rPr>
                <w:b w:val="0"/>
                <w:bCs/>
                <w:szCs w:val="24"/>
              </w:rPr>
            </w:pPr>
            <w:r w:rsidRPr="00890CF0">
              <w:rPr>
                <w:b w:val="0"/>
                <w:bCs/>
                <w:szCs w:val="24"/>
              </w:rPr>
              <w:t>Scheme design</w:t>
            </w:r>
          </w:p>
        </w:tc>
        <w:tc>
          <w:tcPr>
            <w:tcW w:w="4461" w:type="pct"/>
            <w:vAlign w:val="top"/>
          </w:tcPr>
          <w:p w14:paraId="7EAF8A1C" w14:textId="77777777" w:rsidR="009D1D44" w:rsidRPr="00890CF0" w:rsidRDefault="009D1D44" w:rsidP="009D1D44">
            <w:pPr>
              <w:pStyle w:val="05BBullets2ndlevel"/>
              <w:numPr>
                <w:ilvl w:val="2"/>
                <w:numId w:val="107"/>
              </w:numPr>
              <w:tabs>
                <w:tab w:val="num" w:pos="360"/>
              </w:tabs>
              <w:spacing w:before="0" w:after="0"/>
              <w:ind w:left="284"/>
              <w:rPr>
                <w:b w:val="0"/>
                <w:bCs/>
                <w:sz w:val="24"/>
                <w:szCs w:val="24"/>
              </w:rPr>
            </w:pPr>
            <w:r w:rsidRPr="00890CF0">
              <w:rPr>
                <w:b w:val="0"/>
                <w:bCs/>
                <w:sz w:val="24"/>
                <w:szCs w:val="24"/>
              </w:rPr>
              <w:t xml:space="preserve">How did government provide strategic direction to deliver the Covid-19 Loan Guarantee Schemes? </w:t>
            </w:r>
          </w:p>
          <w:p w14:paraId="2F52404B" w14:textId="77777777" w:rsidR="009D1D44" w:rsidRPr="00890CF0" w:rsidRDefault="009D1D44" w:rsidP="009D1D44">
            <w:pPr>
              <w:pStyle w:val="05BBullets2ndlevel"/>
              <w:numPr>
                <w:ilvl w:val="2"/>
                <w:numId w:val="107"/>
              </w:numPr>
              <w:tabs>
                <w:tab w:val="num" w:pos="360"/>
              </w:tabs>
              <w:spacing w:before="0" w:after="0"/>
              <w:ind w:left="284"/>
              <w:rPr>
                <w:b w:val="0"/>
                <w:bCs/>
                <w:sz w:val="24"/>
                <w:szCs w:val="24"/>
              </w:rPr>
            </w:pPr>
            <w:r w:rsidRPr="00890CF0">
              <w:rPr>
                <w:b w:val="0"/>
                <w:bCs/>
                <w:sz w:val="24"/>
                <w:szCs w:val="24"/>
              </w:rPr>
              <w:t xml:space="preserve">How close to optimal was the mix of input from specialty teams as part of the scoping and delivery phases? </w:t>
            </w:r>
          </w:p>
          <w:p w14:paraId="01795B49" w14:textId="77777777" w:rsidR="009D1D44" w:rsidRPr="00890CF0" w:rsidRDefault="009D1D44" w:rsidP="009D1D44">
            <w:pPr>
              <w:pStyle w:val="05BBullets2ndlevel"/>
              <w:numPr>
                <w:ilvl w:val="2"/>
                <w:numId w:val="107"/>
              </w:numPr>
              <w:tabs>
                <w:tab w:val="num" w:pos="360"/>
              </w:tabs>
              <w:spacing w:before="0" w:after="0"/>
              <w:ind w:left="284"/>
              <w:rPr>
                <w:b w:val="0"/>
                <w:bCs/>
                <w:sz w:val="24"/>
                <w:szCs w:val="24"/>
              </w:rPr>
            </w:pPr>
            <w:r w:rsidRPr="00890CF0">
              <w:rPr>
                <w:b w:val="0"/>
                <w:bCs/>
                <w:sz w:val="24"/>
                <w:szCs w:val="24"/>
              </w:rPr>
              <w:t xml:space="preserve">How effective was communication and collaboration with (a) lenders and (b) the business community? </w:t>
            </w:r>
          </w:p>
          <w:p w14:paraId="27AFB16C" w14:textId="77777777" w:rsidR="009D1D44" w:rsidRPr="00890CF0" w:rsidRDefault="009D1D44" w:rsidP="009D1D44">
            <w:pPr>
              <w:pStyle w:val="05BBullets2ndlevel"/>
              <w:numPr>
                <w:ilvl w:val="2"/>
                <w:numId w:val="107"/>
              </w:numPr>
              <w:tabs>
                <w:tab w:val="num" w:pos="360"/>
              </w:tabs>
              <w:spacing w:before="0" w:after="0"/>
              <w:ind w:left="284"/>
              <w:rPr>
                <w:b w:val="0"/>
                <w:bCs/>
                <w:sz w:val="24"/>
                <w:szCs w:val="24"/>
              </w:rPr>
            </w:pPr>
            <w:r w:rsidRPr="00890CF0">
              <w:rPr>
                <w:b w:val="0"/>
                <w:bCs/>
                <w:sz w:val="24"/>
                <w:szCs w:val="24"/>
              </w:rPr>
              <w:t xml:space="preserve">How effective was the analysis of lender incentives and resulting behaviour? </w:t>
            </w:r>
          </w:p>
          <w:p w14:paraId="1A365507" w14:textId="77777777" w:rsidR="009D1D44" w:rsidRPr="00890CF0" w:rsidRDefault="009D1D44" w:rsidP="009D1D44">
            <w:pPr>
              <w:pStyle w:val="05BBullets2ndlevel"/>
              <w:numPr>
                <w:ilvl w:val="2"/>
                <w:numId w:val="107"/>
              </w:numPr>
              <w:tabs>
                <w:tab w:val="num" w:pos="360"/>
              </w:tabs>
              <w:spacing w:before="0" w:after="0"/>
              <w:ind w:left="284"/>
              <w:rPr>
                <w:b w:val="0"/>
                <w:bCs/>
                <w:sz w:val="24"/>
                <w:szCs w:val="24"/>
              </w:rPr>
            </w:pPr>
            <w:r w:rsidRPr="00890CF0">
              <w:rPr>
                <w:b w:val="0"/>
                <w:bCs/>
                <w:sz w:val="24"/>
                <w:szCs w:val="24"/>
              </w:rPr>
              <w:t xml:space="preserve">To what extent does scheme design complement other business support interventions? </w:t>
            </w:r>
          </w:p>
          <w:p w14:paraId="3168B5E3" w14:textId="5ABA4B56" w:rsidR="009D1D44" w:rsidRPr="00890CF0" w:rsidRDefault="009D1D44" w:rsidP="009D1D44">
            <w:pPr>
              <w:pStyle w:val="05BBullets2ndlevel"/>
              <w:numPr>
                <w:ilvl w:val="2"/>
                <w:numId w:val="107"/>
              </w:numPr>
              <w:tabs>
                <w:tab w:val="num" w:pos="360"/>
              </w:tabs>
              <w:spacing w:before="0" w:after="0"/>
              <w:ind w:left="284"/>
              <w:rPr>
                <w:b w:val="0"/>
                <w:bCs/>
                <w:sz w:val="24"/>
                <w:szCs w:val="24"/>
              </w:rPr>
            </w:pPr>
            <w:r w:rsidRPr="00890CF0">
              <w:rPr>
                <w:b w:val="0"/>
                <w:bCs/>
                <w:sz w:val="24"/>
                <w:szCs w:val="24"/>
              </w:rPr>
              <w:t>How successfully have the adaptations to the Covid-19 Loan Guarantee Schemes made post-launch (</w:t>
            </w:r>
            <w:r w:rsidR="00994BE7">
              <w:rPr>
                <w:b w:val="0"/>
                <w:bCs/>
                <w:sz w:val="24"/>
                <w:szCs w:val="24"/>
              </w:rPr>
              <w:t>for example</w:t>
            </w:r>
            <w:r w:rsidRPr="00890CF0">
              <w:rPr>
                <w:b w:val="0"/>
                <w:bCs/>
                <w:sz w:val="24"/>
                <w:szCs w:val="24"/>
              </w:rPr>
              <w:t xml:space="preserve"> for BBLS only, Pay as You Grow and the availability of top-ups) been implemented? </w:t>
            </w:r>
          </w:p>
          <w:p w14:paraId="19169A79" w14:textId="77777777" w:rsidR="009D1D44" w:rsidRPr="00890CF0" w:rsidRDefault="009D1D44" w:rsidP="009D1D44">
            <w:pPr>
              <w:pStyle w:val="05BBullets2ndlevel"/>
              <w:numPr>
                <w:ilvl w:val="2"/>
                <w:numId w:val="107"/>
              </w:numPr>
              <w:tabs>
                <w:tab w:val="num" w:pos="360"/>
              </w:tabs>
              <w:spacing w:before="0" w:after="0"/>
              <w:ind w:left="284"/>
              <w:rPr>
                <w:b w:val="0"/>
                <w:bCs/>
                <w:sz w:val="24"/>
                <w:szCs w:val="24"/>
              </w:rPr>
            </w:pPr>
            <w:r w:rsidRPr="00890CF0">
              <w:rPr>
                <w:b w:val="0"/>
                <w:bCs/>
                <w:sz w:val="24"/>
                <w:szCs w:val="24"/>
              </w:rPr>
              <w:lastRenderedPageBreak/>
              <w:t xml:space="preserve">To what extent do the post-launch adaptations complement the other scheme parameters? </w:t>
            </w:r>
          </w:p>
          <w:p w14:paraId="1330DD5A" w14:textId="77777777" w:rsidR="009D1D44" w:rsidRPr="00F2246F" w:rsidRDefault="009D1D44" w:rsidP="009D1D44">
            <w:pPr>
              <w:pStyle w:val="05BBullets2ndlevel"/>
              <w:numPr>
                <w:ilvl w:val="2"/>
                <w:numId w:val="107"/>
              </w:numPr>
              <w:tabs>
                <w:tab w:val="num" w:pos="360"/>
              </w:tabs>
              <w:spacing w:before="0" w:after="0"/>
              <w:ind w:left="284"/>
              <w:rPr>
                <w:b w:val="0"/>
                <w:i/>
                <w:iCs/>
                <w:sz w:val="24"/>
                <w:szCs w:val="24"/>
              </w:rPr>
            </w:pPr>
            <w:r w:rsidRPr="00F2246F">
              <w:rPr>
                <w:i/>
                <w:iCs/>
                <w:sz w:val="24"/>
                <w:szCs w:val="24"/>
              </w:rPr>
              <w:t>To what extent did scheme design strike an appropriate balance between speed of delivery and controls?</w:t>
            </w:r>
          </w:p>
        </w:tc>
      </w:tr>
      <w:tr w:rsidR="009D1D44" w:rsidRPr="00D13154" w14:paraId="55F20D6F" w14:textId="77777777" w:rsidTr="00F2246F">
        <w:tc>
          <w:tcPr>
            <w:tcW w:w="539" w:type="pct"/>
            <w:vAlign w:val="top"/>
          </w:tcPr>
          <w:p w14:paraId="60A3130B" w14:textId="77777777" w:rsidR="009D1D44" w:rsidRPr="00890CF0" w:rsidRDefault="009D1D44">
            <w:pPr>
              <w:pStyle w:val="Tabletext"/>
              <w:rPr>
                <w:szCs w:val="24"/>
              </w:rPr>
            </w:pPr>
            <w:r w:rsidRPr="00890CF0">
              <w:rPr>
                <w:szCs w:val="24"/>
              </w:rPr>
              <w:lastRenderedPageBreak/>
              <w:t>Scheme delivery</w:t>
            </w:r>
          </w:p>
        </w:tc>
        <w:tc>
          <w:tcPr>
            <w:tcW w:w="4461" w:type="pct"/>
            <w:vAlign w:val="top"/>
          </w:tcPr>
          <w:p w14:paraId="6B1E7C0A" w14:textId="77777777" w:rsidR="009D1D44" w:rsidRPr="00F2246F" w:rsidRDefault="009D1D44" w:rsidP="009D1D44">
            <w:pPr>
              <w:pStyle w:val="05BBullets2ndlevel"/>
              <w:numPr>
                <w:ilvl w:val="2"/>
                <w:numId w:val="107"/>
              </w:numPr>
              <w:tabs>
                <w:tab w:val="num" w:pos="360"/>
              </w:tabs>
              <w:spacing w:before="0" w:after="0"/>
              <w:ind w:left="284"/>
              <w:rPr>
                <w:sz w:val="24"/>
                <w:szCs w:val="24"/>
              </w:rPr>
            </w:pPr>
            <w:r w:rsidRPr="00F2246F">
              <w:rPr>
                <w:sz w:val="24"/>
                <w:szCs w:val="24"/>
              </w:rPr>
              <w:t xml:space="preserve">How effective are the processes used by lenders? </w:t>
            </w:r>
          </w:p>
          <w:p w14:paraId="0B896CD1"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 xml:space="preserve">How high were awareness levels of the Covid-19 Loan Guarantee Schemes among eligible businesses? </w:t>
            </w:r>
          </w:p>
          <w:p w14:paraId="32205808"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 xml:space="preserve">How did eligible business perceive the Covid-19 Loan Guarantee Schemes before deciding </w:t>
            </w:r>
            <w:proofErr w:type="gramStart"/>
            <w:r w:rsidRPr="00890CF0">
              <w:rPr>
                <w:sz w:val="24"/>
                <w:szCs w:val="24"/>
              </w:rPr>
              <w:t>whether or not</w:t>
            </w:r>
            <w:proofErr w:type="gramEnd"/>
            <w:r w:rsidRPr="00890CF0">
              <w:rPr>
                <w:sz w:val="24"/>
                <w:szCs w:val="24"/>
              </w:rPr>
              <w:t xml:space="preserve"> to apply? </w:t>
            </w:r>
          </w:p>
          <w:p w14:paraId="1DDDF709"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 xml:space="preserve">To what extent are borrowers satisfied with the lending process? </w:t>
            </w:r>
          </w:p>
          <w:p w14:paraId="675ADCB9"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 xml:space="preserve">How thorough were risk management practices adopted? </w:t>
            </w:r>
          </w:p>
          <w:p w14:paraId="23D297D9" w14:textId="00F8D959"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 xml:space="preserve">Were </w:t>
            </w:r>
            <w:r>
              <w:rPr>
                <w:sz w:val="24"/>
                <w:szCs w:val="24"/>
              </w:rPr>
              <w:t xml:space="preserve">the </w:t>
            </w:r>
            <w:r w:rsidR="005D5D23">
              <w:rPr>
                <w:sz w:val="24"/>
                <w:szCs w:val="24"/>
              </w:rPr>
              <w:t>BBB</w:t>
            </w:r>
            <w:r w:rsidRPr="00890CF0">
              <w:rPr>
                <w:sz w:val="24"/>
                <w:szCs w:val="24"/>
              </w:rPr>
              <w:t xml:space="preserve">’s and other government organisations’ infrastructure capable to cope with the Covid-19 Loan Guarantee Schemes? </w:t>
            </w:r>
          </w:p>
          <w:p w14:paraId="61183639" w14:textId="711AEADD" w:rsidR="009D1D44" w:rsidRPr="00236B73" w:rsidRDefault="009D1D44" w:rsidP="009D1D44">
            <w:pPr>
              <w:pStyle w:val="05BBullets2ndlevel"/>
              <w:numPr>
                <w:ilvl w:val="2"/>
                <w:numId w:val="107"/>
              </w:numPr>
              <w:tabs>
                <w:tab w:val="num" w:pos="360"/>
              </w:tabs>
              <w:spacing w:before="0" w:after="0"/>
              <w:ind w:left="284"/>
              <w:rPr>
                <w:b/>
                <w:bCs/>
                <w:i/>
                <w:iCs/>
                <w:sz w:val="24"/>
                <w:szCs w:val="24"/>
              </w:rPr>
            </w:pPr>
            <w:r w:rsidRPr="00236B73">
              <w:rPr>
                <w:b/>
                <w:bCs/>
                <w:i/>
                <w:iCs/>
                <w:sz w:val="24"/>
                <w:szCs w:val="24"/>
              </w:rPr>
              <w:t xml:space="preserve">To what extent did scheme performance meet objectives and expectations? Which areas of delivery worked well? </w:t>
            </w:r>
          </w:p>
          <w:p w14:paraId="78E5131A"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 xml:space="preserve">Which areas of delivery require the most improvement? </w:t>
            </w:r>
          </w:p>
          <w:p w14:paraId="071AC9F4"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 xml:space="preserve">Was the method of delivery </w:t>
            </w:r>
            <w:proofErr w:type="gramStart"/>
            <w:r w:rsidRPr="00890CF0">
              <w:rPr>
                <w:sz w:val="24"/>
                <w:szCs w:val="24"/>
              </w:rPr>
              <w:t>used</w:t>
            </w:r>
            <w:proofErr w:type="gramEnd"/>
            <w:r w:rsidRPr="00890CF0">
              <w:rPr>
                <w:sz w:val="24"/>
                <w:szCs w:val="24"/>
              </w:rPr>
              <w:t xml:space="preserve"> the most appropriate for these interventions? </w:t>
            </w:r>
          </w:p>
          <w:p w14:paraId="29C252B5"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 xml:space="preserve">What have other governments done with similar schemes? </w:t>
            </w:r>
          </w:p>
          <w:p w14:paraId="1EEBC505"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Are there international comparisons?</w:t>
            </w:r>
          </w:p>
        </w:tc>
      </w:tr>
      <w:tr w:rsidR="009D1D44" w:rsidRPr="00FE666B" w14:paraId="377121CE" w14:textId="77777777" w:rsidTr="00F2246F">
        <w:tc>
          <w:tcPr>
            <w:tcW w:w="539" w:type="pct"/>
            <w:vAlign w:val="top"/>
          </w:tcPr>
          <w:p w14:paraId="41FA3324" w14:textId="77777777" w:rsidR="009D1D44" w:rsidRPr="00890CF0" w:rsidRDefault="009D1D44">
            <w:pPr>
              <w:pStyle w:val="Tabletext"/>
              <w:rPr>
                <w:szCs w:val="24"/>
              </w:rPr>
            </w:pPr>
            <w:r w:rsidRPr="00890CF0">
              <w:rPr>
                <w:szCs w:val="24"/>
              </w:rPr>
              <w:t>Debt recovery processes</w:t>
            </w:r>
          </w:p>
        </w:tc>
        <w:tc>
          <w:tcPr>
            <w:tcW w:w="4461" w:type="pct"/>
            <w:vAlign w:val="top"/>
          </w:tcPr>
          <w:p w14:paraId="3688C16C" w14:textId="77777777" w:rsidR="009D1D44" w:rsidRPr="00236B73" w:rsidRDefault="009D1D44" w:rsidP="009D1D44">
            <w:pPr>
              <w:pStyle w:val="05BBullets2ndlevel"/>
              <w:numPr>
                <w:ilvl w:val="2"/>
                <w:numId w:val="107"/>
              </w:numPr>
              <w:tabs>
                <w:tab w:val="num" w:pos="360"/>
              </w:tabs>
              <w:spacing w:before="0" w:after="0"/>
              <w:ind w:left="284"/>
              <w:rPr>
                <w:b/>
                <w:bCs/>
                <w:i/>
                <w:iCs/>
                <w:sz w:val="24"/>
                <w:szCs w:val="24"/>
              </w:rPr>
            </w:pPr>
            <w:r w:rsidRPr="00236B73">
              <w:rPr>
                <w:b/>
                <w:bCs/>
                <w:i/>
                <w:iCs/>
                <w:sz w:val="24"/>
                <w:szCs w:val="24"/>
              </w:rPr>
              <w:t>Has the design process for the recovery regime learnt any lessons from scheme design? Are the debt recovery processes fit for purpose?</w:t>
            </w:r>
          </w:p>
        </w:tc>
      </w:tr>
      <w:tr w:rsidR="009D1D44" w:rsidRPr="00D13154" w14:paraId="0416152E" w14:textId="77777777" w:rsidTr="00F2246F">
        <w:tc>
          <w:tcPr>
            <w:tcW w:w="539" w:type="pct"/>
            <w:vAlign w:val="top"/>
          </w:tcPr>
          <w:p w14:paraId="0A2A9FF3" w14:textId="77777777" w:rsidR="009D1D44" w:rsidRPr="00890CF0" w:rsidRDefault="009D1D44">
            <w:pPr>
              <w:pStyle w:val="Tabletext"/>
              <w:rPr>
                <w:szCs w:val="24"/>
              </w:rPr>
            </w:pPr>
            <w:r w:rsidRPr="00890CF0">
              <w:rPr>
                <w:szCs w:val="24"/>
              </w:rPr>
              <w:t>Variation in processes</w:t>
            </w:r>
          </w:p>
        </w:tc>
        <w:tc>
          <w:tcPr>
            <w:tcW w:w="4461" w:type="pct"/>
            <w:vAlign w:val="top"/>
          </w:tcPr>
          <w:p w14:paraId="2046E507"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 xml:space="preserve">Are there any significant variations in processes between different lenders on each of the Covid-19 Loan Guarantee Schemes? </w:t>
            </w:r>
          </w:p>
          <w:p w14:paraId="5ACCF66A" w14:textId="77777777" w:rsidR="009D1D44" w:rsidRPr="00890CF0" w:rsidRDefault="009D1D44" w:rsidP="009D1D44">
            <w:pPr>
              <w:pStyle w:val="05BBullets2ndlevel"/>
              <w:numPr>
                <w:ilvl w:val="2"/>
                <w:numId w:val="107"/>
              </w:numPr>
              <w:tabs>
                <w:tab w:val="num" w:pos="360"/>
              </w:tabs>
              <w:spacing w:before="0" w:after="0"/>
              <w:ind w:left="284"/>
              <w:rPr>
                <w:sz w:val="24"/>
                <w:szCs w:val="24"/>
              </w:rPr>
            </w:pPr>
            <w:r w:rsidRPr="00890CF0">
              <w:rPr>
                <w:sz w:val="24"/>
                <w:szCs w:val="24"/>
              </w:rPr>
              <w:t>Is there any evidence that businesses run by management teams or business owners with certain protected characteristics have been disadvantaged by any of the scheme processes?</w:t>
            </w:r>
          </w:p>
        </w:tc>
      </w:tr>
    </w:tbl>
    <w:p w14:paraId="5E3742ED" w14:textId="77777777" w:rsidR="009D1D44" w:rsidRDefault="009D1D44" w:rsidP="009D1D44"/>
    <w:p w14:paraId="090F674D" w14:textId="77777777" w:rsidR="009D1D44" w:rsidRDefault="009D1D44" w:rsidP="009D1D44">
      <w:pPr>
        <w:pStyle w:val="Heading2"/>
      </w:pPr>
      <w:bookmarkStart w:id="60" w:name="_Toc146230587"/>
      <w:bookmarkStart w:id="61" w:name="_Toc151549880"/>
      <w:r>
        <w:t>Methodology</w:t>
      </w:r>
      <w:bookmarkEnd w:id="60"/>
      <w:bookmarkEnd w:id="61"/>
    </w:p>
    <w:p w14:paraId="2EFAA959" w14:textId="3B9ACBB5" w:rsidR="009D1D44" w:rsidRDefault="009D1D44" w:rsidP="009D1D44">
      <w:r>
        <w:t xml:space="preserve">The methodological approach for the Year 2 evaluation was agreed by the </w:t>
      </w:r>
      <w:r w:rsidR="005D5D23">
        <w:t>BBB</w:t>
      </w:r>
      <w:r>
        <w:t xml:space="preserve"> in May 2023. The findings for this report are based on the agreed methodology, which included:</w:t>
      </w:r>
    </w:p>
    <w:p w14:paraId="613F93E5" w14:textId="3C85B453" w:rsidR="009D1D44" w:rsidRPr="00CA025C" w:rsidRDefault="009D1D44" w:rsidP="009D1D44">
      <w:pPr>
        <w:pStyle w:val="ListBullet"/>
        <w:spacing w:after="240"/>
      </w:pPr>
      <w:r>
        <w:t>Initial scoping interviews with two key stakeholders and workshops to form an agreed approach to the evaluation</w:t>
      </w:r>
      <w:r w:rsidR="000E556A">
        <w:t>.</w:t>
      </w:r>
      <w:r>
        <w:t xml:space="preserve"> </w:t>
      </w:r>
    </w:p>
    <w:p w14:paraId="5F19ACDA" w14:textId="37D52073" w:rsidR="009D1D44" w:rsidRPr="00CA025C" w:rsidRDefault="009D1D44" w:rsidP="009D1D44">
      <w:pPr>
        <w:pStyle w:val="ListBullet"/>
        <w:spacing w:after="240"/>
      </w:pPr>
      <w:r>
        <w:lastRenderedPageBreak/>
        <w:t xml:space="preserve">A review of programme documentation and data, provided by the </w:t>
      </w:r>
      <w:r w:rsidR="005D5D23">
        <w:t xml:space="preserve">BBB </w:t>
      </w:r>
      <w:r>
        <w:t>to the research team</w:t>
      </w:r>
      <w:r w:rsidR="0000752C">
        <w:t xml:space="preserve">. Note that some data from the September publication of the </w:t>
      </w:r>
      <w:r w:rsidR="0000752C" w:rsidRPr="00EA461F">
        <w:t xml:space="preserve">COVID-19 loan guarantee schemes performance </w:t>
      </w:r>
      <w:r w:rsidR="0000752C">
        <w:t xml:space="preserve">is included in this report. This is based on </w:t>
      </w:r>
      <w:r w:rsidR="0000752C" w:rsidRPr="00EA461F">
        <w:t xml:space="preserve">data </w:t>
      </w:r>
      <w:r w:rsidR="0000752C">
        <w:t xml:space="preserve">available </w:t>
      </w:r>
      <w:r w:rsidR="0000752C" w:rsidRPr="00EA461F">
        <w:t xml:space="preserve">as </w:t>
      </w:r>
      <w:proofErr w:type="gramStart"/>
      <w:r w:rsidR="0000752C" w:rsidRPr="00EA461F">
        <w:t>at</w:t>
      </w:r>
      <w:proofErr w:type="gramEnd"/>
      <w:r w:rsidR="0000752C" w:rsidRPr="00EA461F">
        <w:t xml:space="preserve"> 30</w:t>
      </w:r>
      <w:r w:rsidR="005E5D9D" w:rsidRPr="00F2246F">
        <w:rPr>
          <w:vertAlign w:val="superscript"/>
        </w:rPr>
        <w:t>th</w:t>
      </w:r>
      <w:r w:rsidR="005E5D9D">
        <w:t xml:space="preserve"> </w:t>
      </w:r>
      <w:r w:rsidR="0000752C" w:rsidRPr="00EA461F">
        <w:t>June 2023</w:t>
      </w:r>
      <w:r w:rsidR="0000752C">
        <w:t xml:space="preserve">. We note that more recent performance data may have been published by the time </w:t>
      </w:r>
      <w:r w:rsidR="004E1079">
        <w:t xml:space="preserve">of </w:t>
      </w:r>
      <w:r w:rsidR="0000752C">
        <w:t>this evaluation report’s publication</w:t>
      </w:r>
      <w:r w:rsidR="000E556A">
        <w:t>.</w:t>
      </w:r>
    </w:p>
    <w:p w14:paraId="77092047" w14:textId="6F30AA74" w:rsidR="009D1D44" w:rsidRPr="00CA025C" w:rsidRDefault="009D1D44" w:rsidP="009D1D44">
      <w:pPr>
        <w:pStyle w:val="ListBullet"/>
        <w:spacing w:after="240"/>
      </w:pPr>
      <w:r>
        <w:t>A review of wider published evidence</w:t>
      </w:r>
      <w:r w:rsidR="00EA461F">
        <w:t xml:space="preserve">. </w:t>
      </w:r>
    </w:p>
    <w:p w14:paraId="34283203" w14:textId="064ABB04" w:rsidR="009D1D44" w:rsidRPr="00CA025C" w:rsidRDefault="009D1D44" w:rsidP="009D1D44">
      <w:pPr>
        <w:pStyle w:val="ListBullet"/>
        <w:spacing w:after="240"/>
      </w:pPr>
      <w:r>
        <w:t>Depth interviews with nine stakeholders</w:t>
      </w:r>
      <w:r w:rsidR="000E556A">
        <w:t>.</w:t>
      </w:r>
    </w:p>
    <w:p w14:paraId="05137E6D" w14:textId="77777777" w:rsidR="009D1D44" w:rsidRDefault="009D1D44" w:rsidP="009D1D44">
      <w:pPr>
        <w:pStyle w:val="ListBullet"/>
        <w:spacing w:after="240"/>
      </w:pPr>
      <w:r>
        <w:t>Depth interviews with six accredited lenders.</w:t>
      </w:r>
    </w:p>
    <w:p w14:paraId="1AF906E5" w14:textId="77777777" w:rsidR="00681D82" w:rsidRDefault="00681D82" w:rsidP="00681D82">
      <w:pPr>
        <w:pStyle w:val="Heading2"/>
      </w:pPr>
      <w:bookmarkStart w:id="62" w:name="_Toc146230582"/>
      <w:bookmarkStart w:id="63" w:name="_Toc151549881"/>
      <w:r>
        <w:t>Processes used</w:t>
      </w:r>
      <w:bookmarkEnd w:id="62"/>
      <w:bookmarkEnd w:id="63"/>
    </w:p>
    <w:p w14:paraId="6FCDD1CD" w14:textId="7BF536C1" w:rsidR="00D45B7E" w:rsidRDefault="00681D82" w:rsidP="00F2246F">
      <w:r>
        <w:t xml:space="preserve">The following figures present the processes used by the schemes in terms of monitoring lenders, </w:t>
      </w:r>
      <w:r w:rsidR="00C76F73">
        <w:t>repayment,</w:t>
      </w:r>
      <w:r>
        <w:t xml:space="preserve"> and enforcement processes. The first figure shows the processes used for BBLS, and the second those used for CBILS and CLBILS.</w:t>
      </w:r>
      <w:bookmarkStart w:id="64" w:name="_Toc146230583"/>
    </w:p>
    <w:p w14:paraId="13362D84" w14:textId="77777777" w:rsidR="00D45B7E" w:rsidRDefault="00D45B7E" w:rsidP="00D45B7E">
      <w:pPr>
        <w:sectPr w:rsidR="00D45B7E" w:rsidSect="00240A4C">
          <w:pgSz w:w="11906" w:h="16838" w:code="9"/>
          <w:pgMar w:top="1701" w:right="845" w:bottom="1531" w:left="907" w:header="624" w:footer="454" w:gutter="0"/>
          <w:cols w:space="720"/>
          <w:titlePg/>
          <w:docGrid w:linePitch="360"/>
        </w:sectPr>
      </w:pPr>
    </w:p>
    <w:p w14:paraId="479ED3AF" w14:textId="4EB3B86E" w:rsidR="00C26DB3" w:rsidRDefault="00C26DB3" w:rsidP="00F2246F">
      <w:pPr>
        <w:pStyle w:val="Heading5"/>
      </w:pPr>
      <w:r>
        <w:lastRenderedPageBreak/>
        <w:t xml:space="preserve">Figure </w:t>
      </w:r>
      <w:fldSimple w:instr=" SEQ Figure \* ARABIC ">
        <w:r w:rsidR="00397D49">
          <w:rPr>
            <w:noProof/>
          </w:rPr>
          <w:t>2</w:t>
        </w:r>
      </w:fldSimple>
      <w:r w:rsidR="00D55EE7">
        <w:t>:</w:t>
      </w:r>
      <w:r w:rsidRPr="00C26DB3">
        <w:t xml:space="preserve"> </w:t>
      </w:r>
      <w:r>
        <w:t>Process map for the Bounce Back Loans Scheme</w:t>
      </w:r>
    </w:p>
    <w:p w14:paraId="7CA4AAD7" w14:textId="68535B6E" w:rsidR="00AE4512" w:rsidRDefault="00690CDB" w:rsidP="00D45B7E">
      <w:r>
        <w:rPr>
          <w:noProof/>
        </w:rPr>
        <w:drawing>
          <wp:inline distT="0" distB="0" distL="0" distR="0" wp14:anchorId="040BC86E" wp14:editId="4038FB6D">
            <wp:extent cx="9000000" cy="4502284"/>
            <wp:effectExtent l="0" t="0" r="0" b="0"/>
            <wp:docPr id="709081080" name="Picture 709081080" descr="The figure presents the processes used to deliver the BBLS repayment, detection of facility fraud, lender monitoring and fraud case enforcement activities. The Repayment processes are: Lenders use appropriate standards to pursue recoveries; Lenders report following service of repayment demand; Lender claims outstanding guaranteed balance through guarantee scheme; Lender returns any recoveries to guarantor in line with the recoveries waterfall; and Lender and BBB agree to remove erroneous facilities from guarantee scheme . The detection of facility fraud processes are: Fraud working group; CIFAS database – duplicates; Data Analytics; Fraud risk assessment; Fraud modelling research; Lender BAU activities; Lenders use reputable fraud bureau. The Lender monitoring processes are: Lender relationship management; Lender audit; Monitoring of data and screening; Lender dashboard; Data publications; Claims assurance; Lender challenge. The fraud case enforcement processes are: Governance activities - Boards and working groups, UK Finance engagement, Counter fraud strategy; PSFA analytics; Quantexa data analysis; Data shared with lenders; Lender BAU activities; Identification of suspected fraud; Identification of type of fraud; Reporting of suspected fraud; Recovery pilot schemes; Develop relationship with enforcement agencies; Case selection; NATIS  cases; NATIS investigation; NATIS arrests; INSS  criminal cases; INSS Bulk objections; INSS civil enfor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81080" name="Picture 709081080" descr="The figure presents the processes used to deliver the BBLS repayment, detection of facility fraud, lender monitoring and fraud case enforcement activities. The Repayment processes are: Lenders use appropriate standards to pursue recoveries; Lenders report following service of repayment demand; Lender claims outstanding guaranteed balance through guarantee scheme; Lender returns any recoveries to guarantor in line with the recoveries waterfall; and Lender and BBB agree to remove erroneous facilities from guarantee scheme . The detection of facility fraud processes are: Fraud working group; CIFAS database – duplicates; Data Analytics; Fraud risk assessment; Fraud modelling research; Lender BAU activities; Lenders use reputable fraud bureau. The Lender monitoring processes are: Lender relationship management; Lender audit; Monitoring of data and screening; Lender dashboard; Data publications; Claims assurance; Lender challenge. The fraud case enforcement processes are: Governance activities - Boards and working groups, UK Finance engagement, Counter fraud strategy; PSFA analytics; Quantexa data analysis; Data shared with lenders; Lender BAU activities; Identification of suspected fraud; Identification of type of fraud; Reporting of suspected fraud; Recovery pilot schemes; Develop relationship with enforcement agencies; Case selection; NATIS  cases; NATIS investigation; NATIS arrests; INSS  criminal cases; INSS Bulk objections; INSS civil enforcem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00000" cy="4502284"/>
                    </a:xfrm>
                    <a:prstGeom prst="rect">
                      <a:avLst/>
                    </a:prstGeom>
                    <a:noFill/>
                  </pic:spPr>
                </pic:pic>
              </a:graphicData>
            </a:graphic>
          </wp:inline>
        </w:drawing>
      </w:r>
    </w:p>
    <w:p w14:paraId="63661392" w14:textId="77777777" w:rsidR="00585E0D" w:rsidRDefault="00585E0D" w:rsidP="00D45B7E"/>
    <w:p w14:paraId="630CFEDC" w14:textId="77777777" w:rsidR="00AE4512" w:rsidRDefault="00AE4512" w:rsidP="00D45B7E"/>
    <w:p w14:paraId="0E1A7050" w14:textId="73034CAD" w:rsidR="00C26DB3" w:rsidRDefault="00C26DB3" w:rsidP="00F2246F">
      <w:pPr>
        <w:pStyle w:val="Heading5"/>
      </w:pPr>
      <w:r>
        <w:lastRenderedPageBreak/>
        <w:t xml:space="preserve">Figure </w:t>
      </w:r>
      <w:fldSimple w:instr=" SEQ Figure \* ARABIC ">
        <w:r w:rsidR="00397D49">
          <w:rPr>
            <w:noProof/>
          </w:rPr>
          <w:t>3</w:t>
        </w:r>
      </w:fldSimple>
      <w:r>
        <w:t>: Process map for the Coronavirus Business Interruption Loan Scheme and Coronavirus Large Business Interruption Loan Scheme</w:t>
      </w:r>
    </w:p>
    <w:p w14:paraId="7C6694BE" w14:textId="60E78000" w:rsidR="005613B5" w:rsidRPr="00D45B7E" w:rsidRDefault="00690CDB" w:rsidP="00F2246F">
      <w:pPr>
        <w:rPr>
          <w:b/>
        </w:rPr>
        <w:sectPr w:rsidR="005613B5" w:rsidRPr="00D45B7E" w:rsidSect="00F2246F">
          <w:pgSz w:w="16838" w:h="11906" w:orient="landscape" w:code="9"/>
          <w:pgMar w:top="907" w:right="1701" w:bottom="845" w:left="1531" w:header="624" w:footer="454" w:gutter="0"/>
          <w:cols w:space="720"/>
          <w:titlePg/>
          <w:docGrid w:linePitch="360"/>
        </w:sectPr>
      </w:pPr>
      <w:r>
        <w:rPr>
          <w:b/>
          <w:noProof/>
        </w:rPr>
        <w:drawing>
          <wp:inline distT="0" distB="0" distL="0" distR="0" wp14:anchorId="584F8654" wp14:editId="512E2EB8">
            <wp:extent cx="9000000" cy="4073422"/>
            <wp:effectExtent l="0" t="0" r="0" b="3810"/>
            <wp:docPr id="1192112691" name="Picture 1192112691" descr="The figure presents the processes used to deliver the CBILS and CLBILS repayment, detection of facility fraud, lender monitoring and fraud case enforcement activities. The Repayment processes are: Lenders use appropriate standards to pursue recoveries; Lenders report following service of repayment demand; Lender claims outstanding guaranteed balance through guarantee scheme; Lender returns any recoveries to guarantor in line with the recoveries waterfall; and Lender and BBB agree to remove erroneous facilities from guarantee scheme . The detection of facility fraud processes are: Fraud working group; Data Analytics; Fraud risk assessment; Lender BAU activities. The Lender monitoring processes are: Lender relationship management; Lender audit; Monitoring of data and screening; Data publications. The fraud case enforcement processes are: Financial crime and fraud forum; PSFA analytics; Quantexa data analysis; Data shared with lenders; Lender BAU activities; Identification of suspected fraud; Identification of type of fraud; BAU reporting of suspected fraud process; Bulk objections; INSS civil enfor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12691" name="Picture 1192112691" descr="The figure presents the processes used to deliver the CBILS and CLBILS repayment, detection of facility fraud, lender monitoring and fraud case enforcement activities. The Repayment processes are: Lenders use appropriate standards to pursue recoveries; Lenders report following service of repayment demand; Lender claims outstanding guaranteed balance through guarantee scheme; Lender returns any recoveries to guarantor in line with the recoveries waterfall; and Lender and BBB agree to remove erroneous facilities from guarantee scheme . The detection of facility fraud processes are: Fraud working group; Data Analytics; Fraud risk assessment; Lender BAU activities. The Lender monitoring processes are: Lender relationship management; Lender audit; Monitoring of data and screening; Data publications. The fraud case enforcement processes are: Financial crime and fraud forum; PSFA analytics; Quantexa data analysis; Data shared with lenders; Lender BAU activities; Identification of suspected fraud; Identification of type of fraud; BAU reporting of suspected fraud process; Bulk objections; INSS civil enforceme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0000" cy="4073422"/>
                    </a:xfrm>
                    <a:prstGeom prst="rect">
                      <a:avLst/>
                    </a:prstGeom>
                    <a:noFill/>
                  </pic:spPr>
                </pic:pic>
              </a:graphicData>
            </a:graphic>
          </wp:inline>
        </w:drawing>
      </w:r>
    </w:p>
    <w:p w14:paraId="2A119672" w14:textId="77777777" w:rsidR="00681D82" w:rsidRPr="005D5D23" w:rsidRDefault="00681D82" w:rsidP="00236B73">
      <w:bookmarkStart w:id="65" w:name="_Toc149801227"/>
      <w:bookmarkStart w:id="66" w:name="_Toc151016546"/>
      <w:r w:rsidRPr="00236B73">
        <w:rPr>
          <w:color w:val="142855" w:themeColor="text2"/>
        </w:rPr>
        <w:lastRenderedPageBreak/>
        <w:t>Repayments</w:t>
      </w:r>
      <w:bookmarkEnd w:id="64"/>
      <w:bookmarkEnd w:id="65"/>
      <w:bookmarkEnd w:id="66"/>
    </w:p>
    <w:p w14:paraId="7FC54FA7" w14:textId="539E677C" w:rsidR="00681D82" w:rsidRDefault="00681D82" w:rsidP="00681D82">
      <w:r>
        <w:t>The key processes used to secure repayments of the Covid-19 Loan Guarantee Schemes facilities are:</w:t>
      </w:r>
    </w:p>
    <w:p w14:paraId="4F8DBB5E" w14:textId="7EF4D2D7" w:rsidR="00681D82" w:rsidRDefault="00681D82" w:rsidP="00681D82">
      <w:pPr>
        <w:pStyle w:val="ListBullet"/>
        <w:spacing w:after="240"/>
      </w:pPr>
      <w:r w:rsidRPr="199308D0">
        <w:rPr>
          <w:b/>
          <w:bCs/>
        </w:rPr>
        <w:t>Lenders utilising appropriate mechanisms to secure repayments on the facilities:</w:t>
      </w:r>
      <w:r>
        <w:t xml:space="preserve"> These mechanisms are not dictated in the scheme rules for CBILS and CLBILS, but for BBLS the lender agreement sets out specific principles and requirements for repayments in the case of fraud.</w:t>
      </w:r>
    </w:p>
    <w:p w14:paraId="0B59EF2D" w14:textId="08BDD8B4" w:rsidR="00681D82" w:rsidRDefault="00681D82" w:rsidP="00681D82">
      <w:pPr>
        <w:pStyle w:val="ListBullet"/>
        <w:spacing w:after="240"/>
      </w:pPr>
      <w:r w:rsidRPr="199308D0">
        <w:rPr>
          <w:b/>
          <w:bCs/>
        </w:rPr>
        <w:t xml:space="preserve">Where lenders cannot secure </w:t>
      </w:r>
      <w:proofErr w:type="gramStart"/>
      <w:r w:rsidRPr="199308D0">
        <w:rPr>
          <w:b/>
          <w:bCs/>
        </w:rPr>
        <w:t>repayments</w:t>
      </w:r>
      <w:proofErr w:type="gramEnd"/>
      <w:r w:rsidRPr="199308D0">
        <w:rPr>
          <w:b/>
          <w:bCs/>
        </w:rPr>
        <w:t xml:space="preserve"> they report this</w:t>
      </w:r>
      <w:r>
        <w:t xml:space="preserve">, using standard data sharing and reporting approaches, to the </w:t>
      </w:r>
      <w:r w:rsidR="005D5D23">
        <w:t>BBB</w:t>
      </w:r>
      <w:r>
        <w:t>.</w:t>
      </w:r>
    </w:p>
    <w:p w14:paraId="143945A7" w14:textId="0BF08FF1" w:rsidR="00681D82" w:rsidRDefault="00681D82" w:rsidP="00681D82">
      <w:pPr>
        <w:pStyle w:val="ListBullet"/>
        <w:spacing w:after="240"/>
      </w:pPr>
      <w:r w:rsidRPr="199308D0">
        <w:rPr>
          <w:b/>
          <w:bCs/>
        </w:rPr>
        <w:t xml:space="preserve">If a lender cannot secure repayments on facilities, they “claim” the outstanding value with the </w:t>
      </w:r>
      <w:r w:rsidR="005D5D23" w:rsidRPr="00236B73">
        <w:rPr>
          <w:b/>
          <w:bCs/>
        </w:rPr>
        <w:t>BBB</w:t>
      </w:r>
      <w:r>
        <w:t xml:space="preserve"> through the Covid-19 Loan Guarantee Schemes, and the </w:t>
      </w:r>
      <w:r w:rsidR="005D5D23">
        <w:t>BBB</w:t>
      </w:r>
      <w:r>
        <w:t xml:space="preserve"> will transfer the funds to the lender within 30 days of the claim. </w:t>
      </w:r>
    </w:p>
    <w:p w14:paraId="7431C2E6" w14:textId="26CEC707" w:rsidR="00681D82" w:rsidRDefault="00681D82" w:rsidP="00681D82">
      <w:pPr>
        <w:pStyle w:val="ListBullet"/>
        <w:spacing w:after="240"/>
      </w:pPr>
      <w:r>
        <w:t xml:space="preserve">Subsequently, </w:t>
      </w:r>
      <w:r w:rsidRPr="199308D0">
        <w:rPr>
          <w:b/>
          <w:bCs/>
        </w:rPr>
        <w:t xml:space="preserve">if the lender </w:t>
      </w:r>
      <w:proofErr w:type="gramStart"/>
      <w:r w:rsidRPr="199308D0">
        <w:rPr>
          <w:b/>
          <w:bCs/>
        </w:rPr>
        <w:t>is able to</w:t>
      </w:r>
      <w:proofErr w:type="gramEnd"/>
      <w:r w:rsidRPr="199308D0">
        <w:rPr>
          <w:b/>
          <w:bCs/>
        </w:rPr>
        <w:t xml:space="preserve"> secure further recovery from a “settled” facility, they will repay the </w:t>
      </w:r>
      <w:r w:rsidR="005D5D23" w:rsidRPr="00236B73">
        <w:rPr>
          <w:b/>
          <w:bCs/>
        </w:rPr>
        <w:t>BBB</w:t>
      </w:r>
      <w:r w:rsidRPr="199308D0">
        <w:rPr>
          <w:b/>
          <w:bCs/>
        </w:rPr>
        <w:t>, as appropriate, via the agreed mechanism</w:t>
      </w:r>
      <w:r>
        <w:t>.</w:t>
      </w:r>
    </w:p>
    <w:p w14:paraId="340EEA57" w14:textId="767907BD" w:rsidR="00681D82" w:rsidRDefault="00681D82" w:rsidP="00681D82">
      <w:pPr>
        <w:pStyle w:val="ListBullet"/>
        <w:spacing w:after="240"/>
      </w:pPr>
      <w:r w:rsidRPr="199308D0">
        <w:rPr>
          <w:b/>
          <w:bCs/>
        </w:rPr>
        <w:t xml:space="preserve">The </w:t>
      </w:r>
      <w:r w:rsidR="005D5D23" w:rsidRPr="00236B73">
        <w:rPr>
          <w:b/>
          <w:bCs/>
        </w:rPr>
        <w:t>BBB</w:t>
      </w:r>
      <w:r w:rsidRPr="199308D0">
        <w:rPr>
          <w:b/>
          <w:bCs/>
        </w:rPr>
        <w:t xml:space="preserve"> also analyses the portfolio of lending</w:t>
      </w:r>
      <w:r>
        <w:t xml:space="preserve">, and where facilities have been put into the Covid-19 Loan Guarantee Schemes that are ineligible and/or the </w:t>
      </w:r>
      <w:r w:rsidR="005D5D23">
        <w:t>BBB</w:t>
      </w:r>
      <w:r>
        <w:t xml:space="preserve"> determines that the lender has breached the scheme rules, it brings this to the attention of lenders. Where these challenges are validated, the facilities are removed from the Covid-19 Loan Guarantee Schemes, and the </w:t>
      </w:r>
      <w:r w:rsidR="005D5D23">
        <w:t>BBB</w:t>
      </w:r>
      <w:r>
        <w:t xml:space="preserve"> will be reimbursed if the facility has already been settled. </w:t>
      </w:r>
    </w:p>
    <w:p w14:paraId="3B40DDF4" w14:textId="77777777" w:rsidR="00681D82" w:rsidRPr="005D5D23" w:rsidRDefault="00681D82" w:rsidP="00236B73">
      <w:bookmarkStart w:id="67" w:name="_Toc146230584"/>
      <w:bookmarkStart w:id="68" w:name="_Toc149801228"/>
      <w:bookmarkStart w:id="69" w:name="_Toc151016547"/>
      <w:r w:rsidRPr="00236B73">
        <w:rPr>
          <w:color w:val="142855" w:themeColor="text2"/>
        </w:rPr>
        <w:t>Monitoring</w:t>
      </w:r>
      <w:bookmarkEnd w:id="67"/>
      <w:bookmarkEnd w:id="68"/>
      <w:bookmarkEnd w:id="69"/>
    </w:p>
    <w:p w14:paraId="428FA505" w14:textId="0BD43A34" w:rsidR="00681D82" w:rsidRDefault="00681D82" w:rsidP="00681D82">
      <w:r>
        <w:t>The key processes involved in the monitoring of accredited lenders are:</w:t>
      </w:r>
    </w:p>
    <w:p w14:paraId="1BBA8051" w14:textId="03284543" w:rsidR="00681D82" w:rsidRDefault="00681D82" w:rsidP="00681D82">
      <w:pPr>
        <w:pStyle w:val="ListBullet"/>
        <w:spacing w:after="240"/>
      </w:pPr>
      <w:r w:rsidRPr="199308D0">
        <w:rPr>
          <w:b/>
          <w:bCs/>
        </w:rPr>
        <w:t>Lender relationship management and challenge:</w:t>
      </w:r>
      <w:r>
        <w:t xml:space="preserve"> the </w:t>
      </w:r>
      <w:r w:rsidR="005D5D23">
        <w:t>BBB</w:t>
      </w:r>
      <w:r>
        <w:t xml:space="preserve"> appointed a relationship manager to effectively manage the relationship between each accredited lender and the Bank. The relationship manager has oversight of all the requirements for their lender and holds conversations with the lender if they fail to comply with scheme rules.</w:t>
      </w:r>
    </w:p>
    <w:p w14:paraId="5CD9728C" w14:textId="3AF5CC7E" w:rsidR="00681D82" w:rsidRDefault="00681D82" w:rsidP="00681D82">
      <w:pPr>
        <w:pStyle w:val="ListBullet"/>
        <w:spacing w:after="240"/>
      </w:pPr>
      <w:r w:rsidRPr="199308D0">
        <w:rPr>
          <w:b/>
          <w:bCs/>
        </w:rPr>
        <w:t>A lender audit:</w:t>
      </w:r>
      <w:r>
        <w:t xml:space="preserve"> Each year a sample of accredited lenders will be audited, using a </w:t>
      </w:r>
      <w:r w:rsidR="00230D24">
        <w:t>risk-based</w:t>
      </w:r>
      <w:r>
        <w:t xml:space="preserve"> approach (with the risks evolving over the course of the schemes, including, but not </w:t>
      </w:r>
      <w:r>
        <w:lastRenderedPageBreak/>
        <w:t xml:space="preserve">limited to, the risk </w:t>
      </w:r>
      <w:r w:rsidR="0FADFFF9">
        <w:t xml:space="preserve">that a </w:t>
      </w:r>
      <w:r>
        <w:t>facilit</w:t>
      </w:r>
      <w:r w:rsidR="7C7E1F4C">
        <w:t>y</w:t>
      </w:r>
      <w:r>
        <w:t xml:space="preserve"> </w:t>
      </w:r>
      <w:r w:rsidR="5500B0F2">
        <w:t>was fraudulently obtained</w:t>
      </w:r>
      <w:r>
        <w:t>) to ensure compliance with the scheme rules.</w:t>
      </w:r>
    </w:p>
    <w:p w14:paraId="1D0C5DDF" w14:textId="02B2DD9D" w:rsidR="00681D82" w:rsidRDefault="00681D82" w:rsidP="00681D82">
      <w:pPr>
        <w:pStyle w:val="ListBullet"/>
        <w:spacing w:after="240"/>
      </w:pPr>
      <w:r w:rsidRPr="199308D0">
        <w:rPr>
          <w:b/>
          <w:bCs/>
        </w:rPr>
        <w:t>Monitoring and publication of data:</w:t>
      </w:r>
      <w:r>
        <w:t xml:space="preserve"> Accredited lenders are required to share data about their portfolio with the </w:t>
      </w:r>
      <w:r w:rsidR="005D5D23">
        <w:t>BBB</w:t>
      </w:r>
      <w:r>
        <w:t>. This data is used to produce scheme dashboards to monitor performance and underpin the governance of the schemes. A selection of the data is then published on a quarterly basis on the DBT website.</w:t>
      </w:r>
    </w:p>
    <w:p w14:paraId="7E79F4E5" w14:textId="77777777" w:rsidR="00681D82" w:rsidRPr="005D5D23" w:rsidRDefault="00681D82" w:rsidP="00236B73">
      <w:bookmarkStart w:id="70" w:name="_Toc146230585"/>
      <w:bookmarkStart w:id="71" w:name="_Toc149801229"/>
      <w:bookmarkStart w:id="72" w:name="_Toc151016548"/>
      <w:r w:rsidRPr="00236B73">
        <w:rPr>
          <w:color w:val="142855" w:themeColor="text2"/>
        </w:rPr>
        <w:t>Enforcement</w:t>
      </w:r>
      <w:bookmarkEnd w:id="70"/>
      <w:bookmarkEnd w:id="71"/>
      <w:bookmarkEnd w:id="72"/>
    </w:p>
    <w:p w14:paraId="27B500EF" w14:textId="77777777" w:rsidR="00681D82" w:rsidRDefault="00681D82" w:rsidP="00681D82">
      <w:r>
        <w:t>The key enforcement activities are:</w:t>
      </w:r>
    </w:p>
    <w:p w14:paraId="65F1A185" w14:textId="6308620C" w:rsidR="00681D82" w:rsidRPr="00594121" w:rsidRDefault="00681D82" w:rsidP="00681D82">
      <w:pPr>
        <w:pStyle w:val="ListBullet"/>
        <w:spacing w:after="240"/>
        <w:rPr>
          <w:b/>
          <w:bCs/>
        </w:rPr>
      </w:pPr>
      <w:r>
        <w:t>The functioning of</w:t>
      </w:r>
      <w:r w:rsidRPr="199308D0">
        <w:rPr>
          <w:b/>
          <w:bCs/>
        </w:rPr>
        <w:t xml:space="preserve"> working groups and boards </w:t>
      </w:r>
      <w:r>
        <w:t xml:space="preserve">to oversee the enforcement activities through the schemes. This includes participation from the </w:t>
      </w:r>
      <w:r w:rsidR="005D5D23">
        <w:t>BBB</w:t>
      </w:r>
      <w:r>
        <w:t xml:space="preserve">, DBT, the Cabinet Office, HM Treasury, UK </w:t>
      </w:r>
      <w:proofErr w:type="gramStart"/>
      <w:r>
        <w:t>Finance</w:t>
      </w:r>
      <w:proofErr w:type="gramEnd"/>
      <w:r>
        <w:t xml:space="preserve"> and lenders.</w:t>
      </w:r>
      <w:r w:rsidRPr="199308D0">
        <w:rPr>
          <w:b/>
          <w:bCs/>
        </w:rPr>
        <w:t xml:space="preserve"> </w:t>
      </w:r>
    </w:p>
    <w:p w14:paraId="01CE5D36" w14:textId="53A648E4" w:rsidR="00681D82" w:rsidRPr="00594121" w:rsidRDefault="00681D82" w:rsidP="00681D82">
      <w:pPr>
        <w:pStyle w:val="ListBullet"/>
        <w:spacing w:after="240"/>
      </w:pPr>
      <w:r w:rsidRPr="199308D0">
        <w:rPr>
          <w:b/>
          <w:bCs/>
        </w:rPr>
        <w:t xml:space="preserve">The development of a counter fraud strategy: </w:t>
      </w:r>
      <w:r>
        <w:t xml:space="preserve">Due to the timescales under which the schemes were developed and launched, there was not a dedicated counter fraud strategy in place at the start of the schemes (although there were existing counter fraud activities taking place). This has been developed by the </w:t>
      </w:r>
      <w:r w:rsidR="005D5D23">
        <w:t>BBB</w:t>
      </w:r>
      <w:r>
        <w:t>, DBT and the Cabinet Office to underpin the counter fraud and enforcement activity delivered through the BBL</w:t>
      </w:r>
      <w:r w:rsidR="0031288A">
        <w:t>S</w:t>
      </w:r>
      <w:r>
        <w:t>.</w:t>
      </w:r>
    </w:p>
    <w:p w14:paraId="64DA97B0" w14:textId="2D472733" w:rsidR="00681D82" w:rsidRPr="00594121" w:rsidRDefault="00681D82" w:rsidP="00681D82">
      <w:pPr>
        <w:pStyle w:val="ListBullet"/>
        <w:spacing w:after="240"/>
      </w:pPr>
      <w:r w:rsidRPr="199308D0">
        <w:rPr>
          <w:b/>
          <w:bCs/>
        </w:rPr>
        <w:t xml:space="preserve">Data analytics: </w:t>
      </w:r>
      <w:r>
        <w:t xml:space="preserve">The Cabinet Office and the </w:t>
      </w:r>
      <w:r w:rsidR="005D5D23">
        <w:t>BBB</w:t>
      </w:r>
      <w:r>
        <w:t xml:space="preserve"> undertake data analytics to attempt to identify the scale of suspected fraudulent activity, by utilising data around duplicate loans, network analysis and using central government data to identify potentially fraudulent applications. In addition to reviewing this data, lenders are also mandated to use the CIFAS database for BBLS (although not for CBILS or CLBILS) to identify duplicate loan applications. The results from the data analysis are sent to accredited lenders, showing the cases in their portfolio that have been identified as suspected fraud cases – and the lenders can review this data / investigate facilities, and use this information to update their suspected fraud flags. In addition, the data also provides assurance that lender claims under the guarantee have not been made in error, identifies where there are any claims that should be reviewed.</w:t>
      </w:r>
    </w:p>
    <w:p w14:paraId="30FA2830" w14:textId="1DB7973C" w:rsidR="00681D82" w:rsidRPr="00594121" w:rsidRDefault="00681D82" w:rsidP="00681D82">
      <w:pPr>
        <w:pStyle w:val="ListBullet"/>
        <w:spacing w:after="240"/>
      </w:pPr>
      <w:r w:rsidRPr="199308D0">
        <w:rPr>
          <w:b/>
          <w:bCs/>
        </w:rPr>
        <w:t xml:space="preserve">Lender counter fraud activity: </w:t>
      </w:r>
      <w:r>
        <w:t xml:space="preserve">As part of Business </w:t>
      </w:r>
      <w:proofErr w:type="gramStart"/>
      <w:r>
        <w:t>As</w:t>
      </w:r>
      <w:proofErr w:type="gramEnd"/>
      <w:r>
        <w:t xml:space="preserve"> Usual (BAU) lending, accredited lenders undertake counter fraud work, such as initial </w:t>
      </w:r>
      <w:r w:rsidR="0068124C">
        <w:t>‘</w:t>
      </w:r>
      <w:r>
        <w:t>know your customer</w:t>
      </w:r>
      <w:r w:rsidR="0068124C">
        <w:t>’</w:t>
      </w:r>
      <w:r>
        <w:t xml:space="preserve"> checks (at </w:t>
      </w:r>
      <w:r>
        <w:lastRenderedPageBreak/>
        <w:t xml:space="preserve">origination) and ongoing fraud monitoring throughout the course of the facility (such as detecting fraudulent activity on business accounts). This activity is also undertaken as part of CBILS, CLBILS and BBLS. The BAU counter fraud activity will vary from lender to lender. Where their BAU mechanisms identify suspected cases of fraud, these flags are reported to the </w:t>
      </w:r>
      <w:r w:rsidR="005D5D23">
        <w:t>BBB</w:t>
      </w:r>
      <w:r>
        <w:t xml:space="preserve"> and where appropriate the Insolvency Service </w:t>
      </w:r>
      <w:r w:rsidR="00121EB0">
        <w:t>(INSS</w:t>
      </w:r>
      <w:r w:rsidR="00B21B99">
        <w:t>)</w:t>
      </w:r>
      <w:r>
        <w:t xml:space="preserve"> and National </w:t>
      </w:r>
      <w:r w:rsidR="00B62351">
        <w:t>Investigation Service</w:t>
      </w:r>
      <w:r>
        <w:t xml:space="preserve"> (NATIS). Guidelines on the types of cases to refer are provided by DBT.</w:t>
      </w:r>
    </w:p>
    <w:p w14:paraId="07E47D7A" w14:textId="35809019" w:rsidR="00681D82" w:rsidRDefault="00681D82" w:rsidP="00681D82">
      <w:pPr>
        <w:pStyle w:val="ListBullet"/>
        <w:spacing w:after="240"/>
      </w:pPr>
      <w:r w:rsidRPr="526C8350">
        <w:rPr>
          <w:b/>
          <w:bCs/>
        </w:rPr>
        <w:t xml:space="preserve">Enforcement activity with external agencies: </w:t>
      </w:r>
      <w:r>
        <w:t xml:space="preserve">Where appropriate, </w:t>
      </w:r>
      <w:r w:rsidR="00136F05" w:rsidRPr="00F2246F">
        <w:rPr>
          <w:szCs w:val="24"/>
          <w:shd w:val="clear" w:color="auto" w:fill="FFFFFF"/>
          <w14:ligatures w14:val="standardContextual"/>
        </w:rPr>
        <w:t>NATIS</w:t>
      </w:r>
      <w:r w:rsidR="001D0EDF">
        <w:rPr>
          <w:szCs w:val="24"/>
          <w:shd w:val="clear" w:color="auto" w:fill="FFFFFF"/>
          <w14:ligatures w14:val="standardContextual"/>
        </w:rPr>
        <w:t xml:space="preserve"> </w:t>
      </w:r>
      <w:r w:rsidR="00136F05" w:rsidRPr="00F2246F">
        <w:rPr>
          <w:szCs w:val="24"/>
          <w:shd w:val="clear" w:color="auto" w:fill="FFFFFF"/>
          <w14:ligatures w14:val="standardContextual"/>
        </w:rPr>
        <w:t>/</w:t>
      </w:r>
      <w:r w:rsidR="001D0EDF">
        <w:rPr>
          <w:szCs w:val="24"/>
          <w:shd w:val="clear" w:color="auto" w:fill="FFFFFF"/>
          <w14:ligatures w14:val="standardContextual"/>
        </w:rPr>
        <w:t xml:space="preserve"> </w:t>
      </w:r>
      <w:r w:rsidR="00136F05" w:rsidRPr="00F2246F">
        <w:rPr>
          <w:szCs w:val="24"/>
          <w:shd w:val="clear" w:color="auto" w:fill="FFFFFF"/>
          <w14:ligatures w14:val="standardContextual"/>
        </w:rPr>
        <w:t>INSS carry out additional enforcement measures in appropriate cases including, criminal investigations, director misconduct.</w:t>
      </w:r>
      <w:r w:rsidRPr="00081E01">
        <w:t xml:space="preserve"> </w:t>
      </w:r>
      <w:r>
        <w:t xml:space="preserve">Both NATIS and INSS pursue criminal investigations and prosecutions, with INSS also pursuing disqualifications for director misconduct. For the cases referred to NATIS that relate to the schemes, NATIS will feed back on case selection to a governance board from </w:t>
      </w:r>
      <w:proofErr w:type="gramStart"/>
      <w:r>
        <w:t>DBT, and</w:t>
      </w:r>
      <w:proofErr w:type="gramEnd"/>
      <w:r>
        <w:t xml:space="preserve"> will conduct criminal investigations with a view to pursuing criminal prosecutions. The Insolvency Service will investigate reported cases and pursue civil disqualification of directors and criminal cases against suspected fraudulent </w:t>
      </w:r>
      <w:proofErr w:type="gramStart"/>
      <w:r>
        <w:t>activity, and</w:t>
      </w:r>
      <w:proofErr w:type="gramEnd"/>
      <w:r>
        <w:t xml:space="preserve"> will provide feedback on outcomes achieved to DBT.  </w:t>
      </w:r>
    </w:p>
    <w:p w14:paraId="63AE6219" w14:textId="77777777" w:rsidR="00681D82" w:rsidRPr="00594121" w:rsidRDefault="00681D82" w:rsidP="00681D82">
      <w:pPr>
        <w:pStyle w:val="ListBullet"/>
        <w:spacing w:after="240"/>
      </w:pPr>
      <w:r w:rsidRPr="199308D0">
        <w:rPr>
          <w:b/>
          <w:bCs/>
        </w:rPr>
        <w:t xml:space="preserve">For BBLS, there are a series of recovery pilot schemes: </w:t>
      </w:r>
      <w:r>
        <w:t>These</w:t>
      </w:r>
      <w:r w:rsidRPr="00F2246F">
        <w:t xml:space="preserve"> will test new approaches to securing repayments.</w:t>
      </w:r>
      <w:r>
        <w:t xml:space="preserve"> These processes have not been assessed in this evaluation.</w:t>
      </w:r>
    </w:p>
    <w:p w14:paraId="714708B0" w14:textId="77777777" w:rsidR="00681D82" w:rsidRDefault="00681D82" w:rsidP="00A215B3">
      <w:pPr>
        <w:pStyle w:val="Heading2"/>
      </w:pPr>
      <w:bookmarkStart w:id="73" w:name="_Toc146230589"/>
      <w:bookmarkStart w:id="74" w:name="_Toc151549882"/>
      <w:r>
        <w:t>Monitoring</w:t>
      </w:r>
      <w:bookmarkEnd w:id="73"/>
      <w:bookmarkEnd w:id="74"/>
    </w:p>
    <w:p w14:paraId="4D252C6A" w14:textId="2731AC1E" w:rsidR="00681D82" w:rsidRDefault="00681D82" w:rsidP="00681D82">
      <w:r>
        <w:t xml:space="preserve">This section provides an assessment of the monitoring processes used by the schemes to support the delivery of the schemes in line with their objectives and the lender agreements between the </w:t>
      </w:r>
      <w:r w:rsidR="005D5D23">
        <w:t>BBB</w:t>
      </w:r>
      <w:r>
        <w:t xml:space="preserve"> and accredited lenders. This section draws on information provided by the Bank and findings from the qualitative interviews with accredited lenders and stakeholders.</w:t>
      </w:r>
    </w:p>
    <w:p w14:paraId="1AD18CA5" w14:textId="77777777" w:rsidR="00681D82" w:rsidRPr="005D5D23" w:rsidRDefault="00681D82" w:rsidP="00236B73">
      <w:bookmarkStart w:id="75" w:name="_Toc146230591"/>
      <w:bookmarkStart w:id="76" w:name="_Toc149801231"/>
      <w:bookmarkStart w:id="77" w:name="_Toc151016550"/>
      <w:r w:rsidRPr="00236B73">
        <w:rPr>
          <w:color w:val="142855" w:themeColor="text2"/>
        </w:rPr>
        <w:t>Data sharing</w:t>
      </w:r>
      <w:bookmarkEnd w:id="75"/>
      <w:bookmarkEnd w:id="76"/>
      <w:bookmarkEnd w:id="77"/>
    </w:p>
    <w:p w14:paraId="740D4B10" w14:textId="3681D943" w:rsidR="00681D82" w:rsidRDefault="00681D82" w:rsidP="00681D82">
      <w:r>
        <w:t xml:space="preserve">Accredited lenders were required to share data with the </w:t>
      </w:r>
      <w:r w:rsidR="005D5D23">
        <w:t>BBB</w:t>
      </w:r>
      <w:r>
        <w:t xml:space="preserve"> about their Covid-19 Loan Guarantee Schemes lending portfolio </w:t>
      </w:r>
      <w:proofErr w:type="gramStart"/>
      <w:r>
        <w:t>in order for</w:t>
      </w:r>
      <w:proofErr w:type="gramEnd"/>
      <w:r>
        <w:t xml:space="preserve"> the Bank and DBT to monitor the overall size and scale of the programmes and to ensure that accredited lenders were providing facilities in line with the signed lender agreements. The data sharing requirements required lenders to report the value of repayments made, whether repayments were on schedule, the number and </w:t>
      </w:r>
      <w:r>
        <w:lastRenderedPageBreak/>
        <w:t>value of facilities in arrears, and any cases of default, on a quarterly basis. Additionally, lenders were required to provide information on the number of facilities that were suspected cases of fraud, and the value of these facilities. Lenders were also required to submit their claims under the guarantee for the outstanding value of facilities that had defaulted within 12 months (for BBLS) or 18 months (for CBILS</w:t>
      </w:r>
      <w:r w:rsidR="001D0EDF">
        <w:t xml:space="preserve"> </w:t>
      </w:r>
      <w:r>
        <w:t>/</w:t>
      </w:r>
      <w:r w:rsidR="001D0EDF">
        <w:t xml:space="preserve"> </w:t>
      </w:r>
      <w:r>
        <w:t xml:space="preserve">CLBILS) of the default taking place.  </w:t>
      </w:r>
    </w:p>
    <w:p w14:paraId="3D059CB3" w14:textId="2190EE50" w:rsidR="00681D82" w:rsidRDefault="00681D82" w:rsidP="00681D82">
      <w:r>
        <w:t xml:space="preserve">The findings from the research indicate that the data collected has served its intended purposes. The data collected by the </w:t>
      </w:r>
      <w:r w:rsidR="005D5D23">
        <w:t>BBB</w:t>
      </w:r>
      <w:r>
        <w:t xml:space="preserve"> has been shared within the Bank and across steering and governance groups. This information has been used to keep individuals involved in the governance informed of the cost to the public purse, the likely future cost and fraud assessments. The information supports the </w:t>
      </w:r>
      <w:r w:rsidR="00AB4D3F">
        <w:t>decision-</w:t>
      </w:r>
      <w:r>
        <w:t xml:space="preserve">making process on topics to target with programme resources. This information was reported by stakeholders to be </w:t>
      </w:r>
      <w:r w:rsidR="00223985">
        <w:t xml:space="preserve">appropriate and </w:t>
      </w:r>
      <w:r>
        <w:t xml:space="preserve">useful in supporting the governance of the programme. The data provided is also usually sufficient for internal teams within the Bank to analyse each lenders’ portfolio to support an initial assessment of </w:t>
      </w:r>
      <w:r w:rsidRPr="00F2246F">
        <w:rPr>
          <w:rStyle w:val="cf01"/>
          <w:rFonts w:ascii="Arial" w:hAnsi="Arial" w:cs="Arial"/>
          <w:sz w:val="24"/>
          <w:szCs w:val="24"/>
        </w:rPr>
        <w:t>where the risks lie and whether a particular cohort of facilities warrants further investigation</w:t>
      </w:r>
      <w:r>
        <w:t xml:space="preserve"> Stakeholders did not raise many data fields that they would have liked to be included in the shared data that was not already present.</w:t>
      </w:r>
    </w:p>
    <w:p w14:paraId="1B594A7C" w14:textId="4535ADB7" w:rsidR="00681D82" w:rsidRDefault="00681D82" w:rsidP="00681D82">
      <w:r w:rsidRPr="00F2246F">
        <w:rPr>
          <w:rFonts w:ascii="Arial" w:hAnsi="Arial" w:cs="Arial"/>
        </w:rPr>
        <w:t xml:space="preserve">Although no data was available to independently verify the completeness, accuracy, or timeliness of data provided, stakeholders did not report any </w:t>
      </w:r>
      <w:r w:rsidRPr="00A90399">
        <w:t xml:space="preserve">significant </w:t>
      </w:r>
      <w:r w:rsidRPr="00F2246F">
        <w:rPr>
          <w:rFonts w:ascii="Arial" w:hAnsi="Arial" w:cs="Arial"/>
        </w:rPr>
        <w:t>concerns with the quality of information provided</w:t>
      </w:r>
      <w:r w:rsidRPr="00F2246F">
        <w:rPr>
          <w:sz w:val="28"/>
          <w:szCs w:val="28"/>
        </w:rPr>
        <w:t xml:space="preserve">. </w:t>
      </w:r>
      <w:r>
        <w:t xml:space="preserve">The only issue </w:t>
      </w:r>
      <w:r w:rsidR="0031288A">
        <w:t xml:space="preserve">reported by stakeholders </w:t>
      </w:r>
      <w:r>
        <w:t xml:space="preserve">was that the data was lumpy (submitted quarterly) rather than real time, meaning there could be large changes between quarters. Accredited lenders also did not report any challenges with the data sharing requirements, either in terms of the nature of data requested or frequency of collections. They also considered that the </w:t>
      </w:r>
      <w:r w:rsidR="005D5D23">
        <w:t>BBB</w:t>
      </w:r>
      <w:r>
        <w:t xml:space="preserve"> had improved the data sharing mechanisms over the course of the schemes. As highlighted in the previous process evaluation, there were issues with the accuracy of the data provided by lenders as initially data was compiled manually by </w:t>
      </w:r>
      <w:r w:rsidR="0031288A">
        <w:t xml:space="preserve">a high proportion of </w:t>
      </w:r>
      <w:r>
        <w:t xml:space="preserve">accredited lenders and then shared with the Bank, leading to issues with human error. The Bank introduced </w:t>
      </w:r>
      <w:r w:rsidRPr="00F2246F">
        <w:t>Application Programming Interface</w:t>
      </w:r>
      <w:r>
        <w:t>s (APIs) to automate this process and reduce errors, but</w:t>
      </w:r>
      <w:r w:rsidR="00A24FCC">
        <w:t>,</w:t>
      </w:r>
      <w:r>
        <w:t xml:space="preserve"> at the time of the last evaluation (2022)</w:t>
      </w:r>
      <w:r w:rsidR="00A24FCC">
        <w:t>,</w:t>
      </w:r>
      <w:r>
        <w:t xml:space="preserve"> few accredited lenders had utilised these APIs. In 2023, larger lenders reported using APIs where required (usually for BBLS due to the scale of lending). However</w:t>
      </w:r>
      <w:r w:rsidR="4FC652CB">
        <w:t>,</w:t>
      </w:r>
      <w:r>
        <w:t xml:space="preserve"> for smaller lenders (and smaller portfolios) data could still be shared using spreadsheets. Stakeholders and lenders reported that given the experience of lenders and the </w:t>
      </w:r>
      <w:r w:rsidR="005D5D23">
        <w:t>BBB</w:t>
      </w:r>
      <w:r>
        <w:t xml:space="preserve"> over time there were fewer reported </w:t>
      </w:r>
      <w:proofErr w:type="gramStart"/>
      <w:r>
        <w:t>errors</w:t>
      </w:r>
      <w:proofErr w:type="gramEnd"/>
      <w:r>
        <w:t xml:space="preserve"> and that data </w:t>
      </w:r>
      <w:r>
        <w:lastRenderedPageBreak/>
        <w:t xml:space="preserve">accuracy was not seen as a significant challenge at this stage. This has led to an improvement in efficiency for the schemes for both accredited lenders (less time spent compiling, </w:t>
      </w:r>
      <w:proofErr w:type="gramStart"/>
      <w:r>
        <w:t>revising</w:t>
      </w:r>
      <w:proofErr w:type="gramEnd"/>
      <w:r>
        <w:t xml:space="preserve"> and resubmitting data) and for the Bank (having accurate data first time reduces revisions made to data analysis). </w:t>
      </w:r>
    </w:p>
    <w:p w14:paraId="4B8B2727" w14:textId="7B617C76" w:rsidR="00681D82" w:rsidRDefault="00681D82" w:rsidP="00681D82">
      <w:r>
        <w:t>A selection of the data provided by accredited lenders has also been published</w:t>
      </w:r>
      <w:r w:rsidR="0031288A">
        <w:t>, with the depth of data and level of disaggregation</w:t>
      </w:r>
      <w:r>
        <w:t xml:space="preserve"> deviati</w:t>
      </w:r>
      <w:r w:rsidR="0031288A">
        <w:t>ng</w:t>
      </w:r>
      <w:r>
        <w:t xml:space="preserve"> from the original plans for the programme. This decision was made due to external political pressure placed on the </w:t>
      </w:r>
      <w:r w:rsidR="005D5D23">
        <w:t>BBB</w:t>
      </w:r>
      <w:r>
        <w:t xml:space="preserve"> and DBT for greater transparency of the schemes’ delivery and public interest in the schemes’ performance. All lenders agreed to the publication of data</w:t>
      </w:r>
      <w:r>
        <w:rPr>
          <w:rStyle w:val="FootnoteReference"/>
        </w:rPr>
        <w:footnoteReference w:id="25"/>
      </w:r>
      <w:r>
        <w:t xml:space="preserve">, and none of the lenders consulted reported that they were reluctant for the data to be published. However, </w:t>
      </w:r>
      <w:r w:rsidR="005D5D23">
        <w:t>BBB</w:t>
      </w:r>
      <w:r>
        <w:t xml:space="preserve"> stakeholders reported that some lenders were initially reluctant for the data to be published at a lender level. </w:t>
      </w:r>
    </w:p>
    <w:p w14:paraId="3469CE2C" w14:textId="71DDF941" w:rsidR="00681D82" w:rsidRDefault="00681D82" w:rsidP="00681D82">
      <w:r>
        <w:t xml:space="preserve">Both stakeholders and accredited lenders reported some concerns regarding how published data would be viewed, analysed, and used by individuals outside the schemes. For example, both stakeholders and lenders are concerned that people would use the data as a ranking if those that had the highest cases of suspected fraud were considered “bottom of the league table” and worst at tackling fraud. This will not necessarily be the case, </w:t>
      </w:r>
      <w:r w:rsidR="005D49BF">
        <w:t xml:space="preserve">and </w:t>
      </w:r>
      <w:r>
        <w:t>lenders with higher cases of suspected fraud could have a different customer base to other lenders, or have different mechanisms for identifying suspected fraud, so the figures are not directly comparable with each other. Similar concerns were raised about the publication of defaults data, but to date, none of the accredited lenders that were consulted reported any adverse effects on their business from the publication of data.</w:t>
      </w:r>
    </w:p>
    <w:p w14:paraId="5A174101" w14:textId="65F0B79F" w:rsidR="00681D82" w:rsidRPr="00446C6E" w:rsidRDefault="00681D82" w:rsidP="00681D82">
      <w:r>
        <w:t>Although not the aim of the quarterly publication of the Covid-19 loan guarantee scheme performance data, stakeholders initially thought that the publication of data could influence lender behaviour – for example attempts to ensure their default rates were as low as possible by introducing new recovery practices or attempts to limit the cases of suspected fraud. However, neither stakeholders nor accredited lenders reported that the publication of data could be directly linked to changes in the behaviour of lenders in any way. It has not led to changes in approaches, and this was reported by accredited lenders to be due to the comfort they had in having the data published. However, stakeholder</w:t>
      </w:r>
      <w:r w:rsidR="382DD35D">
        <w:t>s</w:t>
      </w:r>
      <w:r>
        <w:t xml:space="preserve"> have reported that there has </w:t>
      </w:r>
      <w:r>
        <w:lastRenderedPageBreak/>
        <w:t xml:space="preserve">been a general change in accredited lender behaviour towards the reporting of suspected fraud cases to the </w:t>
      </w:r>
      <w:r w:rsidR="005D5D23">
        <w:t>BBB</w:t>
      </w:r>
      <w:r>
        <w:t xml:space="preserve"> – although it has not been possible to link this to any </w:t>
      </w:r>
      <w:proofErr w:type="gramStart"/>
      <w:r>
        <w:t>particular process</w:t>
      </w:r>
      <w:proofErr w:type="gramEnd"/>
      <w:r>
        <w:t xml:space="preserve"> (for example the publication of data, the audit process, relationship management and lender challenge etc.). As mentioned in subsequent sections, lenders have generally, to date, undertaken similar activities to BAU around fraud detection, repayment, and enforcement activities (as would be expected given the requirements in the lender agreements). It is not possible to assess compliance levels before and after the publication of data, as data from the lender audits (see </w:t>
      </w:r>
      <w:r w:rsidR="00565003">
        <w:t xml:space="preserve">Lender audit section </w:t>
      </w:r>
      <w:r>
        <w:t xml:space="preserve">below) cannot be compared across years. </w:t>
      </w:r>
    </w:p>
    <w:p w14:paraId="4925A718" w14:textId="77777777" w:rsidR="00681D82" w:rsidRPr="005D5D23" w:rsidRDefault="00681D82" w:rsidP="00236B73">
      <w:bookmarkStart w:id="78" w:name="_Toc146230592"/>
      <w:bookmarkStart w:id="79" w:name="_Toc149801232"/>
      <w:bookmarkStart w:id="80" w:name="_Toc151016551"/>
      <w:r w:rsidRPr="00236B73">
        <w:rPr>
          <w:color w:val="142855" w:themeColor="text2"/>
        </w:rPr>
        <w:t>Lender relationships</w:t>
      </w:r>
      <w:bookmarkEnd w:id="78"/>
      <w:bookmarkEnd w:id="79"/>
      <w:bookmarkEnd w:id="80"/>
    </w:p>
    <w:p w14:paraId="4488147E" w14:textId="2138124F" w:rsidR="00681D82" w:rsidRDefault="00681D82" w:rsidP="00681D82">
      <w:r>
        <w:t>The ways in which accredited lenders were managed by the Bank altered over the course of the delivery of the BBLS. Initially</w:t>
      </w:r>
      <w:r w:rsidR="00B24314">
        <w:t>,</w:t>
      </w:r>
      <w:r>
        <w:t xml:space="preserve"> lenders would contact a different individual for each topic (for example</w:t>
      </w:r>
      <w:r w:rsidR="00223CD6">
        <w:t>,</w:t>
      </w:r>
      <w:r>
        <w:t xml:space="preserve"> one individual for the data shared, one for the audit, one for repayments etc.), and these teams within the Bank did not </w:t>
      </w:r>
      <w:r w:rsidR="0031288A">
        <w:t xml:space="preserve">always </w:t>
      </w:r>
      <w:r>
        <w:t xml:space="preserve">have a view on what requests other </w:t>
      </w:r>
      <w:r w:rsidR="005D5D23">
        <w:t>BBB</w:t>
      </w:r>
      <w:r>
        <w:t xml:space="preserve"> teams were making of accredited lenders. As the </w:t>
      </w:r>
      <w:r w:rsidR="005D5D23">
        <w:t>BBB</w:t>
      </w:r>
      <w:r>
        <w:t xml:space="preserve">’s capacity grew, an individual “relationship manager” for each accredited lender on BBLS was introduced (with the relationship manager approach already being in place for CBILS and CLBILS). The role of the relationship manager was to be the main point of contact for the lender, develop a relationship with the accredited lender, be </w:t>
      </w:r>
      <w:proofErr w:type="gramStart"/>
      <w:r>
        <w:t>in a position</w:t>
      </w:r>
      <w:proofErr w:type="gramEnd"/>
      <w:r>
        <w:t xml:space="preserve"> to represent their concerns internally within the Bank, have an understanding of all the different functions of the Covid-19 Loan Guarantee Schemes to provide a single point of contact for lenders</w:t>
      </w:r>
      <w:r w:rsidR="00457787">
        <w:t>,</w:t>
      </w:r>
      <w:r>
        <w:t xml:space="preserve"> and be able to manage performance when required.</w:t>
      </w:r>
    </w:p>
    <w:p w14:paraId="3386F845" w14:textId="0128843F" w:rsidR="00681D82" w:rsidRDefault="00681D82" w:rsidP="00681D82">
      <w:r>
        <w:t xml:space="preserve">Stakeholders at the </w:t>
      </w:r>
      <w:r w:rsidR="005D5D23">
        <w:t>BBB</w:t>
      </w:r>
      <w:r>
        <w:t xml:space="preserve"> reported that the introduction of the relationship manager role had been successful in improving engagement and agreement between the Bank and accredited lenders. This was seen as being particularly important in enabling critical processes such as the lender audit (see </w:t>
      </w:r>
      <w:r w:rsidR="00565003">
        <w:t xml:space="preserve">Lender audit section </w:t>
      </w:r>
      <w:r>
        <w:t xml:space="preserve">below) and the removal of ineligible facilities from the guarantee (see </w:t>
      </w:r>
      <w:r w:rsidR="00F66DF3">
        <w:t>Repayments section below</w:t>
      </w:r>
      <w:r>
        <w:t xml:space="preserve">). The reason this was reported to work well </w:t>
      </w:r>
      <w:r w:rsidR="5261F141">
        <w:t>was</w:t>
      </w:r>
      <w:r>
        <w:t xml:space="preserve"> that the relationship manager would have a greater understanding of the needs and capacity of the lender and therefore a greater understanding of how requests from the Bank would impact upon lenders. This understanding would help the </w:t>
      </w:r>
      <w:r w:rsidR="005D5D23">
        <w:t>BBB</w:t>
      </w:r>
      <w:r>
        <w:t xml:space="preserve"> and accredited lenders come to a consensus on challenging issues, such as whether ineligible facilities should be removed from the schemes. </w:t>
      </w:r>
    </w:p>
    <w:p w14:paraId="5BEF4861" w14:textId="664537F3" w:rsidR="00681D82" w:rsidRDefault="00681D82" w:rsidP="00681D82">
      <w:r>
        <w:lastRenderedPageBreak/>
        <w:t>Stakeholders also reported that having the relationship manager</w:t>
      </w:r>
      <w:r w:rsidR="006478A7" w:rsidDel="006478A7">
        <w:t xml:space="preserve"> </w:t>
      </w:r>
      <w:r>
        <w:t xml:space="preserve">involved in all discussions with accredited lenders helped the Bank </w:t>
      </w:r>
      <w:r w:rsidR="008607CB">
        <w:t xml:space="preserve">to </w:t>
      </w:r>
      <w:r>
        <w:t>understand the volume of requirements being placed onto accredited lenders</w:t>
      </w:r>
      <w:r w:rsidR="0076422E" w:rsidRPr="0076422E">
        <w:t xml:space="preserve"> </w:t>
      </w:r>
      <w:r w:rsidR="0076422E">
        <w:t xml:space="preserve">and supported the Bank </w:t>
      </w:r>
      <w:r w:rsidR="00720DE0">
        <w:t xml:space="preserve">by </w:t>
      </w:r>
      <w:r w:rsidR="0076422E">
        <w:t>providing a greater level of internal consistency in processes</w:t>
      </w:r>
      <w:r w:rsidR="008607CB">
        <w:t>.</w:t>
      </w:r>
      <w:r>
        <w:t xml:space="preserve"> </w:t>
      </w:r>
      <w:r w:rsidR="00720DE0">
        <w:t>This is r</w:t>
      </w:r>
      <w:r>
        <w:t xml:space="preserve">ather than the previous situation of each team in the Bank contacting/asking for information from BBLS-accredited lenders independently. Having this detailed understanding of the </w:t>
      </w:r>
      <w:r w:rsidR="005D5D23">
        <w:t>BBB</w:t>
      </w:r>
      <w:r>
        <w:t>’s requirements and how the accredited lender operated was reported to improve conversations with lenders and reduce the risks of the relationship between the lenders and the Bank breaking down.</w:t>
      </w:r>
      <w:r>
        <w:rPr>
          <w:rStyle w:val="FootnoteReference"/>
        </w:rPr>
        <w:footnoteReference w:id="26"/>
      </w:r>
    </w:p>
    <w:p w14:paraId="05B89EDD" w14:textId="08806303" w:rsidR="00681D82" w:rsidRDefault="00681D82" w:rsidP="00681D82">
      <w:r>
        <w:t xml:space="preserve">Accredited lenders interviewed were more neutral about the added value of the relationship manager role. Lenders reported that when they had a specific issue on one of the Covid-19 Loan Guarantee Schemes, they would still approach the specific team within the </w:t>
      </w:r>
      <w:r w:rsidR="005D5D23">
        <w:t>BBB</w:t>
      </w:r>
      <w:r>
        <w:t xml:space="preserve"> rather than the relationship manager (for example the data team, or the central scheme team). They reported that regular catch ups with the relationship manager did not add much due to the maturity of the schemes. Accredited lenders reported that they have fewer queries on the schemes now relative to whilst the schemes were live and were comfortable with the processes being used. Stakeholders reported that there are still a significant number of queries submitted from accredited lenders about the schemes.</w:t>
      </w:r>
    </w:p>
    <w:p w14:paraId="16B32DCC" w14:textId="77777777" w:rsidR="00681D82" w:rsidRPr="005D5D23" w:rsidRDefault="00681D82" w:rsidP="00236B73">
      <w:bookmarkStart w:id="81" w:name="_Toc146230593"/>
      <w:bookmarkStart w:id="82" w:name="_Toc149801233"/>
      <w:bookmarkStart w:id="83" w:name="_Toc151016552"/>
      <w:r w:rsidRPr="00236B73">
        <w:rPr>
          <w:color w:val="142855" w:themeColor="text2"/>
        </w:rPr>
        <w:t>Lender audit</w:t>
      </w:r>
      <w:bookmarkEnd w:id="81"/>
      <w:bookmarkEnd w:id="82"/>
      <w:bookmarkEnd w:id="83"/>
    </w:p>
    <w:p w14:paraId="179E4886" w14:textId="3528887C" w:rsidR="00681D82" w:rsidRDefault="00681D82" w:rsidP="00681D82">
      <w:r>
        <w:t>The lender audit process has been ongoing since the schemes were launched. The audit process has continued throughout the delivery of the schemes, and accredited lenders are required to participate in the audit. The topics which the audit has covered ha</w:t>
      </w:r>
      <w:r w:rsidR="05C01A1A">
        <w:t>ve</w:t>
      </w:r>
      <w:r>
        <w:t xml:space="preserve"> altered between years, and these topics are proposed and agreed by the programme boards in the audit plans</w:t>
      </w:r>
      <w:r w:rsidR="00BD5FF7">
        <w:t>.</w:t>
      </w:r>
      <w:r>
        <w:t xml:space="preserve"> </w:t>
      </w:r>
      <w:r w:rsidR="00BD5FF7">
        <w:t>F</w:t>
      </w:r>
      <w:r>
        <w:t>or example</w:t>
      </w:r>
      <w:r w:rsidR="00BD5FF7">
        <w:t>,</w:t>
      </w:r>
      <w:r>
        <w:t xml:space="preserve"> in 2021/22 the topics covered included in life events, Pay </w:t>
      </w:r>
      <w:proofErr w:type="gramStart"/>
      <w:r>
        <w:t>As</w:t>
      </w:r>
      <w:proofErr w:type="gramEnd"/>
      <w:r>
        <w:t xml:space="preserve"> You Grow (PAYG) for BBLS and recoveries, and in 2022/23 the audit focused more on collections, recoveries and claims. The number of accredited lenders that are audited each year has reduced since the first year, becoming more risk</w:t>
      </w:r>
      <w:r w:rsidR="002F20E8">
        <w:t>-</w:t>
      </w:r>
      <w:r>
        <w:t xml:space="preserve">based rather than attempting to cover all lenders. </w:t>
      </w:r>
      <w:proofErr w:type="gramStart"/>
      <w:r>
        <w:t>All of</w:t>
      </w:r>
      <w:proofErr w:type="gramEnd"/>
      <w:r>
        <w:t xml:space="preserve"> the lenders interviewed reported that they had participated in at least two audits since the schemes began and were generally satisfied with the proportionality of the lender audit process, recognising that it was an in-depth audit but that this was required given the size of the schemes and the public funding available. There were no issues or challenges raised by </w:t>
      </w:r>
      <w:r>
        <w:lastRenderedPageBreak/>
        <w:t xml:space="preserve">the lenders interviewed about the audit process, reporting that the topics and scale of the audit were appropriate. </w:t>
      </w:r>
    </w:p>
    <w:p w14:paraId="2E50FF71" w14:textId="5010294B" w:rsidR="00681D82" w:rsidRDefault="00681D82" w:rsidP="00681D82">
      <w:r>
        <w:t>As presented in the first process evaluation, where the audit highlighted areas of concern at a lender</w:t>
      </w:r>
      <w:r w:rsidR="001E7E85">
        <w:t>-level</w:t>
      </w:r>
      <w:r>
        <w:t>, the auditors provided feedback and the lenders were required to provide additional information / alter their processes within a period set by the auditors. These findings were presented at a lender collaboration meeting between the auditor and the accredited lender, and if there were any further differences of opinion or challenges at this point the relationship manager would become involved in the discussions to seek a resolution.</w:t>
      </w:r>
    </w:p>
    <w:p w14:paraId="746465D1" w14:textId="04DF0071" w:rsidR="00681D82" w:rsidRDefault="00681D82" w:rsidP="00681D82">
      <w:proofErr w:type="gramStart"/>
      <w:r>
        <w:t>The majority of</w:t>
      </w:r>
      <w:proofErr w:type="gramEnd"/>
      <w:r>
        <w:t xml:space="preserve"> accredited lenders received a positive outcome from their audit in each of the years of the schemes. In the first year of the schemes, 79% of accredited lenders received a positive outcome, in the second year 78%, and in the third year 90%. This shows that </w:t>
      </w:r>
      <w:proofErr w:type="gramStart"/>
      <w:r>
        <w:t>the majority of</w:t>
      </w:r>
      <w:proofErr w:type="gramEnd"/>
      <w:r>
        <w:t xml:space="preserve"> accredited lenders appeared to be operating within the rules of the schemes. However, care should be taken when interpreting this data, and comparisons should not be drawn between years due to the differences in sampling approach and topics covered in each year of the audit. </w:t>
      </w:r>
    </w:p>
    <w:p w14:paraId="4AA305FA" w14:textId="77777777" w:rsidR="00681D82" w:rsidRDefault="00681D82" w:rsidP="00681D82">
      <w:r>
        <w:t>However, stakeholders did raise one main challenge with the lender audit process, which was obtaining an appropriate level of engagement from accredited lenders. This was around ensuring the lenders had capacity to support the initial audit and then fully engaged with the feedback meetings and undertook the required actions which came out of the audit.</w:t>
      </w:r>
    </w:p>
    <w:p w14:paraId="6B2915D1" w14:textId="7A20A6F2" w:rsidR="00681D82" w:rsidRPr="006841B7" w:rsidRDefault="00681D82" w:rsidP="00681D82">
      <w:r>
        <w:t>It has not been possible to access more detailed data about audit outcomes due to the commercial sensitivity of the audit information. Therefore, it has not been possible to objectively explore which areas of the lender agreement lenders have struggled to comply with and areas that compliance is higher, or how effective the audits have been in driving compliance with the scheme rules.</w:t>
      </w:r>
    </w:p>
    <w:p w14:paraId="07632537" w14:textId="77777777" w:rsidR="00681D82" w:rsidRDefault="00681D82" w:rsidP="00A215B3">
      <w:pPr>
        <w:pStyle w:val="Heading2"/>
      </w:pPr>
      <w:bookmarkStart w:id="84" w:name="_Toc146230594"/>
      <w:bookmarkStart w:id="85" w:name="_Toc151549883"/>
      <w:r>
        <w:t>Repayments</w:t>
      </w:r>
      <w:bookmarkEnd w:id="84"/>
      <w:bookmarkEnd w:id="85"/>
    </w:p>
    <w:p w14:paraId="01976708" w14:textId="6F08D682" w:rsidR="00681D82" w:rsidRDefault="00681D82" w:rsidP="00681D82">
      <w:r>
        <w:t xml:space="preserve">The Covid-19 Loan Guarantee Schemes provided over 1.6 million facilities to businesses with a value of £77 billion in guaranteed loans. This section provides information about the processes used to secure repayments on these guaranteed loans and around ensuring the lender agreements around facilities with guarantees are correctly applied. The section draws on </w:t>
      </w:r>
      <w:r>
        <w:lastRenderedPageBreak/>
        <w:t xml:space="preserve">evidence from the </w:t>
      </w:r>
      <w:r w:rsidR="005D5D23">
        <w:t>BBB</w:t>
      </w:r>
      <w:r>
        <w:t>’s management information, wider literature</w:t>
      </w:r>
      <w:r w:rsidR="000F2E9C">
        <w:t>,</w:t>
      </w:r>
      <w:r>
        <w:t xml:space="preserve"> and depth interviews with stakeholders and accredited lenders.</w:t>
      </w:r>
    </w:p>
    <w:p w14:paraId="6C9081B3" w14:textId="77777777" w:rsidR="00681D82" w:rsidRPr="005D5D23" w:rsidRDefault="00681D82" w:rsidP="00236B73">
      <w:bookmarkStart w:id="86" w:name="_Toc146230596"/>
      <w:bookmarkStart w:id="87" w:name="_Toc149801235"/>
      <w:bookmarkStart w:id="88" w:name="_Toc151016554"/>
      <w:r w:rsidRPr="00236B73">
        <w:rPr>
          <w:color w:val="142855" w:themeColor="text2"/>
        </w:rPr>
        <w:t>Repayments made</w:t>
      </w:r>
      <w:bookmarkEnd w:id="86"/>
      <w:bookmarkEnd w:id="87"/>
      <w:bookmarkEnd w:id="88"/>
    </w:p>
    <w:p w14:paraId="7ECCB014" w14:textId="39212A02" w:rsidR="00681D82" w:rsidRDefault="00681D82" w:rsidP="00681D82">
      <w:r>
        <w:t xml:space="preserve">The figures below present the value of the </w:t>
      </w:r>
      <w:r w:rsidR="00364347">
        <w:t xml:space="preserve">Covid-19 Loan Guarantee Scheme </w:t>
      </w:r>
      <w:r>
        <w:t>portfolios (and the proportion of facilities) which have either been fully repaid, or payments are on schedule</w:t>
      </w:r>
      <w:r w:rsidR="00EB1AC9">
        <w:t xml:space="preserve">. They are taken from the </w:t>
      </w:r>
      <w:r w:rsidR="00EB1AC9" w:rsidRPr="00EF7E1C">
        <w:t>C</w:t>
      </w:r>
      <w:r w:rsidR="00994BE7">
        <w:t>ovid</w:t>
      </w:r>
      <w:r w:rsidR="00EB1AC9" w:rsidRPr="00EF7E1C">
        <w:t xml:space="preserve">-19 loan guarantee schemes performance data </w:t>
      </w:r>
      <w:r w:rsidR="00EB1AC9">
        <w:t>published in September 2023</w:t>
      </w:r>
      <w:r w:rsidR="008373B1">
        <w:t>. This</w:t>
      </w:r>
      <w:r w:rsidR="00EB1AC9">
        <w:t xml:space="preserve"> reflect</w:t>
      </w:r>
      <w:r w:rsidR="008373B1">
        <w:t>s</w:t>
      </w:r>
      <w:r w:rsidR="00EB1AC9">
        <w:t xml:space="preserve"> data as </w:t>
      </w:r>
      <w:r w:rsidR="001B3B74">
        <w:t>of</w:t>
      </w:r>
      <w:r w:rsidR="00EB1AC9">
        <w:t xml:space="preserve"> 30</w:t>
      </w:r>
      <w:r w:rsidR="00EB1AC9" w:rsidRPr="009E06BC">
        <w:rPr>
          <w:vertAlign w:val="superscript"/>
        </w:rPr>
        <w:t>th</w:t>
      </w:r>
      <w:r w:rsidR="00EB1AC9">
        <w:t xml:space="preserve"> June 2023</w:t>
      </w:r>
      <w:r w:rsidR="008373B1">
        <w:t xml:space="preserve"> which</w:t>
      </w:r>
      <w:r w:rsidR="00DC53BA">
        <w:t xml:space="preserve"> was the most recent</w:t>
      </w:r>
      <w:r w:rsidR="00891602">
        <w:t>ly</w:t>
      </w:r>
      <w:r w:rsidR="00DC53BA">
        <w:t xml:space="preserve"> available</w:t>
      </w:r>
      <w:r w:rsidR="00891602">
        <w:t xml:space="preserve"> at</w:t>
      </w:r>
      <w:r w:rsidR="00EB1AC9">
        <w:t xml:space="preserve"> the time of </w:t>
      </w:r>
      <w:r w:rsidR="00B265B9">
        <w:t>writing</w:t>
      </w:r>
      <w:r w:rsidR="00EB1AC9">
        <w:t xml:space="preserve"> </w:t>
      </w:r>
      <w:r w:rsidR="00A174CA">
        <w:t>this evaluation report</w:t>
      </w:r>
      <w:r w:rsidR="00DC53BA">
        <w:t>. However, it is noted that more recent performance data may be available to readers by the time this report is published</w:t>
      </w:r>
      <w:r>
        <w:t>. Th</w:t>
      </w:r>
      <w:r w:rsidR="00DC53BA">
        <w:t>e data</w:t>
      </w:r>
      <w:r>
        <w:t xml:space="preserve"> shows that:</w:t>
      </w:r>
    </w:p>
    <w:p w14:paraId="0D8BD971" w14:textId="10A6825F" w:rsidR="00681D82" w:rsidRDefault="00681D82" w:rsidP="00681D82">
      <w:pPr>
        <w:pStyle w:val="ListBullet"/>
        <w:spacing w:after="240"/>
      </w:pPr>
      <w:r>
        <w:t>22% of the value of facilities drawn have been fully repaid across all Covid-19 Loan Guarantee Schemes (£17 billion):</w:t>
      </w:r>
    </w:p>
    <w:p w14:paraId="4921865D" w14:textId="7303CEA9" w:rsidR="00681D82" w:rsidRDefault="00681D82" w:rsidP="00681D82">
      <w:pPr>
        <w:pStyle w:val="ListBullet"/>
        <w:numPr>
          <w:ilvl w:val="1"/>
          <w:numId w:val="12"/>
        </w:numPr>
        <w:spacing w:after="240"/>
      </w:pPr>
      <w:r>
        <w:t>In CBILS, 33% of the value of facilities drawn have been fully repaid (£9 billion).</w:t>
      </w:r>
    </w:p>
    <w:p w14:paraId="262C6E1C" w14:textId="748945F3" w:rsidR="00681D82" w:rsidRDefault="00681D82" w:rsidP="00681D82">
      <w:pPr>
        <w:pStyle w:val="ListBullet"/>
        <w:numPr>
          <w:ilvl w:val="1"/>
          <w:numId w:val="12"/>
        </w:numPr>
        <w:spacing w:after="240"/>
      </w:pPr>
      <w:r>
        <w:t>In CLBILS, 66% of the value of facilities drawn have been fully repaid (£3 billion).</w:t>
      </w:r>
    </w:p>
    <w:p w14:paraId="1188F739" w14:textId="251C68B5" w:rsidR="00681D82" w:rsidRDefault="00681D82" w:rsidP="00681D82">
      <w:pPr>
        <w:pStyle w:val="ListBullet"/>
        <w:numPr>
          <w:ilvl w:val="1"/>
          <w:numId w:val="12"/>
        </w:numPr>
        <w:spacing w:after="240"/>
      </w:pPr>
      <w:r>
        <w:t xml:space="preserve">In BBLS, where </w:t>
      </w:r>
      <w:proofErr w:type="gramStart"/>
      <w:r>
        <w:t>the majority of</w:t>
      </w:r>
      <w:proofErr w:type="gramEnd"/>
      <w:r>
        <w:t xml:space="preserve"> facilities (and value of the portfolio) are, 12% of the value of facilities issued has been fully repaid (£6 billion).</w:t>
      </w:r>
    </w:p>
    <w:p w14:paraId="1E316342" w14:textId="208B327D" w:rsidR="00681D82" w:rsidRDefault="00681D82" w:rsidP="00681D82">
      <w:pPr>
        <w:pStyle w:val="ListBullet"/>
        <w:spacing w:after="240"/>
      </w:pPr>
      <w:r>
        <w:t>A further 40% of the total value of Covid-19 Loan Guarantee Schemes facilities drawn is currently on schedule to be fully repaid, although the value of these facilities could fall into default in the future (£31 billion):</w:t>
      </w:r>
    </w:p>
    <w:p w14:paraId="67B9944B" w14:textId="19C3BBDF" w:rsidR="00681D82" w:rsidRDefault="00681D82" w:rsidP="00681D82">
      <w:pPr>
        <w:pStyle w:val="ListBullet"/>
        <w:numPr>
          <w:ilvl w:val="1"/>
          <w:numId w:val="12"/>
        </w:numPr>
        <w:spacing w:after="240"/>
      </w:pPr>
      <w:r>
        <w:t>In CBILS, 37% of the value of facilities drawn is on schedule (£10 billion).</w:t>
      </w:r>
    </w:p>
    <w:p w14:paraId="557AFFB9" w14:textId="15CBF22B" w:rsidR="00681D82" w:rsidRDefault="00681D82" w:rsidP="00681D82">
      <w:pPr>
        <w:pStyle w:val="ListBullet"/>
        <w:numPr>
          <w:ilvl w:val="1"/>
          <w:numId w:val="12"/>
        </w:numPr>
        <w:spacing w:after="240"/>
      </w:pPr>
      <w:r>
        <w:t>In CLBILS, 21% of the value of facilities drawn is on schedule (£1 billion).</w:t>
      </w:r>
    </w:p>
    <w:p w14:paraId="6AB14D6C" w14:textId="1BF97D52" w:rsidR="00681D82" w:rsidRDefault="00681D82" w:rsidP="00681D82">
      <w:pPr>
        <w:pStyle w:val="ListBullet"/>
        <w:numPr>
          <w:ilvl w:val="1"/>
          <w:numId w:val="12"/>
        </w:numPr>
        <w:spacing w:after="240"/>
      </w:pPr>
      <w:r>
        <w:t>In BBLS, 44% of the value of facilities drawn is on schedule (£20 billion).</w:t>
      </w:r>
    </w:p>
    <w:p w14:paraId="7EC26918" w14:textId="60D9E534" w:rsidR="00681D82" w:rsidRDefault="00681D82" w:rsidP="00681D82">
      <w:r>
        <w:t xml:space="preserve">These figures show that of the £77 billion in drawn facilities as part of the Covid-19 Loan Guarantee Schemes, 22% </w:t>
      </w:r>
      <w:r w:rsidR="00323FBE">
        <w:t xml:space="preserve">of this total value </w:t>
      </w:r>
      <w:r>
        <w:t xml:space="preserve">has so far been fully repaid and is not at risk of default or guarantee claims (£17 billion). </w:t>
      </w:r>
      <w:r w:rsidR="00323FBE">
        <w:t xml:space="preserve">This does not include partial repayments for facilities where full payment has not yet been provided. </w:t>
      </w:r>
      <w:r>
        <w:t xml:space="preserve">A further 40% </w:t>
      </w:r>
      <w:r w:rsidR="00323FBE">
        <w:t xml:space="preserve">of the total drawn value </w:t>
      </w:r>
      <w:r>
        <w:t xml:space="preserve">(£31 billion) is on schedule, although this could fall into default in the future. The variation by scheme </w:t>
      </w:r>
      <w:r>
        <w:lastRenderedPageBreak/>
        <w:t>shows that for BBLS the total values fully repaid are below those percentages (at 12%), which accredited lenders and stakeholders attributed to the design of the BBLS (for example</w:t>
      </w:r>
      <w:r w:rsidR="00DD2352">
        <w:t>,</w:t>
      </w:r>
      <w:r>
        <w:t xml:space="preserve"> the extended repayment period) and the application and assessment process. The risk of higher default rates on the BBLS was identified during the scheme design phase and has been accepted at a political level through the ministerial direction agreed for the scheme.</w:t>
      </w:r>
    </w:p>
    <w:p w14:paraId="3B966EBD" w14:textId="65C3A5B0" w:rsidR="00C26DB3" w:rsidRDefault="00C26DB3" w:rsidP="00F2246F">
      <w:pPr>
        <w:pStyle w:val="Heading5"/>
      </w:pPr>
      <w:r>
        <w:t xml:space="preserve">Figure </w:t>
      </w:r>
      <w:fldSimple w:instr=" SEQ Figure \* ARABIC ">
        <w:r w:rsidR="00397D49">
          <w:rPr>
            <w:noProof/>
          </w:rPr>
          <w:t>4</w:t>
        </w:r>
      </w:fldSimple>
      <w:r>
        <w:t>:</w:t>
      </w:r>
      <w:r w:rsidRPr="00C26DB3">
        <w:t xml:space="preserve"> </w:t>
      </w:r>
      <w:r>
        <w:t>Number of facilities fully repaid and on schedule</w:t>
      </w:r>
    </w:p>
    <w:p w14:paraId="0346BDA0" w14:textId="77777777" w:rsidR="00681D82" w:rsidRDefault="00681D82" w:rsidP="00681D82">
      <w:r>
        <w:rPr>
          <w:noProof/>
        </w:rPr>
        <w:drawing>
          <wp:inline distT="0" distB="0" distL="0" distR="0" wp14:anchorId="77043AD1" wp14:editId="3D10ADDB">
            <wp:extent cx="6369050" cy="2787091"/>
            <wp:effectExtent l="0" t="0" r="0" b="0"/>
            <wp:docPr id="562697241" name="Chart 1" descr="As of June 2023, 66.5% of Covid-19 Loan Guarantee Scheme facilities are on schedule to be repaid, with 12.0% having been fully repaid. For CBILS, 62.6% of facilities are on schedule to be repaid, with 30.0% having been fully repaid. For CLBILS, 36.9% of facilities are on schedule to be repaid, with 61.0% having been fully repaid. For BBLS, 64.8% of facilities are on schedule to be repaid, and 11.5% have been fully repaid.">
              <a:extLst xmlns:a="http://schemas.openxmlformats.org/drawingml/2006/main">
                <a:ext uri="{FF2B5EF4-FFF2-40B4-BE49-F238E27FC236}">
                  <a16:creationId xmlns:a16="http://schemas.microsoft.com/office/drawing/2014/main" id="{A9708157-929F-1ADE-ABF9-4014122B4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E558FF" w14:textId="67741A35" w:rsidR="00681D82" w:rsidRDefault="005F0455" w:rsidP="00236B73">
      <w:pPr>
        <w:pStyle w:val="Caption"/>
      </w:pPr>
      <w:r>
        <w:t xml:space="preserve">Source: </w:t>
      </w:r>
      <w:r w:rsidR="005D5D23">
        <w:t>BBB</w:t>
      </w:r>
      <w:r w:rsidR="00681D82">
        <w:t xml:space="preserve"> Management Information, Ju</w:t>
      </w:r>
      <w:r w:rsidR="001D0EDF">
        <w:t>ne</w:t>
      </w:r>
      <w:r w:rsidR="00681D82">
        <w:t xml:space="preserve"> 2023 (published September 2023)</w:t>
      </w:r>
    </w:p>
    <w:p w14:paraId="4F10345C" w14:textId="114CEAD1" w:rsidR="00C26DB3" w:rsidRDefault="00C26DB3" w:rsidP="00F2246F">
      <w:pPr>
        <w:pStyle w:val="Heading5"/>
      </w:pPr>
      <w:r>
        <w:lastRenderedPageBreak/>
        <w:t xml:space="preserve">Figure </w:t>
      </w:r>
      <w:fldSimple w:instr=" SEQ Figure \* ARABIC ">
        <w:r w:rsidR="00397D49">
          <w:rPr>
            <w:noProof/>
          </w:rPr>
          <w:t>5</w:t>
        </w:r>
      </w:fldSimple>
      <w:r>
        <w:t xml:space="preserve">: Value of </w:t>
      </w:r>
      <w:r w:rsidR="00095DE3">
        <w:t>fully repaid facilities</w:t>
      </w:r>
      <w:r>
        <w:t xml:space="preserve"> and outstanding balance for on schedule facilities</w:t>
      </w:r>
      <w:r w:rsidR="002D7A5F">
        <w:rPr>
          <w:rStyle w:val="FootnoteReference"/>
        </w:rPr>
        <w:footnoteReference w:id="27"/>
      </w:r>
    </w:p>
    <w:p w14:paraId="033ABB66" w14:textId="511FE620" w:rsidR="00681D82" w:rsidRDefault="00095DE3" w:rsidP="00681D82">
      <w:r>
        <w:rPr>
          <w:noProof/>
        </w:rPr>
        <w:drawing>
          <wp:inline distT="0" distB="0" distL="0" distR="0" wp14:anchorId="4FCC2BE5" wp14:editId="125D30DA">
            <wp:extent cx="6368415" cy="2991917"/>
            <wp:effectExtent l="0" t="0" r="0" b="0"/>
            <wp:docPr id="100838314" name="Chart 1" descr="As of June 2023, 40.2% of the total monetary value of the Covid-19 Loan Guarantee Scheme is on schedule to be repaid, 22.4% has been fully repaid, 2.9% is in arrears and 1.0% is in default. For CBILS, 37.1% of the monetary value of facilities is on schedule to be repaid, 33.5% has been fully repaid, 1.0% is in arrears and 0.9% is in default. For CLBILS, 21.1% of the monetary value of facilities is on schedule to be repaid, 66.2% has been fully repaid, 0.1% is in arrears and 0.1% is in default. For BBLS, 43.7% of the monetary value of facilities is on schedule to be repaid, 12.0% has been been fully repaid, 4.2% is in arrears and 1.1% is in default.">
              <a:extLst xmlns:a="http://schemas.openxmlformats.org/drawingml/2006/main">
                <a:ext uri="{FF2B5EF4-FFF2-40B4-BE49-F238E27FC236}">
                  <a16:creationId xmlns:a16="http://schemas.microsoft.com/office/drawing/2014/main" id="{37FB6339-D22C-DA60-0E85-08C25D406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F33E0AA" w14:textId="6C1E470E" w:rsidR="00681D82" w:rsidRDefault="005F0455" w:rsidP="00236B73">
      <w:pPr>
        <w:pStyle w:val="Caption"/>
      </w:pPr>
      <w:r>
        <w:t xml:space="preserve">Source: </w:t>
      </w:r>
      <w:r w:rsidR="005D5D23">
        <w:t>BBB</w:t>
      </w:r>
      <w:r w:rsidR="00681D82">
        <w:t xml:space="preserve"> Management Information, Ju</w:t>
      </w:r>
      <w:r w:rsidR="001D0EDF">
        <w:t>ne</w:t>
      </w:r>
      <w:r w:rsidR="00681D82">
        <w:t xml:space="preserve"> 2023 (published September 2023)</w:t>
      </w:r>
    </w:p>
    <w:p w14:paraId="043EC4D6" w14:textId="642A4040" w:rsidR="00681D82" w:rsidRDefault="00681D82" w:rsidP="00681D82">
      <w:r>
        <w:t xml:space="preserve">Although </w:t>
      </w:r>
      <w:proofErr w:type="gramStart"/>
      <w:r>
        <w:t>the majority of</w:t>
      </w:r>
      <w:proofErr w:type="gramEnd"/>
      <w:r>
        <w:t xml:space="preserve"> the portfolio value of the Covid-19 Loan Guarantee Schemes have either been fully </w:t>
      </w:r>
      <w:r w:rsidDel="007D68B6">
        <w:t xml:space="preserve">repaid </w:t>
      </w:r>
      <w:r>
        <w:t xml:space="preserve">or are on schedule, 15% of the total value of the facilities drawn (or 23% of </w:t>
      </w:r>
      <w:r w:rsidR="00163B45">
        <w:t xml:space="preserve">the total volume of </w:t>
      </w:r>
      <w:r>
        <w:t xml:space="preserve">facilities) have fallen into arrears or have defaulted (including those that have progressed to the accredited lender making a claim or settling a claim with the </w:t>
      </w:r>
      <w:r w:rsidR="005D5D23">
        <w:t>BBB</w:t>
      </w:r>
      <w:r>
        <w:t>). The value of facilities that have defaulted (including facilities that have been settled and claimed) or are in arrears in the Covid-19 Loan Guarantee Schemes are (as of Ju</w:t>
      </w:r>
      <w:r w:rsidR="005823B4">
        <w:t>ne</w:t>
      </w:r>
      <w:r>
        <w:t xml:space="preserve"> 2023):</w:t>
      </w:r>
    </w:p>
    <w:p w14:paraId="7711FF82" w14:textId="061999C3" w:rsidR="00681D82" w:rsidRDefault="00681D82" w:rsidP="00681D82">
      <w:pPr>
        <w:pStyle w:val="ListBullet"/>
        <w:spacing w:after="240"/>
      </w:pPr>
      <w:r>
        <w:t>22% of the value of BBLS (£10.4 billion)</w:t>
      </w:r>
    </w:p>
    <w:p w14:paraId="08842028" w14:textId="5E6F2542" w:rsidR="00681D82" w:rsidRDefault="00681D82" w:rsidP="00681D82">
      <w:pPr>
        <w:pStyle w:val="ListBullet"/>
        <w:spacing w:after="240"/>
      </w:pPr>
      <w:r>
        <w:t>4% of the value of CBILS (£1.1 billion)</w:t>
      </w:r>
    </w:p>
    <w:p w14:paraId="4FD250CF" w14:textId="77777777" w:rsidR="00681D82" w:rsidRDefault="00681D82" w:rsidP="00681D82">
      <w:pPr>
        <w:pStyle w:val="ListBullet"/>
        <w:spacing w:after="240"/>
      </w:pPr>
      <w:r>
        <w:t>1% of the value of CLBILS (£46 million)</w:t>
      </w:r>
    </w:p>
    <w:p w14:paraId="5272EA78" w14:textId="344775E4" w:rsidR="00681D82" w:rsidRDefault="00681D82" w:rsidP="00681D82">
      <w:r>
        <w:lastRenderedPageBreak/>
        <w:t>The average proportion of facilities that fall into arrears</w:t>
      </w:r>
      <w:r w:rsidR="002D7A5F">
        <w:t xml:space="preserve"> or default</w:t>
      </w:r>
      <w:r>
        <w:t xml:space="preserve"> in commercial lending is around 2%</w:t>
      </w:r>
      <w:r>
        <w:rPr>
          <w:rStyle w:val="FootnoteReference"/>
        </w:rPr>
        <w:footnoteReference w:id="28"/>
      </w:r>
      <w:r w:rsidR="001D0EDF">
        <w:t>,</w:t>
      </w:r>
      <w:r>
        <w:t xml:space="preserve"> which has remained </w:t>
      </w:r>
      <w:proofErr w:type="gramStart"/>
      <w:r>
        <w:t>fairly steady</w:t>
      </w:r>
      <w:proofErr w:type="gramEnd"/>
      <w:r>
        <w:t xml:space="preserve"> both before and after the Covid</w:t>
      </w:r>
      <w:r w:rsidR="4863A393">
        <w:t>-19</w:t>
      </w:r>
      <w:r>
        <w:t xml:space="preserve"> pandemic. Around half of these facilities would be expected to enter default. </w:t>
      </w:r>
    </w:p>
    <w:p w14:paraId="1D99CC32" w14:textId="68F536FB" w:rsidR="00681D82" w:rsidRDefault="00681D82" w:rsidP="00681D82">
      <w:r>
        <w:t xml:space="preserve">Therefore, the proportion of </w:t>
      </w:r>
      <w:r w:rsidR="00163B45">
        <w:t xml:space="preserve">the total volume of </w:t>
      </w:r>
      <w:r>
        <w:t xml:space="preserve">facilities in arrears or defaulted in the Covid-19 Loan Guarantee Schemes is around three times higher than would be expected in commercial SME lending in the UK for CBILS (at 7% of </w:t>
      </w:r>
      <w:r w:rsidR="00163B45">
        <w:t xml:space="preserve">total volume of </w:t>
      </w:r>
      <w:r>
        <w:t xml:space="preserve">facilities), and around 12 times higher in BBLS (at 24% of </w:t>
      </w:r>
      <w:r w:rsidR="00163B45">
        <w:t xml:space="preserve">the total volume of </w:t>
      </w:r>
      <w:r>
        <w:t xml:space="preserve">facilities) than would be expected for commercial lending to SMEs in the UK. However, at the outset of the schemes, the </w:t>
      </w:r>
      <w:r w:rsidR="005D5D23">
        <w:t>BBB</w:t>
      </w:r>
      <w:r>
        <w:t xml:space="preserve"> anticipated higher rates of default on the schemes than in commercial lending. As mentioned above, for BBLS the Bank modelled multiple scenarios including a 25% default rate. This indicates that the current 2</w:t>
      </w:r>
      <w:r w:rsidR="00095DE3">
        <w:t>2</w:t>
      </w:r>
      <w:r>
        <w:t>%</w:t>
      </w:r>
      <w:r w:rsidR="002D7A5F">
        <w:t xml:space="preserve"> of total drawn value (and 24% of total volume of facilities) in arrears</w:t>
      </w:r>
      <w:r>
        <w:t xml:space="preserve"> and default were not outside the initial expectations for the schemes. </w:t>
      </w:r>
    </w:p>
    <w:p w14:paraId="713A9A6D" w14:textId="7614D16C" w:rsidR="00681D82" w:rsidRDefault="00681D82" w:rsidP="00681D82">
      <w:r>
        <w:t xml:space="preserve">The accredited lenders interviewed suggested that their own arrears and default rates on CBILS and CLBILS were broadly in line with business-as-usual commercial </w:t>
      </w:r>
      <w:proofErr w:type="gramStart"/>
      <w:r>
        <w:t>lending, because</w:t>
      </w:r>
      <w:proofErr w:type="gramEnd"/>
      <w:r>
        <w:t xml:space="preserve"> they still felt they had a stake in the facility and the assessment criteria they used were more in line with commercial lending assessments than those used for BBLS (where the assessment was largely based on</w:t>
      </w:r>
      <w:r w:rsidR="008B54E7">
        <w:t xml:space="preserve"> borrower</w:t>
      </w:r>
      <w:r>
        <w:t xml:space="preserve"> </w:t>
      </w:r>
      <w:r w:rsidR="002E123D">
        <w:t>self-certification</w:t>
      </w:r>
      <w:r>
        <w:t xml:space="preserve"> of eligibility). They stated that the higher rate of arrears and defaults on the BBLS was expected because the usual checks that lenders undertook to ensure businesses could repay the loan were not required as part of the scheme. As mentioned above, this risk was identified at the outset of the scheme and accepted. </w:t>
      </w:r>
    </w:p>
    <w:p w14:paraId="7D8B7462" w14:textId="1F2353E6" w:rsidR="00C26DB3" w:rsidRDefault="00C26DB3" w:rsidP="00F2246F">
      <w:pPr>
        <w:pStyle w:val="Heading5"/>
      </w:pPr>
      <w:r>
        <w:lastRenderedPageBreak/>
        <w:t xml:space="preserve">Figure </w:t>
      </w:r>
      <w:fldSimple w:instr=" SEQ Figure \* ARABIC ">
        <w:r w:rsidR="00397D49">
          <w:rPr>
            <w:noProof/>
          </w:rPr>
          <w:t>6</w:t>
        </w:r>
      </w:fldSimple>
      <w:r>
        <w:t xml:space="preserve">: Proportion of </w:t>
      </w:r>
      <w:r w:rsidR="002D7A5F">
        <w:t xml:space="preserve">total volume of </w:t>
      </w:r>
      <w:r>
        <w:t xml:space="preserve">facilities </w:t>
      </w:r>
      <w:r w:rsidR="002D7A5F">
        <w:t xml:space="preserve">offered </w:t>
      </w:r>
      <w:r>
        <w:t>in arrears, defaulted, settled and claimed</w:t>
      </w:r>
    </w:p>
    <w:p w14:paraId="6F8A769D" w14:textId="77777777" w:rsidR="00681D82" w:rsidRDefault="00681D82" w:rsidP="00681D82">
      <w:r>
        <w:rPr>
          <w:noProof/>
        </w:rPr>
        <w:drawing>
          <wp:inline distT="0" distB="0" distL="0" distR="0" wp14:anchorId="379BCF07" wp14:editId="44971CB2">
            <wp:extent cx="6413500" cy="3121025"/>
            <wp:effectExtent l="0" t="0" r="0" b="0"/>
            <wp:docPr id="2018134455" name="Chart 1" descr="As of June 2023, 5.8% of the Covid-19 Loan Guarantee Scheme facilities are in arrears, 1.8% are in default, 2.4% have been &quot;Cliamed&quot; and 11.5% have been &quot;Settled&quot;. For CBILS, 1.4% of facilities are in arrears, 1.3% are in default, 0.9% have been &quot;Claimed&quot; and 3.7% have been &quot;Settled&quot;. For CLBILS, 0.4% of facilities are in arrears, 0.3% are in default, 0.4% have been &quot;Claimed&quot; and1.0% have been &quot;Settled&quot;. For BBLS, 5.5% of facilities are in arrears, 1.3% are in default, 2.3% have been &quot;Claimed&quot; and 14.5% have been &quot;Settled&quot;. ">
              <a:extLst xmlns:a="http://schemas.openxmlformats.org/drawingml/2006/main">
                <a:ext uri="{FF2B5EF4-FFF2-40B4-BE49-F238E27FC236}">
                  <a16:creationId xmlns:a16="http://schemas.microsoft.com/office/drawing/2014/main" id="{916CD6D6-5791-734C-06A9-F985DA418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605BC7" w14:textId="224B2B81" w:rsidR="00C26DB3" w:rsidRDefault="005F0455" w:rsidP="00236B73">
      <w:pPr>
        <w:pStyle w:val="Caption"/>
      </w:pPr>
      <w:r>
        <w:t xml:space="preserve">Source: </w:t>
      </w:r>
      <w:r w:rsidR="005D5D23">
        <w:t>BBB</w:t>
      </w:r>
      <w:r w:rsidR="00681D82">
        <w:t xml:space="preserve"> Management Information, Ju</w:t>
      </w:r>
      <w:r w:rsidR="001D0EDF">
        <w:t>ne</w:t>
      </w:r>
      <w:r w:rsidR="00681D82">
        <w:t xml:space="preserve"> 2023 (published September 2023)</w:t>
      </w:r>
    </w:p>
    <w:p w14:paraId="76ADD594" w14:textId="2208A6EC" w:rsidR="00C26DB3" w:rsidRDefault="00C26DB3" w:rsidP="00F2246F">
      <w:pPr>
        <w:pStyle w:val="Heading5"/>
      </w:pPr>
      <w:r>
        <w:t xml:space="preserve">Figure </w:t>
      </w:r>
      <w:fldSimple w:instr=" SEQ Figure \* ARABIC ">
        <w:r w:rsidR="00397D49">
          <w:rPr>
            <w:noProof/>
          </w:rPr>
          <w:t>7</w:t>
        </w:r>
      </w:fldSimple>
      <w:r>
        <w:t>: Outstanding and settled value on facilities in arrears, defaulted, settled and claimed facilities</w:t>
      </w:r>
      <w:r w:rsidR="002D7A5F">
        <w:t xml:space="preserve"> as a percentage of total drawn value</w:t>
      </w:r>
    </w:p>
    <w:p w14:paraId="775BCF86" w14:textId="1CB859F9" w:rsidR="00681D82" w:rsidRDefault="00681D82" w:rsidP="00681D82">
      <w:r>
        <w:rPr>
          <w:noProof/>
        </w:rPr>
        <w:drawing>
          <wp:inline distT="0" distB="0" distL="0" distR="0" wp14:anchorId="065FF967" wp14:editId="7EB1ECC0">
            <wp:extent cx="6350000" cy="3417570"/>
            <wp:effectExtent l="0" t="0" r="0" b="0"/>
            <wp:docPr id="925469001" name="Chart 1" descr="As of June 2023, 2.9% of the total monetary value of the Covid-19 Loan Guarantee Scheme is in arrears, 1.0% is in default, 1.5% has been &quot;Claimed&quot; and 9.6% has been &quot;Settled&quot;. For CBILS, 1.0% of the total monetary value is in arrears, 0.9% is in default, 0.4% has been &quot;Claimed&quot; and 1.8% has been &quot;Settled&quot;. For CLBILS, 0.1% is in arrears, 0.1% is in default, 0.4% has been &quot;Claimed&quot; and 0.4% has been &quot;Settled&quot;. For BBLS, 4.2% of the monetary value of facilities is in arrears, 1.1% is in default, 2.1% has been &quot;Claimed&quot; and 14.8% has been &quot;Settled&quot;.">
              <a:extLst xmlns:a="http://schemas.openxmlformats.org/drawingml/2006/main">
                <a:ext uri="{FF2B5EF4-FFF2-40B4-BE49-F238E27FC236}">
                  <a16:creationId xmlns:a16="http://schemas.microsoft.com/office/drawing/2014/main" id="{34A1CB70-596E-7339-2428-3C4C62CC4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354124" w14:textId="38D0B20E" w:rsidR="00681D82" w:rsidRDefault="005F0455" w:rsidP="00236B73">
      <w:pPr>
        <w:pStyle w:val="Caption"/>
      </w:pPr>
      <w:r>
        <w:lastRenderedPageBreak/>
        <w:t xml:space="preserve">Source: </w:t>
      </w:r>
      <w:r w:rsidR="005D5D23">
        <w:t>BBB</w:t>
      </w:r>
      <w:r w:rsidR="00681D82">
        <w:t xml:space="preserve"> Management Information, Ju</w:t>
      </w:r>
      <w:r w:rsidR="001D0EDF">
        <w:t>ne</w:t>
      </w:r>
      <w:r w:rsidR="00681D82">
        <w:t xml:space="preserve"> 2023 (published September 2023)</w:t>
      </w:r>
    </w:p>
    <w:p w14:paraId="4E10C67D" w14:textId="77777777" w:rsidR="00681D82" w:rsidRPr="005D5D23" w:rsidRDefault="00681D82" w:rsidP="00236B73">
      <w:bookmarkStart w:id="89" w:name="_Toc146230597"/>
      <w:bookmarkStart w:id="90" w:name="_Toc149801236"/>
      <w:bookmarkStart w:id="91" w:name="_Toc151016555"/>
      <w:r w:rsidRPr="00236B73">
        <w:rPr>
          <w:color w:val="142855" w:themeColor="text2"/>
        </w:rPr>
        <w:t>Approaches used to secure repayments</w:t>
      </w:r>
      <w:bookmarkEnd w:id="89"/>
      <w:bookmarkEnd w:id="90"/>
      <w:bookmarkEnd w:id="91"/>
    </w:p>
    <w:p w14:paraId="749B7D07" w14:textId="7123F731" w:rsidR="00681D82" w:rsidRDefault="00681D82" w:rsidP="00681D82">
      <w:r w:rsidRPr="001572EE">
        <w:t>In line with the lender agreement</w:t>
      </w:r>
      <w:r>
        <w:t>s</w:t>
      </w:r>
      <w:r w:rsidRPr="001572EE">
        <w:t>, lenders were expected to use business-as-usual processes</w:t>
      </w:r>
      <w:r>
        <w:t xml:space="preserve"> and adhere to minimum requirements</w:t>
      </w:r>
      <w:r w:rsidRPr="001572EE">
        <w:t xml:space="preserve"> for </w:t>
      </w:r>
      <w:r>
        <w:t xml:space="preserve">collecting </w:t>
      </w:r>
      <w:r w:rsidRPr="001572EE">
        <w:t xml:space="preserve">repayments. The results of the lender audits in year </w:t>
      </w:r>
      <w:r>
        <w:t>three</w:t>
      </w:r>
      <w:r w:rsidRPr="001572EE">
        <w:t xml:space="preserve"> indicate that </w:t>
      </w:r>
      <w:r>
        <w:t>90%</w:t>
      </w:r>
      <w:r w:rsidRPr="001572EE">
        <w:t xml:space="preserve"> of lenders were compliant with these requirements</w:t>
      </w:r>
      <w:r>
        <w:t>.</w:t>
      </w:r>
      <w:r>
        <w:rPr>
          <w:rStyle w:val="FootnoteReference"/>
        </w:rPr>
        <w:footnoteReference w:id="29"/>
      </w:r>
      <w:r w:rsidRPr="001572EE">
        <w:t xml:space="preserve"> </w:t>
      </w:r>
      <w:r>
        <w:t>Lenders and stakeholders also reported limited differences in their approaches to securing repayments for the Covid-19 Loan Guarantee Schemes compared to their BAU approaches in the qualitative research. This should be expected as lenders were not required to introduce additional processes to collect repayments for the schemes. Both lenders and stakeholders felt the approaches to securing repayments were appropriate for the schemes as these are the processes they use for commercial lending, and additional effort to recover these funds would not be commercially viable. The accredited lenders interviewed reported that the arrears rate</w:t>
      </w:r>
      <w:r w:rsidR="002E75AB">
        <w:t>s</w:t>
      </w:r>
      <w:r>
        <w:t xml:space="preserve"> observed were largely </w:t>
      </w:r>
      <w:proofErr w:type="gramStart"/>
      <w:r>
        <w:t>as a result of</w:t>
      </w:r>
      <w:proofErr w:type="gramEnd"/>
      <w:r>
        <w:t xml:space="preserve"> the scheme designs. Other factors which lenders suggested may have had an impact on arrears rates were some lingering effects of the Covid-19 pandemic and new challenges facing businesses (for example</w:t>
      </w:r>
      <w:r w:rsidR="00E5028D">
        <w:t>,</w:t>
      </w:r>
      <w:r>
        <w:t xml:space="preserve"> increasing costs and the </w:t>
      </w:r>
      <w:proofErr w:type="gramStart"/>
      <w:r>
        <w:t>cost of living</w:t>
      </w:r>
      <w:proofErr w:type="gramEnd"/>
      <w:r>
        <w:t xml:space="preserve"> crisis, the war in Ukraine and impacts resulting from the UK’s exit from the European Union). These issues were impacting on business performance and their ability to service the debt from the Covid-19 Loan Guarantee Schemes.</w:t>
      </w:r>
    </w:p>
    <w:p w14:paraId="0C186AA9" w14:textId="64493170" w:rsidR="00681D82" w:rsidRDefault="00681D82" w:rsidP="00681D82">
      <w:r>
        <w:t xml:space="preserve">At the time of the evaluation research, the </w:t>
      </w:r>
      <w:r w:rsidR="005D5D23">
        <w:t>BBB</w:t>
      </w:r>
      <w:r>
        <w:t xml:space="preserve"> and DBT had recently launched some recovery pilot schemes for BBLS (with further pilot activities planned) to try to increase the proportion of facilities (and value of funds) reclaimed from borrowers that are in arrears or have defaulted. However, as these have only been designed and launched recently (within 2023), these have not been explored at this stage of the process evaluation. As mentioned above, accredited lenders reported that their existing approaches were commercially viable, so these pilots should be seen as mechanisms to explore whether different approaches can demonstrate value for money to the Government.</w:t>
      </w:r>
    </w:p>
    <w:p w14:paraId="6FB6CFBA" w14:textId="77777777" w:rsidR="00791D50" w:rsidRDefault="00791D50" w:rsidP="00236B73">
      <w:pPr>
        <w:rPr>
          <w:color w:val="142855" w:themeColor="text2"/>
        </w:rPr>
      </w:pPr>
      <w:bookmarkStart w:id="92" w:name="_Toc146230598"/>
      <w:bookmarkStart w:id="93" w:name="_Toc149801237"/>
      <w:bookmarkStart w:id="94" w:name="_Toc151016556"/>
    </w:p>
    <w:p w14:paraId="1FC08547" w14:textId="3E056314" w:rsidR="00681D82" w:rsidRPr="005D5D23" w:rsidRDefault="00681D82" w:rsidP="00236B73">
      <w:r w:rsidRPr="00236B73">
        <w:rPr>
          <w:color w:val="142855" w:themeColor="text2"/>
        </w:rPr>
        <w:lastRenderedPageBreak/>
        <w:t>Removal of guarantees</w:t>
      </w:r>
      <w:bookmarkEnd w:id="92"/>
      <w:bookmarkEnd w:id="93"/>
      <w:bookmarkEnd w:id="94"/>
    </w:p>
    <w:p w14:paraId="37C5AAE4" w14:textId="41152041" w:rsidR="00681D82" w:rsidRDefault="00681D82" w:rsidP="00681D82">
      <w:r>
        <w:t xml:space="preserve">The </w:t>
      </w:r>
      <w:r w:rsidR="005D5D23">
        <w:t>BBB</w:t>
      </w:r>
      <w:r>
        <w:t xml:space="preserve"> introduced a process for removing the guarantee from loans that were ineligible for the </w:t>
      </w:r>
      <w:proofErr w:type="gramStart"/>
      <w:r>
        <w:t>guarantee, and</w:t>
      </w:r>
      <w:proofErr w:type="gramEnd"/>
      <w:r>
        <w:t xml:space="preserve"> had been determined to be ineligible </w:t>
      </w:r>
      <w:r w:rsidR="450A9A95">
        <w:t>for</w:t>
      </w:r>
      <w:r>
        <w:t xml:space="preserve"> the Covid-19 Loan Guarantee Schemes and/or breached scheme rules.</w:t>
      </w:r>
      <w:r>
        <w:rPr>
          <w:rStyle w:val="FootnoteReference"/>
        </w:rPr>
        <w:footnoteReference w:id="30"/>
      </w:r>
      <w:r>
        <w:t xml:space="preserve"> There are different reasons for the removal of the guarantee, but essentially the guarantee has been applied to the loan when it should not have been given the scheme rules. These reasons were reported to be human and administrative error, for example approving facilities for companies that did not meet the scheme criteria (ineligible sector, or ineligible due to company formation date), or </w:t>
      </w:r>
      <w:r w:rsidR="35ED80AF">
        <w:t xml:space="preserve">which </w:t>
      </w:r>
      <w:r>
        <w:t xml:space="preserve">were a duplicate facility. Ineligible facilities are identified by the </w:t>
      </w:r>
      <w:r w:rsidR="005D5D23">
        <w:t>BBB</w:t>
      </w:r>
      <w:r>
        <w:t xml:space="preserve"> through an inspection of monitoring data submitted by accredited lenders and an analysis of the CIFAS database. The use of the CIFAS database is compulsory for the BBLS, but some lenders reported using the database for CBILS and CLBILS as well. </w:t>
      </w:r>
    </w:p>
    <w:p w14:paraId="3539CC36" w14:textId="3AACE11A" w:rsidR="00681D82" w:rsidRDefault="00681D82" w:rsidP="00681D82">
      <w:r>
        <w:t xml:space="preserve">Where an ineligible facility is identified, the relationship manager will discuss the individual loans with the lender, presenting that the loans were ineligible for the scheme and developing a common understanding of whether the loan should be removed from the Covid-19 Loan Guarantee Schemes. </w:t>
      </w:r>
    </w:p>
    <w:p w14:paraId="055C163A" w14:textId="7D47465F" w:rsidR="00681D82" w:rsidRDefault="00681D82" w:rsidP="00681D82">
      <w:r>
        <w:t>This process was reported to work well by stakeholders, both in terms of the identification of ineligible facilities through the data review and the relationship managers</w:t>
      </w:r>
      <w:r w:rsidR="70FF2C90">
        <w:t>’</w:t>
      </w:r>
      <w:r>
        <w:t xml:space="preserve"> conversations with accredited lenders. Stakeholders reported that in general lenders accepted the reasons why loans were ineligible and were satisfied that these should be removed. For more complicated cases, a level of mediation and negotiation was required from the relationship manager, as stakeholders felt it was important to generate a consensus on the removal of guarantees rather than taking an adversarial approach. </w:t>
      </w:r>
    </w:p>
    <w:p w14:paraId="38CD640C" w14:textId="35091B42" w:rsidR="00681D82" w:rsidRDefault="00681D82" w:rsidP="00681D82">
      <w:r>
        <w:t>The relationship manager role was seen as being important in these discussions, as the relationship manager had built up trust with the lender and can also understand their point of view given their understanding of how the lender works, but balances this with the needs of the Bank and the schemes. At the time of the evaluation, stakeholders reported that no cases had led to serious dispute between the Bank and any accredited lender.</w:t>
      </w:r>
    </w:p>
    <w:p w14:paraId="3A83E3F2" w14:textId="62833D72" w:rsidR="00681D82" w:rsidRDefault="00681D82" w:rsidP="00681D82">
      <w:r>
        <w:lastRenderedPageBreak/>
        <w:t xml:space="preserve">Once agreement is reached between the accredited lender and the </w:t>
      </w:r>
      <w:r w:rsidR="005D5D23">
        <w:t>BBB</w:t>
      </w:r>
      <w:r>
        <w:t xml:space="preserve"> about the need to remove a guarantee, the lender would remove the guarantee from their portfolio and report this back to the Bank’s data portal, meaning the loan has been removed from the</w:t>
      </w:r>
      <w:r w:rsidRPr="001766FC">
        <w:t xml:space="preserve"> </w:t>
      </w:r>
      <w:r>
        <w:t xml:space="preserve">Covid-19 Loan Guarantee Schemes. There were no issues or challenges reported with this process. </w:t>
      </w:r>
    </w:p>
    <w:p w14:paraId="70CC8E9B" w14:textId="1D749EE1" w:rsidR="00681D82" w:rsidRDefault="00681D82" w:rsidP="00681D82">
      <w:r>
        <w:t xml:space="preserve">The ineligibility of facilities due to sectors or company formation dates can be clearly highlighted by the relationship manager to the accredited lender, using the facility data and the scheme rules. Another reason for ineligibility of loans </w:t>
      </w:r>
      <w:r w:rsidR="50EB5CDA">
        <w:t>was</w:t>
      </w:r>
      <w:r>
        <w:t xml:space="preserve"> described as duplicate facilities for BBLS. The reasons for these appearing would not always be human or administrative error, as the CIFAS database </w:t>
      </w:r>
      <w:r w:rsidR="009C1C2E">
        <w:t xml:space="preserve">used to </w:t>
      </w:r>
      <w:r>
        <w:t>check</w:t>
      </w:r>
      <w:r w:rsidR="009C1C2E">
        <w:t xml:space="preserve"> </w:t>
      </w:r>
      <w:r>
        <w:t xml:space="preserve">for duplicates was not a requirement in the early days of the schemes (and only became a requirement for BBLS, although some lenders </w:t>
      </w:r>
      <w:r w:rsidR="12F9D1AE">
        <w:t>report</w:t>
      </w:r>
      <w:r w:rsidR="0196BA36">
        <w:t>ed</w:t>
      </w:r>
      <w:r>
        <w:t xml:space="preserve"> using the database voluntarily for CBILS and CLBILS). Some lenders have highlighted challenges with the reliability of the CIFAS database. These cases require discussions and negotiations between the </w:t>
      </w:r>
      <w:r w:rsidR="005D5D23">
        <w:t>BBB</w:t>
      </w:r>
      <w:r>
        <w:t xml:space="preserve"> and accredited lenders about </w:t>
      </w:r>
      <w:r w:rsidR="00323FBE">
        <w:t>w</w:t>
      </w:r>
      <w:r w:rsidR="00A86697">
        <w:t xml:space="preserve">hether </w:t>
      </w:r>
      <w:r w:rsidR="00323FBE">
        <w:t>duplicate facilities are ineligible</w:t>
      </w:r>
      <w:r w:rsidR="00BA0AE4">
        <w:t>,</w:t>
      </w:r>
      <w:r w:rsidR="00323FBE">
        <w:t xml:space="preserve"> and if </w:t>
      </w:r>
      <w:proofErr w:type="gramStart"/>
      <w:r w:rsidR="00323FBE">
        <w:t>so</w:t>
      </w:r>
      <w:proofErr w:type="gramEnd"/>
      <w:r w:rsidR="00323FBE">
        <w:t xml:space="preserve"> </w:t>
      </w:r>
      <w:r>
        <w:t xml:space="preserve">which facility </w:t>
      </w:r>
      <w:r w:rsidR="00584544">
        <w:t xml:space="preserve">is </w:t>
      </w:r>
      <w:r w:rsidR="006D3E80">
        <w:t xml:space="preserve">an ineligible </w:t>
      </w:r>
      <w:r>
        <w:t xml:space="preserve">duplicate facility and </w:t>
      </w:r>
      <w:r w:rsidR="006D3E80">
        <w:t xml:space="preserve">in some cases </w:t>
      </w:r>
      <w:r>
        <w:t xml:space="preserve">needs to be removed from the schemes. Where the ineligible facility requires discussion and negotiation, the relationship manager role is more important than for the cases which </w:t>
      </w:r>
      <w:r w:rsidR="00F907EA">
        <w:t xml:space="preserve">involved </w:t>
      </w:r>
      <w:r>
        <w:t>human or administrative error.</w:t>
      </w:r>
    </w:p>
    <w:p w14:paraId="54E9166E" w14:textId="77777777" w:rsidR="00681D82" w:rsidRDefault="00681D82" w:rsidP="00A215B3">
      <w:pPr>
        <w:pStyle w:val="Heading2"/>
      </w:pPr>
      <w:bookmarkStart w:id="95" w:name="_Toc146230599"/>
      <w:bookmarkStart w:id="96" w:name="_Toc151549884"/>
      <w:r>
        <w:t>Counter fraud work and Enforcement</w:t>
      </w:r>
      <w:bookmarkEnd w:id="95"/>
      <w:bookmarkEnd w:id="96"/>
    </w:p>
    <w:p w14:paraId="0D0E6EED" w14:textId="1DFFD989" w:rsidR="00681D82" w:rsidRDefault="00681D82" w:rsidP="00681D82">
      <w:r>
        <w:t xml:space="preserve">This section provides an assessment of the processes used to identify suspected cases of fraud and enforcement work to secure payments and prosecute individuals who have committed fraud through the schemes. The section draws on evidence from the </w:t>
      </w:r>
      <w:r w:rsidR="005D5D23">
        <w:t>BBB</w:t>
      </w:r>
      <w:r>
        <w:t>’s management information, and depth interviews with stakeholders and accredited lenders.</w:t>
      </w:r>
    </w:p>
    <w:p w14:paraId="3278DD6C" w14:textId="77777777" w:rsidR="00681D82" w:rsidRPr="005D5D23" w:rsidRDefault="00681D82" w:rsidP="00236B73">
      <w:bookmarkStart w:id="97" w:name="_Toc146230601"/>
      <w:bookmarkStart w:id="98" w:name="_Toc149801239"/>
      <w:bookmarkStart w:id="99" w:name="_Toc151016558"/>
      <w:r w:rsidRPr="00236B73">
        <w:rPr>
          <w:color w:val="142855" w:themeColor="text2"/>
        </w:rPr>
        <w:t>Governance</w:t>
      </w:r>
      <w:bookmarkEnd w:id="97"/>
      <w:bookmarkEnd w:id="98"/>
      <w:bookmarkEnd w:id="99"/>
    </w:p>
    <w:p w14:paraId="61D33CDE" w14:textId="26447A3E" w:rsidR="00681D82" w:rsidRDefault="00681D82" w:rsidP="00681D82">
      <w:r>
        <w:t xml:space="preserve">The National Audit Office undertook a review of the BBLS in 2021 and made several recommendations about the scheme. </w:t>
      </w:r>
      <w:r w:rsidRPr="008D5568">
        <w:rPr>
          <w:szCs w:val="24"/>
        </w:rPr>
        <w:t xml:space="preserve">These included </w:t>
      </w:r>
      <w:r w:rsidRPr="00F2246F">
        <w:rPr>
          <w:color w:val="1D1D1B" w:themeColor="text1"/>
          <w:szCs w:val="24"/>
        </w:rPr>
        <w:t>improving</w:t>
      </w:r>
      <w:r w:rsidRPr="00F2246F">
        <w:rPr>
          <w:rFonts w:ascii="Arial" w:hAnsi="Arial" w:cs="Arial"/>
          <w:color w:val="1D1D1B" w:themeColor="text1"/>
          <w:szCs w:val="24"/>
        </w:rPr>
        <w:t xml:space="preserve"> upon its identification, quantification, and recovery of fraudulent loans within the Scheme.</w:t>
      </w:r>
      <w:r>
        <w:t xml:space="preserve"> The report also concluded that t</w:t>
      </w:r>
      <w:r w:rsidRPr="005E6E35">
        <w:t>he counter-fraud strategy evolved over time but lacked clear governance at the outset and sufficient resources.</w:t>
      </w:r>
    </w:p>
    <w:p w14:paraId="7FD2F92B" w14:textId="35A4072A" w:rsidR="00681D82" w:rsidRDefault="00681D82" w:rsidP="00681D82">
      <w:r>
        <w:lastRenderedPageBreak/>
        <w:t xml:space="preserve">Stakeholders reported that the current governance structures for anti-fraud activities includes individuals from all relevant organisations and departments, such as the </w:t>
      </w:r>
      <w:r w:rsidR="005D5D23">
        <w:t>BBB</w:t>
      </w:r>
      <w:r>
        <w:t xml:space="preserve">, DBT, the Cabinet Office Anti-Fraud team and input from UK Finance. No stakeholders felt that individuals from any other department or organisation should be involved in the governance of these activities. However, in addition to the correct organisations being represented, some stakeholders reported that the skills and experience of the individuals involved in the governance structures has improved as the schemes have progressed. For example, boards overseeing the enforcement activity now include individuals with a background in enforcement with practical experience of how investigations are </w:t>
      </w:r>
      <w:proofErr w:type="gramStart"/>
      <w:r>
        <w:t>implemented, and</w:t>
      </w:r>
      <w:proofErr w:type="gramEnd"/>
      <w:r>
        <w:t xml:space="preserve"> are therefore able to provide input into the enforcement activity rather than the external agencies acting in a more independent manner.</w:t>
      </w:r>
    </w:p>
    <w:p w14:paraId="5BADF5BC" w14:textId="77777777" w:rsidR="00681D82" w:rsidRDefault="00681D82" w:rsidP="00681D82">
      <w:r>
        <w:t>One of the reasons stakeholders suggested for the improvement in experience in the governance was an increase in focus and resources available to tackle fraudulent activity. The resources made available for enforcement activities were increased in 2022, which has led to the recruitment of individuals with relevant experience into Government departments.</w:t>
      </w:r>
    </w:p>
    <w:p w14:paraId="3BB904BD" w14:textId="70B3B74A" w:rsidR="00681D82" w:rsidRDefault="00681D82" w:rsidP="00681D82">
      <w:r>
        <w:t xml:space="preserve">A further development which has been reported by stakeholders to have had a positive impact on the Governance of the Covid-19 Loan Guarantee Schemes is the formalisation of a Counter Fraud Strategy. This has been developed by DBT and the </w:t>
      </w:r>
      <w:r w:rsidR="005D5D23">
        <w:t>BBB</w:t>
      </w:r>
      <w:r>
        <w:t xml:space="preserve"> over the last year and describes all the activities being undertaken to attempt to identify fraudulent facilities and to reclaim the value from these fraudulent claims. This documents both existing activities and planned future activities, underpinning what each activity aims to achieve and the responsibility for the activity. It was reported that this document helps to provide clarity on different activities and their purpose, and how their effectiveness will be measured (and therefore influence their implementation). However, it is still too early to assess the effectiveness and impact of the Counter Fraud Strategy.</w:t>
      </w:r>
    </w:p>
    <w:p w14:paraId="43F79F86" w14:textId="77777777" w:rsidR="00681D82" w:rsidRPr="005D5D23" w:rsidRDefault="00681D82" w:rsidP="00236B73">
      <w:bookmarkStart w:id="100" w:name="_Toc146230602"/>
      <w:bookmarkStart w:id="101" w:name="_Toc149801240"/>
      <w:bookmarkStart w:id="102" w:name="_Toc151016559"/>
      <w:r w:rsidRPr="00236B73">
        <w:rPr>
          <w:color w:val="142855" w:themeColor="text2"/>
        </w:rPr>
        <w:t>Detection of fraud cases</w:t>
      </w:r>
      <w:bookmarkEnd w:id="100"/>
      <w:bookmarkEnd w:id="101"/>
      <w:bookmarkEnd w:id="102"/>
    </w:p>
    <w:p w14:paraId="0DAFC1DB" w14:textId="0A1BB3A2" w:rsidR="00681D82" w:rsidRDefault="00681D82" w:rsidP="00681D82">
      <w:r w:rsidRPr="008A21C7">
        <w:t xml:space="preserve">As highlighted in the </w:t>
      </w:r>
      <w:r>
        <w:t>previous process evaluation, the scheme design for the BBLS led to an</w:t>
      </w:r>
      <w:r w:rsidRPr="008A21C7">
        <w:t xml:space="preserve"> </w:t>
      </w:r>
      <w:r>
        <w:t>increase in the</w:t>
      </w:r>
      <w:r w:rsidRPr="008A21C7">
        <w:t xml:space="preserve"> likelihood of fraud </w:t>
      </w:r>
      <w:r>
        <w:t>compared to BAU lending. This risk was identified in the scheme design phase, which was accepted at a political level by Ministers in the ministerial direction</w:t>
      </w:r>
      <w:r w:rsidRPr="008A21C7">
        <w:t>.</w:t>
      </w:r>
      <w:r>
        <w:t xml:space="preserve"> The risks were reported to be accepted </w:t>
      </w:r>
      <w:r w:rsidRPr="00F2246F">
        <w:rPr>
          <w:rFonts w:ascii="Arial" w:hAnsi="Arial" w:cs="Arial"/>
          <w:szCs w:val="24"/>
        </w:rPr>
        <w:t>owing to the urgency of the situation and the risk of irreversible damage to the economy</w:t>
      </w:r>
      <w:r w:rsidRPr="00E711A1">
        <w:rPr>
          <w:rFonts w:ascii="Arial" w:hAnsi="Arial" w:cs="Arial"/>
          <w:sz w:val="22"/>
          <w:szCs w:val="20"/>
        </w:rPr>
        <w:t xml:space="preserve">. </w:t>
      </w:r>
    </w:p>
    <w:p w14:paraId="2AACB0CC" w14:textId="6656B07E" w:rsidR="00681D82" w:rsidRDefault="00681D82" w:rsidP="00681D82">
      <w:r>
        <w:lastRenderedPageBreak/>
        <w:t xml:space="preserve">The </w:t>
      </w:r>
      <w:r w:rsidRPr="00554253">
        <w:t xml:space="preserve">National Audit Office </w:t>
      </w:r>
      <w:r>
        <w:t xml:space="preserve">undertook an investigation </w:t>
      </w:r>
      <w:r w:rsidRPr="00554253">
        <w:t>into BBLS</w:t>
      </w:r>
      <w:r>
        <w:t xml:space="preserve"> in 2021</w:t>
      </w:r>
      <w:r w:rsidRPr="00554253">
        <w:t>, which had a focus on the strength of counter fraud processes.</w:t>
      </w:r>
      <w:r>
        <w:t xml:space="preserve"> The investigation found that </w:t>
      </w:r>
      <w:r w:rsidRPr="00D31A0D">
        <w:t>the approach to fraud prevention evolved with time</w:t>
      </w:r>
      <w:r>
        <w:t>,</w:t>
      </w:r>
      <w:r w:rsidRPr="00D31A0D">
        <w:t xml:space="preserve"> with certain measures added after the scheme launched.</w:t>
      </w:r>
    </w:p>
    <w:p w14:paraId="3E074B77" w14:textId="32B56582" w:rsidR="00681D82" w:rsidRPr="00E711A1" w:rsidRDefault="00681D82" w:rsidP="00681D82">
      <w:pPr>
        <w:rPr>
          <w:rFonts w:ascii="Arial" w:hAnsi="Arial" w:cs="Arial"/>
          <w:sz w:val="22"/>
          <w:szCs w:val="20"/>
        </w:rPr>
      </w:pPr>
      <w:r w:rsidRPr="00E65B98">
        <w:t>A</w:t>
      </w:r>
      <w:r>
        <w:t>n initial</w:t>
      </w:r>
      <w:r w:rsidRPr="00E65B98">
        <w:t xml:space="preserve"> </w:t>
      </w:r>
      <w:r w:rsidR="005D5D23">
        <w:t>BBB</w:t>
      </w:r>
      <w:r>
        <w:t>-</w:t>
      </w:r>
      <w:r w:rsidRPr="00E65B98">
        <w:t>commissioned assessment of the level of fraud occurrence associated with a sample of loans undertaken in March 2021 had a central estimate that around 11</w:t>
      </w:r>
      <w:r>
        <w:t xml:space="preserve">% </w:t>
      </w:r>
      <w:r w:rsidRPr="00E65B98">
        <w:t>of BBLS loans were likely to be fraudulent (with an estimated value of £4.9bn, based on facilities drawn down until 31 March 2021). An updated assessment undertaken in October 2021 indicated that the estimate of fraud occurrence may be lower than this (at 7.5</w:t>
      </w:r>
      <w:r>
        <w:t>%</w:t>
      </w:r>
      <w:r w:rsidRPr="00E65B98">
        <w:t>).</w:t>
      </w:r>
    </w:p>
    <w:p w14:paraId="38E6E767" w14:textId="25C054A0" w:rsidR="00681D82" w:rsidRDefault="00681D82" w:rsidP="00681D82">
      <w:r>
        <w:t xml:space="preserve">The </w:t>
      </w:r>
      <w:r w:rsidR="005D5D23">
        <w:t>BBB</w:t>
      </w:r>
      <w:r>
        <w:t xml:space="preserve"> has produced more recent data which presents the value of cases that accredited lenders have flagged as suspected fraud cases on the three Covid-19 Loan Guarantee Schemes. This showed that in the BBLS, around £1.7 billion of lending has been flagged as suspected cases of fraud. It should be noted that this is suspected fraud cases as of Ju</w:t>
      </w:r>
      <w:r w:rsidR="00C76C39">
        <w:t>ne</w:t>
      </w:r>
      <w:r>
        <w:t xml:space="preserve"> 2023 – and flags of suspected fraud can be added and removed by lenders at any point.</w:t>
      </w:r>
      <w:r>
        <w:rPr>
          <w:rStyle w:val="FootnoteReference"/>
        </w:rPr>
        <w:footnoteReference w:id="31"/>
      </w:r>
      <w:r>
        <w:t xml:space="preserve"> The £1.7 billion represents 2.2% of the total lending through the Covid-19 Loan Guarantee Schemes.</w:t>
      </w:r>
      <w:r w:rsidRPr="00B85B06">
        <w:t xml:space="preserve"> </w:t>
      </w:r>
      <w:r>
        <w:t>The value of facilities that have been flagged as suspected cases of fraud in the Covid-19 Loan Guarantee Schemes are (as of Ju</w:t>
      </w:r>
      <w:r w:rsidR="00C51F1E">
        <w:t>ne</w:t>
      </w:r>
      <w:r>
        <w:t xml:space="preserve"> 2023):</w:t>
      </w:r>
    </w:p>
    <w:p w14:paraId="0D4825B9" w14:textId="77777777" w:rsidR="00681D82" w:rsidRDefault="00681D82" w:rsidP="00681D82">
      <w:pPr>
        <w:pStyle w:val="ListBullet"/>
        <w:spacing w:after="240"/>
      </w:pPr>
      <w:r>
        <w:t>3.5% of the value of BBLS (£1.7 billion)</w:t>
      </w:r>
    </w:p>
    <w:p w14:paraId="23DBF2BD" w14:textId="38E55EB4" w:rsidR="00681D82" w:rsidRDefault="00681D82" w:rsidP="00681D82">
      <w:pPr>
        <w:pStyle w:val="ListBullet"/>
        <w:spacing w:after="240"/>
      </w:pPr>
      <w:r>
        <w:t>0.2% of the value of CBILS (£39 million)</w:t>
      </w:r>
    </w:p>
    <w:p w14:paraId="47FC0FE8" w14:textId="77777777" w:rsidR="00681D82" w:rsidRDefault="00681D82" w:rsidP="00681D82">
      <w:pPr>
        <w:pStyle w:val="ListBullet"/>
        <w:spacing w:after="240"/>
      </w:pPr>
      <w:r>
        <w:t>0% of the value of CLBILS (£0 million)</w:t>
      </w:r>
    </w:p>
    <w:p w14:paraId="58AA50FF" w14:textId="5F7AED59" w:rsidR="00681D82" w:rsidRDefault="00681D82" w:rsidP="00681D82">
      <w:r>
        <w:t xml:space="preserve">The vast majority of accredited lender flagged suspected fraud cases are from the BBLS portfolio (around 97% of the total value of suspected fraud from the three schemes). </w:t>
      </w:r>
    </w:p>
    <w:p w14:paraId="0A1BC9BE" w14:textId="37596C61" w:rsidR="00681D82" w:rsidRDefault="00681D82" w:rsidP="00C26DB3">
      <w:r>
        <w:t xml:space="preserve">For BBLS, the estimated value of </w:t>
      </w:r>
      <w:r w:rsidR="00F11AB5">
        <w:t xml:space="preserve">loans with </w:t>
      </w:r>
      <w:r>
        <w:t xml:space="preserve">suspected fraud flags is lower than the research to estimate potential cases of fraud at the outset of the scheme. The potential reasons for this decrease were suggested as being the full repayment of facilities that were highlighted as potential cases of fraud and the removal of the guarantee from some cases that were identified as potentially fraudulent.  </w:t>
      </w:r>
    </w:p>
    <w:p w14:paraId="7DEA6A3B" w14:textId="31E56F6B" w:rsidR="00C26DB3" w:rsidRDefault="00C26DB3" w:rsidP="00F2246F">
      <w:pPr>
        <w:pStyle w:val="Heading5"/>
      </w:pPr>
      <w:r>
        <w:lastRenderedPageBreak/>
        <w:t xml:space="preserve">Figure </w:t>
      </w:r>
      <w:fldSimple w:instr=" SEQ Figure \* ARABIC ">
        <w:r w:rsidR="00397D49">
          <w:rPr>
            <w:noProof/>
          </w:rPr>
          <w:t>8</w:t>
        </w:r>
      </w:fldSimple>
      <w:r>
        <w:t xml:space="preserve">: Proportion of the value of schemes portfolio value that are suspected fraud cases </w:t>
      </w:r>
    </w:p>
    <w:p w14:paraId="67172D27" w14:textId="77777777" w:rsidR="00681D82" w:rsidRDefault="00681D82" w:rsidP="00681D82">
      <w:r>
        <w:rPr>
          <w:noProof/>
        </w:rPr>
        <w:drawing>
          <wp:inline distT="0" distB="0" distL="0" distR="0" wp14:anchorId="19DC6C64" wp14:editId="3F3662EE">
            <wp:extent cx="6350000" cy="2794000"/>
            <wp:effectExtent l="0" t="0" r="0" b="0"/>
            <wp:docPr id="1536436187" name="Chart 1" descr="As of June 2023, 0.15% of the total value of CBILS facilities has been flagged as suspected fraud cases. There are no facilities that have been flagged as suspected fraud cases in CLBILS. 3.54% of the total value of BBLS facilities has been flagged as suspected fraud cases.">
              <a:extLst xmlns:a="http://schemas.openxmlformats.org/drawingml/2006/main">
                <a:ext uri="{FF2B5EF4-FFF2-40B4-BE49-F238E27FC236}">
                  <a16:creationId xmlns:a16="http://schemas.microsoft.com/office/drawing/2014/main" id="{467771CF-907D-84B8-1C16-0ACFAED12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2C14AB" w14:textId="526EE3F3" w:rsidR="00681D82" w:rsidRDefault="005F0455" w:rsidP="00236B73">
      <w:pPr>
        <w:pStyle w:val="Caption"/>
      </w:pPr>
      <w:r>
        <w:t xml:space="preserve">Source: </w:t>
      </w:r>
      <w:r w:rsidR="005D5D23">
        <w:t>BBB</w:t>
      </w:r>
      <w:r w:rsidR="00681D82">
        <w:t xml:space="preserve"> Management Information, Ju</w:t>
      </w:r>
      <w:r w:rsidR="001D0EDF">
        <w:t>ne</w:t>
      </w:r>
      <w:r w:rsidR="00681D82">
        <w:t xml:space="preserve"> 2023 (published September 2023)</w:t>
      </w:r>
    </w:p>
    <w:p w14:paraId="5921ECB7" w14:textId="77777777" w:rsidR="00681D82" w:rsidRDefault="00681D82" w:rsidP="00681D82">
      <w:r>
        <w:t>Stakeholders and accredited lenders reported that the processes that have been introduced to identify suspected cases of fraud have been comprehensive. These processes have included:</w:t>
      </w:r>
    </w:p>
    <w:p w14:paraId="0583076B" w14:textId="032BC2D7" w:rsidR="00681D82" w:rsidRDefault="00343AEB" w:rsidP="00681D82">
      <w:pPr>
        <w:pStyle w:val="ListBullet"/>
        <w:spacing w:after="240"/>
      </w:pPr>
      <w:r>
        <w:t>A</w:t>
      </w:r>
      <w:r w:rsidR="00681D82">
        <w:t xml:space="preserve">ccredited lenders reported that they have used their BAU practices internally to identify suspected cases of fraud post award, such as monitoring of business accounts and for asset finance checking that actual assets have been purchased and are in use. </w:t>
      </w:r>
    </w:p>
    <w:p w14:paraId="0EC04CAC" w14:textId="40DE5240" w:rsidR="00681D82" w:rsidRDefault="00343AEB" w:rsidP="00681D82">
      <w:pPr>
        <w:pStyle w:val="ListBullet"/>
        <w:spacing w:after="240"/>
      </w:pPr>
      <w:r>
        <w:t>F</w:t>
      </w:r>
      <w:r w:rsidR="00681D82">
        <w:t>or the BBLS, the compulsory use of the CIFAS database to identify potential duplicate loans (which many lenders reported not using prior to the Covid-19 Loan Guarantee Schemes).</w:t>
      </w:r>
      <w:r w:rsidR="400564B8">
        <w:t xml:space="preserve"> </w:t>
      </w:r>
      <w:r w:rsidR="00681D82">
        <w:t xml:space="preserve">Some lenders reported a challenge in that the CIFAS database returned false positive results for duplicate loans, and further checks were required after examining the database. </w:t>
      </w:r>
    </w:p>
    <w:p w14:paraId="024A09D3" w14:textId="163C1F94" w:rsidR="00681D82" w:rsidRDefault="00681D82" w:rsidP="00681D82">
      <w:pPr>
        <w:pStyle w:val="ListBullet"/>
        <w:spacing w:after="240"/>
      </w:pPr>
      <w:r>
        <w:t xml:space="preserve">The </w:t>
      </w:r>
      <w:r w:rsidR="005D5D23">
        <w:t>BBB</w:t>
      </w:r>
      <w:r>
        <w:t xml:space="preserve">, DBT and the Cabinet Office undertook additional analysis to identify indicators of suspected cases of fraud. The analysis used Government datasets that link individuals and companies (forming a network analysis), Companies House data and HMRC data. The Cabinet Office analysis took place post facility approval. These sets of analyses were initially applied to the BBLS </w:t>
      </w:r>
      <w:proofErr w:type="gramStart"/>
      <w:r>
        <w:t>portfolio, but</w:t>
      </w:r>
      <w:proofErr w:type="gramEnd"/>
      <w:r>
        <w:t xml:space="preserve"> have since been extended to the CBILS portfolio. The reason that this additional activity has been undertaken is due to accepted additional </w:t>
      </w:r>
      <w:r>
        <w:lastRenderedPageBreak/>
        <w:t>risk of fraudulent activity on the schemes due to their design, and a desire to protect the public purse from this fraudulent activity. Both stakeholders and accredited lenders reported that this activity was beneficial in supporting a stringent assessment of suspected fraud activity, and added value in that the accredited lenders themselves could not have completed the analysis due to resource and data access issues.</w:t>
      </w:r>
      <w:r w:rsidRPr="00723CD0">
        <w:rPr>
          <w:vertAlign w:val="superscript"/>
        </w:rPr>
        <w:footnoteReference w:id="32"/>
      </w:r>
      <w:r>
        <w:t xml:space="preserve"> Both stakeholders and accredited lenders reported that this additional information was being used to further identify suspected cases of fraud. The analysis undertaken by the Cabinet Office led to a sharing of 6,478 </w:t>
      </w:r>
      <w:r w:rsidR="00116261">
        <w:t>instances</w:t>
      </w:r>
      <w:r>
        <w:t xml:space="preserve"> of indications of suspected fraud, and of these accredited lenders accepted that 2,817 met their definitions of suspected fraud (43%). </w:t>
      </w:r>
    </w:p>
    <w:p w14:paraId="6D67A4FD" w14:textId="56669601" w:rsidR="00681D82" w:rsidRDefault="00681D82" w:rsidP="00681D82">
      <w:r>
        <w:t xml:space="preserve">However, some accredited lenders reported challenges in utilising the data. Firstly, a barrier to use reported by some lenders was their regulatory and legal ability to use the data to mark a business as a suspected case of fraud and further investigate the business. They reported that there was a question mark over whether this data could be used in their existing regulatory framework to identify suspected fraud cases – for example, whether they would be compliant with their regulatory framework if they used the external information as a reason to launch a full investigation of suspected fraud against a </w:t>
      </w:r>
      <w:r w:rsidR="32B67CC2">
        <w:t>borrower</w:t>
      </w:r>
      <w:r>
        <w:t xml:space="preserve">. </w:t>
      </w:r>
    </w:p>
    <w:p w14:paraId="3C3166BD" w14:textId="0BBF830B" w:rsidR="00681D82" w:rsidRDefault="00681D82" w:rsidP="00681D82">
      <w:r>
        <w:t xml:space="preserve">Stakeholders also reported that there are differences in appetite among different accredited lenders to utilising the data provided by the data analytics exercise. The lenders did not report this as meaning that they cannot use the data, but that it is a further barrier which needs to be worked through so that the data can be fully exploited and potentially used on future similar schemes. A further challenge raised by stakeholders was the appetite of some lenders to utilise the data, preferring not to engage with it. Some smaller lenders interviewed did report looking at the data of suspected cases of fraud, and when examined they did not reach the same conclusion as the data </w:t>
      </w:r>
      <w:proofErr w:type="gramStart"/>
      <w:r>
        <w:t>analytics, and</w:t>
      </w:r>
      <w:proofErr w:type="gramEnd"/>
      <w:r>
        <w:t xml:space="preserve"> did not add any suspected fraud flags to their data. This led to</w:t>
      </w:r>
      <w:r w:rsidR="027025DC">
        <w:t xml:space="preserve"> </w:t>
      </w:r>
      <w:r w:rsidR="3D5D036D">
        <w:t>a</w:t>
      </w:r>
      <w:r>
        <w:t xml:space="preserve"> conclusion that the work was not adding value to their organisation.  </w:t>
      </w:r>
    </w:p>
    <w:p w14:paraId="4E3F2F8F" w14:textId="1B942C56" w:rsidR="00681D82" w:rsidRDefault="00681D82" w:rsidP="00681D82">
      <w:r>
        <w:t xml:space="preserve">A further outcome, which particularly relates to the BBLS, was reported by both stakeholders and accredited lenders that there had been an improvement in the level of engagement and knowledge sharing between the </w:t>
      </w:r>
      <w:r w:rsidR="005D5D23">
        <w:t>BBB</w:t>
      </w:r>
      <w:r>
        <w:t xml:space="preserve"> and accredited lenders, and between accredited lenders </w:t>
      </w:r>
      <w:r>
        <w:lastRenderedPageBreak/>
        <w:t xml:space="preserve">themselves about how to identify fraudulent activity. This was facilitated by working groups run by the Bank as part of the schemes. Stakeholders and accredited lenders felt that such activity would not have taken place in the absence of the schemes. However, the benefit of this activity was not recognised by all accredited lenders, with some feeling that the recommendations and practices being discussed in these meetings was not relevant to them as a lender (due to the size or type of lender) or because their own practices were already ahead of what was being discussed. Even in the cases where lenders did not see a benefit to their organisation, they still reported that it was beneficial to the industry for these discussions to take place. </w:t>
      </w:r>
    </w:p>
    <w:p w14:paraId="6910650D" w14:textId="6538A180" w:rsidR="00681D82" w:rsidRDefault="00681D82" w:rsidP="00681D82">
      <w:r>
        <w:t xml:space="preserve">Stakeholders felt that there was potentially </w:t>
      </w:r>
      <w:r w:rsidR="00163B45">
        <w:t xml:space="preserve">more </w:t>
      </w:r>
      <w:r>
        <w:t>modelling using further Government and private data sources which could be used to attempt to identify further cases of suspected fraud</w:t>
      </w:r>
      <w:r w:rsidR="00163B45">
        <w:t xml:space="preserve">. However, the stakeholders </w:t>
      </w:r>
      <w:r w:rsidR="001D0EDF">
        <w:t>acknowledged</w:t>
      </w:r>
      <w:r>
        <w:t xml:space="preserve"> there would be diminishing returns from these exercises as most of the suspected cases of fraud have already been identified. However, there was not a consensus among stakeholders around the additional value of further fraud identification work, as some lenders are reluctant to utilise the suspected cases of fraud identified from the modelling work and there is limited capacity to enforce further cases of fraud (although many others have used the data provided to identify suspected fraud cases and pursue recoveries).</w:t>
      </w:r>
    </w:p>
    <w:p w14:paraId="35019757" w14:textId="77777777" w:rsidR="00681D82" w:rsidRPr="005D5D23" w:rsidRDefault="00681D82" w:rsidP="00236B73">
      <w:bookmarkStart w:id="103" w:name="_Toc146230603"/>
      <w:bookmarkStart w:id="104" w:name="_Toc149801241"/>
      <w:bookmarkStart w:id="105" w:name="_Toc151016560"/>
      <w:r w:rsidRPr="00236B73">
        <w:rPr>
          <w:color w:val="142855" w:themeColor="text2"/>
        </w:rPr>
        <w:t>Enforcement activities</w:t>
      </w:r>
      <w:bookmarkEnd w:id="103"/>
      <w:bookmarkEnd w:id="104"/>
      <w:bookmarkEnd w:id="105"/>
    </w:p>
    <w:p w14:paraId="1917A280" w14:textId="2122EB0B" w:rsidR="00681D82" w:rsidRDefault="00681D82" w:rsidP="00681D82">
      <w:r>
        <w:t xml:space="preserve">Accredited lenders reported using their BAU practices to report relevant suspected cases of fraud to external agencies such as NATIS. This involved the lender </w:t>
      </w:r>
      <w:proofErr w:type="gramStart"/>
      <w:r>
        <w:t>making contact with</w:t>
      </w:r>
      <w:proofErr w:type="gramEnd"/>
      <w:r>
        <w:t xml:space="preserve"> the external agency when they believed a serious case of fraud had been committed, and responding to the external agencies’ requests for information if the case was being pursued. </w:t>
      </w:r>
    </w:p>
    <w:p w14:paraId="3AC1BD53" w14:textId="77777777" w:rsidR="00681D82" w:rsidRPr="005C2C46" w:rsidRDefault="00681D82" w:rsidP="00681D82">
      <w:r>
        <w:t xml:space="preserve">However, enforcement activities have been bolstered </w:t>
      </w:r>
      <w:proofErr w:type="gramStart"/>
      <w:r>
        <w:t>as a result of</w:t>
      </w:r>
      <w:proofErr w:type="gramEnd"/>
      <w:r>
        <w:t xml:space="preserve"> the Covid-19 Loan Guarantee Schemes. This is because more resource has been devoted to it from the UK Government, to attempt to protect and limit the public spending on fraudulently claimed guarantees. Stakeholders reported that there had not been significant changes in the type of enforcement work that has been undertaken by external agencies, but the volume of cases has increased significantly </w:t>
      </w:r>
      <w:proofErr w:type="gramStart"/>
      <w:r>
        <w:t>as a result of</w:t>
      </w:r>
      <w:proofErr w:type="gramEnd"/>
      <w:r>
        <w:t xml:space="preserve"> the schemes.</w:t>
      </w:r>
    </w:p>
    <w:p w14:paraId="27C6CFB2" w14:textId="77777777" w:rsidR="00791D50" w:rsidRDefault="00791D50" w:rsidP="00236B73">
      <w:pPr>
        <w:rPr>
          <w:color w:val="142855" w:themeColor="text2"/>
        </w:rPr>
      </w:pPr>
      <w:bookmarkStart w:id="106" w:name="_Toc146230604"/>
    </w:p>
    <w:p w14:paraId="485146C9" w14:textId="77777777" w:rsidR="00791D50" w:rsidRDefault="00791D50" w:rsidP="00236B73">
      <w:pPr>
        <w:rPr>
          <w:color w:val="142855" w:themeColor="text2"/>
        </w:rPr>
      </w:pPr>
    </w:p>
    <w:p w14:paraId="3588F52A" w14:textId="111AB2FD" w:rsidR="00681D82" w:rsidRPr="00236B73" w:rsidRDefault="00681D82" w:rsidP="00236B73">
      <w:pPr>
        <w:rPr>
          <w:color w:val="142855" w:themeColor="text2"/>
        </w:rPr>
      </w:pPr>
      <w:r w:rsidRPr="00236B73">
        <w:rPr>
          <w:color w:val="142855" w:themeColor="text2"/>
        </w:rPr>
        <w:lastRenderedPageBreak/>
        <w:t>Insolvency Service</w:t>
      </w:r>
      <w:bookmarkEnd w:id="106"/>
    </w:p>
    <w:p w14:paraId="62322831" w14:textId="6FF39AF9" w:rsidR="00681D82" w:rsidRDefault="00681D82" w:rsidP="00681D82">
      <w:r>
        <w:t xml:space="preserve">The Insolvency Service undertakes both civil and criminal investigations leading to civil director disqualifications and criminal prosecutions for financial misconduct by businesses. Stakeholders reported that the Service utilised existing practices which had worked well in identifying fraudulent cases and securing criminal and civil justice outcomes. It was reported by stakeholders that the type of work being undertaken by the Insolvency Service being </w:t>
      </w:r>
      <w:proofErr w:type="gramStart"/>
      <w:r>
        <w:t>similar to</w:t>
      </w:r>
      <w:proofErr w:type="gramEnd"/>
      <w:r>
        <w:t xml:space="preserve"> that </w:t>
      </w:r>
      <w:r w:rsidR="05FAD136">
        <w:t>undertak</w:t>
      </w:r>
      <w:r w:rsidR="5CA8CD5E">
        <w:t>en</w:t>
      </w:r>
      <w:r>
        <w:t xml:space="preserve"> prior to the Covid-19 Loan Guarantee Schemes, and the Insolvency Service already reporting into DBT (as an executive agency reporting into DBT). As a result of these factors, stakeholders reported that the service was able to select which cases to pursue without additional input from DBT.  </w:t>
      </w:r>
    </w:p>
    <w:p w14:paraId="393CDB22" w14:textId="77777777" w:rsidR="00681D82" w:rsidRDefault="00681D82" w:rsidP="00681D82">
      <w:r>
        <w:t>The outcomes achieved by the Insolvency Service at the time of the evaluation included:</w:t>
      </w:r>
    </w:p>
    <w:p w14:paraId="6EAF8070" w14:textId="77777777" w:rsidR="00681D82" w:rsidRDefault="00681D82" w:rsidP="00681D82">
      <w:pPr>
        <w:pStyle w:val="ListBullet"/>
        <w:spacing w:after="240"/>
      </w:pPr>
      <w:r>
        <w:t>600 director disqualifications due to Covid loan scheme abuse.</w:t>
      </w:r>
    </w:p>
    <w:p w14:paraId="5DDF47C4" w14:textId="51C95439" w:rsidR="00681D82" w:rsidRDefault="00053307" w:rsidP="00681D82">
      <w:pPr>
        <w:pStyle w:val="ListBullet"/>
        <w:spacing w:after="240"/>
      </w:pPr>
      <w:r>
        <w:t>C</w:t>
      </w:r>
      <w:r w:rsidR="00681D82">
        <w:t>laiming compensation from businesses involved in Covid loan scheme abuse. The value of this is not included in the outcomes the Insolvency Service performance is measured against, and this activity has increased compared to their BAU activity through a reported desire to protect the public purse.</w:t>
      </w:r>
    </w:p>
    <w:p w14:paraId="59D10670" w14:textId="33B10159" w:rsidR="00681D82" w:rsidRDefault="00053307" w:rsidP="00681D82">
      <w:pPr>
        <w:pStyle w:val="ListBullet"/>
        <w:spacing w:after="240"/>
      </w:pPr>
      <w:r>
        <w:t>S</w:t>
      </w:r>
      <w:r w:rsidR="00681D82">
        <w:t xml:space="preserve">ecuring voluntary repayments from businesses, where the Insolvency Service contacts a business and prior to enforcement action taking place the business repays the loan amount.  </w:t>
      </w:r>
    </w:p>
    <w:p w14:paraId="42F0E788" w14:textId="07A3C68A" w:rsidR="00681D82" w:rsidRDefault="00681D82" w:rsidP="00681D82">
      <w:r>
        <w:t xml:space="preserve">However, the Insolvency Service faced some challenges in pursuing the cases of fraud through the Covid-19 Loan Guarantee Schemes, particularly the BBLS, where stakeholders reported (alongside the figures reported in Figure </w:t>
      </w:r>
      <w:r w:rsidR="00163B45">
        <w:t>8</w:t>
      </w:r>
      <w:r w:rsidR="4182A6EA">
        <w:t>)</w:t>
      </w:r>
      <w:r>
        <w:t xml:space="preserve"> that most of the cases of fraud came from. These challenges were:</w:t>
      </w:r>
    </w:p>
    <w:p w14:paraId="2EEF1503" w14:textId="5FF09B51" w:rsidR="00681D82" w:rsidRDefault="00681D82" w:rsidP="00681D82">
      <w:pPr>
        <w:pStyle w:val="ListBullet"/>
        <w:spacing w:after="240"/>
      </w:pPr>
      <w:r w:rsidRPr="199308D0">
        <w:rPr>
          <w:b/>
          <w:bCs/>
        </w:rPr>
        <w:t>Resource challenges:</w:t>
      </w:r>
      <w:r>
        <w:t xml:space="preserve"> These were the most significant challenges faced by the Insolvency Service. The increase in lending, and particularly the way in which lending was provided through the BBLS meant that there was a large increase in suspected cases of fraud to be investigated and prosecuted, and the Insolvency Service required additional staffing to deal with this. However, due to the nature of the schemes being time limited (all the lending through the schemes has already been provided), this additional staffing would only be required for a fixed period. This, coupled with the fact that the resources required workers </w:t>
      </w:r>
      <w:r>
        <w:lastRenderedPageBreak/>
        <w:t xml:space="preserve">with high and niche skills sets, made recruitment challenging. This challenge was resolved, but it took a significant </w:t>
      </w:r>
      <w:proofErr w:type="gramStart"/>
      <w:r>
        <w:t>period of time</w:t>
      </w:r>
      <w:proofErr w:type="gramEnd"/>
      <w:r>
        <w:t xml:space="preserve"> for the service to be staffed at the required level.</w:t>
      </w:r>
    </w:p>
    <w:p w14:paraId="2505EE4E" w14:textId="288D89BA" w:rsidR="00681D82" w:rsidRDefault="00681D82" w:rsidP="00681D82">
      <w:pPr>
        <w:pStyle w:val="ListBullet"/>
        <w:spacing w:after="240"/>
      </w:pPr>
      <w:r w:rsidRPr="199308D0">
        <w:rPr>
          <w:b/>
          <w:bCs/>
        </w:rPr>
        <w:t>Administrative challenges:</w:t>
      </w:r>
      <w:r>
        <w:t xml:space="preserve"> These challenges were less significant than the resource challenges and were reported to be resolved relatively quickly. They involved ways of working between the </w:t>
      </w:r>
      <w:r w:rsidR="005D5D23">
        <w:t>BBB</w:t>
      </w:r>
      <w:r>
        <w:t xml:space="preserve"> and the Insolvency Service, such as lines of communication and having administrative processes, such as the provision of the bank details to transfer money reclaimed by the service to. These challenges did not significantly impact upon the Insolvency Service’s ability to undertake its investigations and prosecutions.</w:t>
      </w:r>
    </w:p>
    <w:p w14:paraId="6F93F47C" w14:textId="77777777" w:rsidR="00681D82" w:rsidRPr="00236B73" w:rsidRDefault="00681D82" w:rsidP="00236B73">
      <w:pPr>
        <w:rPr>
          <w:color w:val="142855" w:themeColor="text2"/>
        </w:rPr>
      </w:pPr>
      <w:bookmarkStart w:id="107" w:name="_Toc146230605"/>
      <w:r w:rsidRPr="00236B73">
        <w:rPr>
          <w:color w:val="142855" w:themeColor="text2"/>
        </w:rPr>
        <w:t>NATIS</w:t>
      </w:r>
      <w:bookmarkEnd w:id="107"/>
    </w:p>
    <w:p w14:paraId="1A172432" w14:textId="68690722" w:rsidR="00681D82" w:rsidRDefault="00681D82" w:rsidP="00681D82">
      <w:r>
        <w:t xml:space="preserve">The second strand of enforcement activity is led by NATIS, which investigates more serious cases of fraud through the schemes such as organised crime. The NATIS enforcement activity has generated some outcomes (as of </w:t>
      </w:r>
      <w:r w:rsidR="00B62351">
        <w:t>30 September</w:t>
      </w:r>
      <w:r>
        <w:t xml:space="preserve"> 2023), which include</w:t>
      </w:r>
      <w:r>
        <w:rPr>
          <w:rStyle w:val="FootnoteReference"/>
        </w:rPr>
        <w:footnoteReference w:id="33"/>
      </w:r>
      <w:r>
        <w:t>:</w:t>
      </w:r>
    </w:p>
    <w:p w14:paraId="04D4626B" w14:textId="16AEFB4B" w:rsidR="00681D82" w:rsidRPr="00A43870" w:rsidRDefault="00681D82" w:rsidP="00681D82">
      <w:pPr>
        <w:pStyle w:val="ListBullet"/>
        <w:spacing w:after="240"/>
      </w:pPr>
      <w:r>
        <w:t>Opening 2</w:t>
      </w:r>
      <w:r w:rsidR="00B62351">
        <w:t>28</w:t>
      </w:r>
      <w:r>
        <w:t xml:space="preserve"> investigations into BBLS fraud covering a total value of £</w:t>
      </w:r>
      <w:r w:rsidR="00B62351">
        <w:t xml:space="preserve">76 </w:t>
      </w:r>
      <w:r>
        <w:t xml:space="preserve">million of BBLS facilities. </w:t>
      </w:r>
    </w:p>
    <w:p w14:paraId="62D04496" w14:textId="25C5F952" w:rsidR="00681D82" w:rsidRPr="00A43870" w:rsidRDefault="00B62351" w:rsidP="00681D82">
      <w:pPr>
        <w:pStyle w:val="ListBullet"/>
        <w:spacing w:after="240"/>
      </w:pPr>
      <w:r>
        <w:t>10</w:t>
      </w:r>
      <w:r w:rsidR="31FC5DD5">
        <w:t>4</w:t>
      </w:r>
      <w:r>
        <w:t xml:space="preserve"> </w:t>
      </w:r>
      <w:r w:rsidR="00681D82">
        <w:t xml:space="preserve">arrests from these investigations. </w:t>
      </w:r>
    </w:p>
    <w:p w14:paraId="51693348" w14:textId="5F51B994" w:rsidR="00681D82" w:rsidRPr="00A43870" w:rsidRDefault="00B62351" w:rsidP="00F2246F">
      <w:r>
        <w:t xml:space="preserve">The NATIS enforcement activity is managed through DBT. Staff from NATIS were seconded into DBT (BEIS) to provide the enforcement arm for the Covid loans. There have been changes made to the framework through which the NATIS activity is delivered </w:t>
      </w:r>
      <w:proofErr w:type="gramStart"/>
      <w:r>
        <w:t>during the course of</w:t>
      </w:r>
      <w:proofErr w:type="gramEnd"/>
      <w:r>
        <w:t xml:space="preserve"> the schemes. </w:t>
      </w:r>
      <w:r w:rsidRPr="00EF1DC9">
        <w:t>Changes are</w:t>
      </w:r>
      <w:r>
        <w:t xml:space="preserve"> currently being made to the processes being used to manage the NATIS enforcement activity. As a result of these ongoing changes, the effectiveness of the NATIS enforcement activity will be fully evaluated in the Year 3 evaluation. </w:t>
      </w:r>
      <w:r w:rsidR="00681D82">
        <w:t xml:space="preserve"> </w:t>
      </w:r>
    </w:p>
    <w:p w14:paraId="5CF0116F" w14:textId="5D4939AE" w:rsidR="00681D82" w:rsidRDefault="00681D82" w:rsidP="00A215B3">
      <w:pPr>
        <w:pStyle w:val="Heading2"/>
      </w:pPr>
      <w:bookmarkStart w:id="108" w:name="_Toc146230606"/>
      <w:bookmarkStart w:id="109" w:name="_Toc151549885"/>
      <w:r>
        <w:t>Conclusions</w:t>
      </w:r>
      <w:bookmarkEnd w:id="108"/>
      <w:bookmarkEnd w:id="109"/>
    </w:p>
    <w:p w14:paraId="00D9B89A" w14:textId="7CAA5C6C" w:rsidR="00681D82" w:rsidRDefault="00681D82" w:rsidP="00681D82">
      <w:r>
        <w:t>The findings presented in the preceding sections present an assessment of the processes used to monitor lenders, secure repayments and counter fraud and enforcement activity. In this section these key findings are used to answer the key evaluation questions set out in the ITT.</w:t>
      </w:r>
    </w:p>
    <w:p w14:paraId="3B8BA74A" w14:textId="77777777" w:rsidR="00681D82" w:rsidRPr="005D5D23" w:rsidRDefault="00681D82" w:rsidP="00236B73">
      <w:bookmarkStart w:id="110" w:name="_Toc146230607"/>
      <w:bookmarkStart w:id="111" w:name="_Toc149801243"/>
      <w:bookmarkStart w:id="112" w:name="_Toc151016562"/>
      <w:r w:rsidRPr="00236B73">
        <w:rPr>
          <w:color w:val="142855" w:themeColor="text2"/>
        </w:rPr>
        <w:lastRenderedPageBreak/>
        <w:t>To what extent did scheme design strike an appropriate balance between speed of delivery and controls?</w:t>
      </w:r>
      <w:bookmarkEnd w:id="110"/>
      <w:bookmarkEnd w:id="111"/>
      <w:bookmarkEnd w:id="112"/>
    </w:p>
    <w:p w14:paraId="779D9653" w14:textId="13C7BBCD" w:rsidR="00681D82" w:rsidRDefault="00681D82" w:rsidP="00681D82">
      <w:r>
        <w:t xml:space="preserve">The research identified some issues in the original design and implementation of the schemes which continue to have significant resource constraints on their delivery, which impacts upon the schemes’ effectiveness. These are understandable given the time pressures under which the schemes were designed and </w:t>
      </w:r>
      <w:proofErr w:type="gramStart"/>
      <w:r>
        <w:t>implemented, but</w:t>
      </w:r>
      <w:proofErr w:type="gramEnd"/>
      <w:r>
        <w:t xml:space="preserve"> demonstrate the impact that the speed of design and implementation have had on delivery. </w:t>
      </w:r>
    </w:p>
    <w:p w14:paraId="40C11F9A" w14:textId="4B7EB7E2" w:rsidR="00527AB3" w:rsidRDefault="00C93A3C" w:rsidP="00F2246F">
      <w:pPr>
        <w:pStyle w:val="ListBullet"/>
        <w:numPr>
          <w:ilvl w:val="0"/>
          <w:numId w:val="0"/>
        </w:numPr>
        <w:spacing w:after="240"/>
      </w:pPr>
      <w:r w:rsidRPr="00F2246F">
        <w:t xml:space="preserve">These issues were around </w:t>
      </w:r>
      <w:r w:rsidR="00681D82" w:rsidRPr="00C93A3C">
        <w:t>eligibility and compliance</w:t>
      </w:r>
      <w:r w:rsidRPr="00C93A3C">
        <w:t>.</w:t>
      </w:r>
      <w:r w:rsidR="00681D82">
        <w:t xml:space="preserve"> </w:t>
      </w:r>
      <w:r w:rsidR="002A4DAD">
        <w:t xml:space="preserve">Due to </w:t>
      </w:r>
      <w:r w:rsidR="0025721D">
        <w:t xml:space="preserve">the self-certification </w:t>
      </w:r>
      <w:r w:rsidR="00C225A1">
        <w:t xml:space="preserve">nature of the </w:t>
      </w:r>
      <w:r w:rsidR="009E1188">
        <w:t>scheme, i</w:t>
      </w:r>
      <w:r w:rsidR="00681D82">
        <w:t xml:space="preserve">neligible and duplicate facilities were initially accepted onto the BBLS. Subsequently, resource has had to be dedicated to identifying these ineligible facilities and obtaining consent from the accredited lenders to remove these from the guarantee. If automated processes and checks on eligibility had been in place at the outset of the schemes, resources dedicated to identifying and removing ineligible loans would not have been required, although introducing these checks would have taken additional time </w:t>
      </w:r>
      <w:r w:rsidR="2F15F76B">
        <w:t>a</w:t>
      </w:r>
      <w:r w:rsidR="7A01FD77">
        <w:t>nd</w:t>
      </w:r>
      <w:r w:rsidR="00681D82">
        <w:t xml:space="preserve"> resource at the scheme design and implementation stage.</w:t>
      </w:r>
    </w:p>
    <w:p w14:paraId="738376AA" w14:textId="57612B72" w:rsidR="0083400F" w:rsidRDefault="0083400F" w:rsidP="00236B73">
      <w:pPr>
        <w:pStyle w:val="ListBullet"/>
        <w:numPr>
          <w:ilvl w:val="0"/>
          <w:numId w:val="0"/>
        </w:numPr>
        <w:spacing w:after="240"/>
      </w:pPr>
      <w:r>
        <w:t xml:space="preserve">This suggests that there are some </w:t>
      </w:r>
      <w:r w:rsidR="00963331">
        <w:t>areas where similar schemes could be improved in the</w:t>
      </w:r>
      <w:r w:rsidR="00527AB3">
        <w:t xml:space="preserve"> </w:t>
      </w:r>
      <w:r w:rsidR="00963331">
        <w:t xml:space="preserve">future to attempt to </w:t>
      </w:r>
      <w:r w:rsidR="00B0610E">
        <w:t>improve compliance and reduce the resources required to implement schemes – however, it is understandable that these were not introduced for the</w:t>
      </w:r>
      <w:r w:rsidR="00E80842">
        <w:t xml:space="preserve"> Covid-19 Loan Guarantee Schemes given the challenging timescales for the design and implementation of the schemes.</w:t>
      </w:r>
      <w:r w:rsidR="00B0610E">
        <w:t xml:space="preserve"> </w:t>
      </w:r>
    </w:p>
    <w:p w14:paraId="66F085F3" w14:textId="77777777" w:rsidR="00681D82" w:rsidRPr="005D5D23" w:rsidRDefault="00681D82" w:rsidP="00236B73">
      <w:bookmarkStart w:id="113" w:name="_Toc146230608"/>
      <w:bookmarkStart w:id="114" w:name="_Toc149801244"/>
      <w:bookmarkStart w:id="115" w:name="_Toc151016563"/>
      <w:r w:rsidRPr="00236B73">
        <w:rPr>
          <w:color w:val="142855" w:themeColor="text2"/>
        </w:rPr>
        <w:t>How effective are the processes used by lenders?</w:t>
      </w:r>
      <w:bookmarkEnd w:id="113"/>
      <w:bookmarkEnd w:id="114"/>
      <w:bookmarkEnd w:id="115"/>
    </w:p>
    <w:p w14:paraId="344F9B90" w14:textId="77777777" w:rsidR="00681D82" w:rsidRPr="00F81D43" w:rsidRDefault="00681D82" w:rsidP="00681D82">
      <w:r>
        <w:t>Many of the processes used in the delivery of the Covid-19 Loan Guarantee Schemes have been effective. These include:</w:t>
      </w:r>
    </w:p>
    <w:p w14:paraId="6D0FA672" w14:textId="77777777" w:rsidR="00681D82" w:rsidRPr="00A2747D" w:rsidRDefault="00681D82" w:rsidP="00681D82">
      <w:pPr>
        <w:pStyle w:val="ListBullet"/>
        <w:spacing w:after="240"/>
      </w:pPr>
      <w:r w:rsidRPr="199308D0">
        <w:rPr>
          <w:b/>
          <w:bCs/>
        </w:rPr>
        <w:t>The process to remove any ineligible facilities</w:t>
      </w:r>
      <w:r>
        <w:t xml:space="preserve"> was reported to be working efficiently by stakeholders, in both identifying ineligible facilities and removing these from the scheme portfolios. The relationship manager role was reported to play an important part in the effective functioning of this process. </w:t>
      </w:r>
    </w:p>
    <w:p w14:paraId="0C715A07" w14:textId="209AE7A2" w:rsidR="00681D82" w:rsidRDefault="00681D82" w:rsidP="00681D82">
      <w:pPr>
        <w:pStyle w:val="ListBullet"/>
        <w:spacing w:after="240"/>
      </w:pPr>
      <w:r w:rsidRPr="199308D0">
        <w:rPr>
          <w:b/>
          <w:bCs/>
        </w:rPr>
        <w:t>The processes used to identify suspected cases of fraud:</w:t>
      </w:r>
      <w:r>
        <w:t xml:space="preserve"> the </w:t>
      </w:r>
      <w:r w:rsidR="005D5D23">
        <w:t>BBB</w:t>
      </w:r>
      <w:r>
        <w:t xml:space="preserve">, DBT and the Cabinet Office have undertaken data modelling exercises to identify suspected cases of </w:t>
      </w:r>
      <w:r>
        <w:lastRenderedPageBreak/>
        <w:t xml:space="preserve">fraud, on top of those cases identified by lenders through their BAU monitoring approaches. Both stakeholders and accredited lenders reported that this activity was beneficial in supporting a stringent assessment of suspected fraud activity, and added value in that the accredited lenders themselves could not have completed the analysis due to resource and data access issues. The analysis undertaken by the Cabinet Office led to a sharing of 6,478 </w:t>
      </w:r>
      <w:r w:rsidR="00A95044">
        <w:t xml:space="preserve">instances </w:t>
      </w:r>
      <w:r>
        <w:t xml:space="preserve">of indications of suspected fraud, and of these accredited lenders accepted that 2,817 met their definitions of suspected fraud (43%). </w:t>
      </w:r>
    </w:p>
    <w:p w14:paraId="739786B2" w14:textId="71B50146" w:rsidR="00681D82" w:rsidRDefault="00681D82" w:rsidP="00681D82">
      <w:pPr>
        <w:pStyle w:val="ListBullet"/>
        <w:spacing w:after="240"/>
      </w:pPr>
      <w:r w:rsidRPr="199308D0">
        <w:rPr>
          <w:b/>
          <w:bCs/>
        </w:rPr>
        <w:t>Enforcement activities delivered by the Insolvency Service:</w:t>
      </w:r>
      <w:r>
        <w:t xml:space="preserve"> </w:t>
      </w:r>
      <w:r w:rsidR="00DD07BA">
        <w:t>a</w:t>
      </w:r>
      <w:r>
        <w:t>lthough not a process used by lenders, this is a process used by the Covid-19 Loan Guarantee Schemes which is working well. These processes have overcome some initial resource and administrative challenges and are reported to be delivering investigations and enforcement activity in line with expectations. The Insolvency Service has not had to introduce new ways of working to undertake enforcement activity for the Covid-19 Loan Guarantee Schemes.</w:t>
      </w:r>
    </w:p>
    <w:p w14:paraId="758FEDC5" w14:textId="77777777" w:rsidR="00681D82" w:rsidRPr="005D5D23" w:rsidRDefault="00681D82" w:rsidP="00236B73">
      <w:bookmarkStart w:id="116" w:name="_Toc146230609"/>
      <w:bookmarkStart w:id="117" w:name="_Toc149801245"/>
      <w:bookmarkStart w:id="118" w:name="_Toc151016564"/>
      <w:r w:rsidRPr="00236B73">
        <w:rPr>
          <w:color w:val="142855" w:themeColor="text2"/>
        </w:rPr>
        <w:t>To what extent did scheme performance meet objectives and expectations? Which areas of delivery worked well?</w:t>
      </w:r>
      <w:bookmarkEnd w:id="116"/>
      <w:bookmarkEnd w:id="117"/>
      <w:bookmarkEnd w:id="118"/>
    </w:p>
    <w:p w14:paraId="2AED6D8E" w14:textId="20758444" w:rsidR="00681D82" w:rsidRDefault="00681D82" w:rsidP="00681D82">
      <w:r>
        <w:t>Around £1.7 billion of</w:t>
      </w:r>
      <w:r w:rsidR="00D16089" w:rsidRPr="00D16089">
        <w:t xml:space="preserve"> </w:t>
      </w:r>
      <w:r>
        <w:t>lending</w:t>
      </w:r>
      <w:r w:rsidR="00D16089">
        <w:t xml:space="preserve"> through the Covid-19 Loan Guarantee Schemes</w:t>
      </w:r>
      <w:r>
        <w:t xml:space="preserve"> has been flagged as suspected cases of fraud by accredited lenders, or 2.2% of total lending. </w:t>
      </w:r>
      <w:proofErr w:type="gramStart"/>
      <w:r>
        <w:t>The vast majority of</w:t>
      </w:r>
      <w:proofErr w:type="gramEnd"/>
      <w:r>
        <w:t xml:space="preserve"> suspected cases of fraud are in the BBLS portfolio (3.5% of the lending through the BBLS, 0.2% for CBILS and 0% in CLBILS). </w:t>
      </w:r>
      <w:r w:rsidRPr="00435520">
        <w:t xml:space="preserve">The </w:t>
      </w:r>
      <w:r w:rsidR="3B75C807">
        <w:t>risk</w:t>
      </w:r>
      <w:r w:rsidR="74396722">
        <w:t>s</w:t>
      </w:r>
      <w:r w:rsidRPr="00435520">
        <w:t xml:space="preserve"> of fraud in the BBLS in particular </w:t>
      </w:r>
      <w:proofErr w:type="gramStart"/>
      <w:r w:rsidRPr="00435520">
        <w:t>was</w:t>
      </w:r>
      <w:proofErr w:type="gramEnd"/>
      <w:r w:rsidRPr="00435520">
        <w:t xml:space="preserve"> highlighted at the scheme design stage and were accepted by Ministers. However, the current estimated level of suspected fraud is lower than previous estimates from the B</w:t>
      </w:r>
      <w:r>
        <w:t>ank</w:t>
      </w:r>
      <w:r w:rsidRPr="00435520">
        <w:t xml:space="preserve"> (of 11</w:t>
      </w:r>
      <w:r>
        <w:t>%</w:t>
      </w:r>
      <w:r w:rsidRPr="00435520">
        <w:t xml:space="preserve"> and </w:t>
      </w:r>
      <w:r>
        <w:t>7%</w:t>
      </w:r>
      <w:r w:rsidRPr="00435520">
        <w:t>).</w:t>
      </w:r>
      <w:r>
        <w:t xml:space="preserve"> The current estimates of suspected fraud are reported to be more robust than the previous estimates.</w:t>
      </w:r>
    </w:p>
    <w:p w14:paraId="7190B1F5" w14:textId="77777777" w:rsidR="00681D82" w:rsidRPr="00236B73" w:rsidRDefault="00681D82" w:rsidP="00236B73">
      <w:pPr>
        <w:rPr>
          <w:color w:val="142855" w:themeColor="text2"/>
        </w:rPr>
      </w:pPr>
      <w:bookmarkStart w:id="119" w:name="_Toc146230611"/>
      <w:r w:rsidRPr="00236B73">
        <w:rPr>
          <w:color w:val="142855" w:themeColor="text2"/>
        </w:rPr>
        <w:t>Generating learning</w:t>
      </w:r>
      <w:bookmarkEnd w:id="119"/>
    </w:p>
    <w:p w14:paraId="5707E7E2" w14:textId="77777777" w:rsidR="00681D82" w:rsidRDefault="00681D82" w:rsidP="00681D82">
      <w:r>
        <w:t>One of the key overarching findings from this stage of research is that there appears to have been improvements made to the processes used to deliver the schemes as delivery has progressed. These improvements appear to have been in:</w:t>
      </w:r>
    </w:p>
    <w:p w14:paraId="6557A7E2" w14:textId="77777777" w:rsidR="00681D82" w:rsidRDefault="00681D82" w:rsidP="00681D82">
      <w:pPr>
        <w:pStyle w:val="ListBullet"/>
        <w:spacing w:after="240"/>
      </w:pPr>
      <w:r w:rsidRPr="199308D0">
        <w:rPr>
          <w:b/>
          <w:bCs/>
        </w:rPr>
        <w:t>Data sharing:</w:t>
      </w:r>
      <w:r>
        <w:t xml:space="preserve"> Accredited lenders and stakeholders reporting fewer issues with data reporting than in the first process evaluation, and evidence that more lenders are now utilising some of the automated processes (the APIs) for data sharing.</w:t>
      </w:r>
    </w:p>
    <w:p w14:paraId="6ED080AF" w14:textId="390DE0CB" w:rsidR="00681D82" w:rsidRDefault="00681D82" w:rsidP="00681D82">
      <w:pPr>
        <w:pStyle w:val="ListBullet"/>
        <w:spacing w:after="240"/>
      </w:pPr>
      <w:r w:rsidRPr="199308D0">
        <w:rPr>
          <w:b/>
          <w:bCs/>
        </w:rPr>
        <w:lastRenderedPageBreak/>
        <w:t>Management of lenders:</w:t>
      </w:r>
      <w:r>
        <w:t xml:space="preserve"> The introduction of the relationship manager role for the BBLS (the role was already in place for CBILS and CLBILS) was reported to provide an improvement in how lenders are managed from a </w:t>
      </w:r>
      <w:r w:rsidR="005D5D23">
        <w:t>BBB</w:t>
      </w:r>
      <w:r>
        <w:t xml:space="preserve"> viewpoint, meaning they are in a better position to hold challenging conversations with lenders about their performance in the schemes.</w:t>
      </w:r>
    </w:p>
    <w:p w14:paraId="4FE5B5E1" w14:textId="1208E9F2" w:rsidR="00681D82" w:rsidRDefault="00681D82" w:rsidP="00681D82">
      <w:pPr>
        <w:pStyle w:val="ListBullet"/>
        <w:spacing w:after="240"/>
      </w:pPr>
      <w:r w:rsidRPr="199308D0">
        <w:rPr>
          <w:b/>
          <w:bCs/>
        </w:rPr>
        <w:t xml:space="preserve">The </w:t>
      </w:r>
      <w:r w:rsidR="00163B45">
        <w:rPr>
          <w:b/>
          <w:bCs/>
        </w:rPr>
        <w:t>formalisation</w:t>
      </w:r>
      <w:r w:rsidR="00163B45" w:rsidRPr="199308D0">
        <w:rPr>
          <w:b/>
          <w:bCs/>
        </w:rPr>
        <w:t xml:space="preserve"> </w:t>
      </w:r>
      <w:r w:rsidRPr="199308D0">
        <w:rPr>
          <w:b/>
          <w:bCs/>
        </w:rPr>
        <w:t xml:space="preserve">of </w:t>
      </w:r>
      <w:r w:rsidR="00163B45">
        <w:rPr>
          <w:b/>
          <w:bCs/>
        </w:rPr>
        <w:t>the</w:t>
      </w:r>
      <w:r w:rsidRPr="199308D0">
        <w:rPr>
          <w:b/>
          <w:bCs/>
        </w:rPr>
        <w:t xml:space="preserve"> counter fraud strategy:</w:t>
      </w:r>
      <w:r>
        <w:t xml:space="preserve"> Previously no formalised strategy existed for the schemes. The introduction of a </w:t>
      </w:r>
      <w:r w:rsidR="54B1E44D">
        <w:t xml:space="preserve">formalised </w:t>
      </w:r>
      <w:r>
        <w:t>strategy to document counter fraud activities and planned activities, their objectives, and how effectiveness would be measured, provided an improvement in clarity about the counter fraud work to be undertaken as part of the schemes.</w:t>
      </w:r>
    </w:p>
    <w:p w14:paraId="4389B2AD" w14:textId="17D1D94A" w:rsidR="00681D82" w:rsidRDefault="00681D82" w:rsidP="00681D82">
      <w:pPr>
        <w:pStyle w:val="ListBullet"/>
        <w:spacing w:after="240"/>
      </w:pPr>
      <w:r w:rsidRPr="199308D0">
        <w:rPr>
          <w:b/>
          <w:bCs/>
        </w:rPr>
        <w:t>Improvements in the identification of suspected cases of fraud:</w:t>
      </w:r>
      <w:r>
        <w:t xml:space="preserve"> Utilising Government and other data sources and expertise to identify indicators of suspected cases of fraud and sharing this information with lenders has helped to improve accredited lenders’ identification of suspected cases of fraud. However, some challenges remain in ensuring that this data is/can be used by lenders. </w:t>
      </w:r>
    </w:p>
    <w:p w14:paraId="149873D6" w14:textId="77777777" w:rsidR="00681D82" w:rsidRDefault="00681D82" w:rsidP="00681D82">
      <w:pPr>
        <w:pStyle w:val="ListBullet"/>
        <w:spacing w:after="240"/>
      </w:pPr>
      <w:r w:rsidRPr="199308D0">
        <w:rPr>
          <w:b/>
          <w:bCs/>
        </w:rPr>
        <w:t>Enforcement activity management at DBT:</w:t>
      </w:r>
      <w:r>
        <w:t xml:space="preserve"> These improvements are currently ongoing, including developing a new triage process. However, improvements have already been made in terms of improving the oversight of enforcement activities, increasing the skills base of those involved in the management of the work strand and documenting what the purpose of the activities are. </w:t>
      </w:r>
    </w:p>
    <w:p w14:paraId="37A09C2E" w14:textId="77777777" w:rsidR="00681D82" w:rsidRPr="005D5D23" w:rsidRDefault="00681D82" w:rsidP="00236B73">
      <w:bookmarkStart w:id="120" w:name="_Toc146230612"/>
      <w:bookmarkStart w:id="121" w:name="_Toc149801246"/>
      <w:bookmarkStart w:id="122" w:name="_Toc151016565"/>
      <w:r w:rsidRPr="00236B73">
        <w:rPr>
          <w:color w:val="142855" w:themeColor="text2"/>
        </w:rPr>
        <w:t>Has the design process for the recovery regime learnt any lessons from scheme design? Are the debt recovery processes fit for purpose?</w:t>
      </w:r>
      <w:bookmarkEnd w:id="120"/>
      <w:bookmarkEnd w:id="121"/>
      <w:bookmarkEnd w:id="122"/>
    </w:p>
    <w:p w14:paraId="00C6178F" w14:textId="487094A7" w:rsidR="00681D82" w:rsidRDefault="00681D82" w:rsidP="00681D82">
      <w:r>
        <w:t xml:space="preserve">The </w:t>
      </w:r>
      <w:r w:rsidR="005D5D23">
        <w:t>BBB</w:t>
      </w:r>
      <w:r>
        <w:t>’s management data suggests that 22% of the Covid-19 Loan Guarantee Schemes portfolio value has been fully repaid (as of 3</w:t>
      </w:r>
      <w:r w:rsidR="00457F57">
        <w:t>0</w:t>
      </w:r>
      <w:r w:rsidR="00457F57" w:rsidRPr="00F2246F">
        <w:rPr>
          <w:vertAlign w:val="superscript"/>
        </w:rPr>
        <w:t>th</w:t>
      </w:r>
      <w:r w:rsidR="00457F57">
        <w:t xml:space="preserve"> June</w:t>
      </w:r>
      <w:r>
        <w:t xml:space="preserve"> 2023).</w:t>
      </w:r>
      <w:r w:rsidR="00323FBE">
        <w:t xml:space="preserve"> </w:t>
      </w:r>
      <w:r>
        <w:t xml:space="preserve">This represents £17 billion of repayments made. </w:t>
      </w:r>
      <w:r w:rsidR="00323FBE">
        <w:t xml:space="preserve">This does not include partial repayments for facilities where full payment has not yet been provided. </w:t>
      </w:r>
      <w:r>
        <w:t xml:space="preserve">A further 40% (£31 billion) is on schedule to be repaid (although this could fall into arrears or default). The value of facilities that have defaulted (including facilities that have been settled and claimed) or are in arrears in the Covid-19 Loan Guarantee Schemes are (as of </w:t>
      </w:r>
      <w:r w:rsidR="00163B45">
        <w:t>June</w:t>
      </w:r>
      <w:r>
        <w:t xml:space="preserve"> 2023):</w:t>
      </w:r>
    </w:p>
    <w:p w14:paraId="4A8273E2" w14:textId="4DE00BD8" w:rsidR="00681D82" w:rsidRDefault="00681D82" w:rsidP="00681D82">
      <w:pPr>
        <w:pStyle w:val="ListBullet"/>
        <w:spacing w:after="240"/>
      </w:pPr>
      <w:r>
        <w:lastRenderedPageBreak/>
        <w:t>22% of the value of BBLS (£10.4 billion)</w:t>
      </w:r>
    </w:p>
    <w:p w14:paraId="09A48204" w14:textId="2203AA81" w:rsidR="00681D82" w:rsidRDefault="00681D82" w:rsidP="00681D82">
      <w:pPr>
        <w:pStyle w:val="ListBullet"/>
        <w:spacing w:after="240"/>
      </w:pPr>
      <w:r>
        <w:t>4% of the value of CBILS (£1.1 billion)</w:t>
      </w:r>
    </w:p>
    <w:p w14:paraId="071C9B63" w14:textId="77777777" w:rsidR="00681D82" w:rsidRDefault="00681D82" w:rsidP="00681D82">
      <w:pPr>
        <w:pStyle w:val="ListBullet"/>
        <w:spacing w:after="240"/>
      </w:pPr>
      <w:r>
        <w:t>1% of the value of CLBILS (£46 million)</w:t>
      </w:r>
    </w:p>
    <w:p w14:paraId="6F81E6D3" w14:textId="01B0D68E" w:rsidR="00681D82" w:rsidRDefault="00681D82" w:rsidP="00681D82">
      <w:r>
        <w:t xml:space="preserve">The default rates are above the arrears </w:t>
      </w:r>
      <w:r w:rsidR="001D0EDF">
        <w:t xml:space="preserve">and default </w:t>
      </w:r>
      <w:r>
        <w:t>rate for SMEs in commercial lending both before and after the Covid-19 pandemic (around 2%</w:t>
      </w:r>
      <w:r>
        <w:rPr>
          <w:rStyle w:val="FootnoteReference"/>
        </w:rPr>
        <w:footnoteReference w:id="34"/>
      </w:r>
      <w:r>
        <w:t xml:space="preserve">). However, the higher rate of arrears observed in the BBLS was anticipated at the scheme design stage, which was accepted by Ministers. The </w:t>
      </w:r>
      <w:r w:rsidR="005D5D23">
        <w:t>BBB</w:t>
      </w:r>
      <w:r>
        <w:t xml:space="preserve"> had modelled multiple scenarios, including a 25% default rate for BBLS while the scheme was being designed, and the current rate is below this scenario. Lenders reported that the approaches used to secure repayments were in line with their BAU models and were not the reason for the higher than usual arrears / defaults in the schemes. </w:t>
      </w:r>
    </w:p>
    <w:p w14:paraId="363D4B27" w14:textId="7DE98A43" w:rsidR="00297077" w:rsidRDefault="00323FBE" w:rsidP="00681D82">
      <w:r>
        <w:t xml:space="preserve">Evidence from the stakeholder interviews suggests that the recovery processes are working as expected. </w:t>
      </w:r>
      <w:r w:rsidR="00297077">
        <w:t xml:space="preserve">The effectiveness of repayment mechanisms, and in particular the recovery </w:t>
      </w:r>
      <w:r w:rsidR="00AC2E54">
        <w:t>pilots</w:t>
      </w:r>
      <w:r w:rsidR="004A5F66">
        <w:t>’</w:t>
      </w:r>
      <w:r w:rsidR="00AC2E54">
        <w:t xml:space="preserve"> activities</w:t>
      </w:r>
      <w:r w:rsidR="003B2E69">
        <w:t>, will be fully assessed in the Year 3 process evaluation.</w:t>
      </w:r>
    </w:p>
    <w:p w14:paraId="64D7254A" w14:textId="6D99870B" w:rsidR="00AE1AFB" w:rsidRPr="00490C53" w:rsidRDefault="00AE1AFB" w:rsidP="00681D82">
      <w:pPr>
        <w:pStyle w:val="ListBullet"/>
        <w:numPr>
          <w:ilvl w:val="0"/>
          <w:numId w:val="0"/>
        </w:numPr>
        <w:spacing w:after="240"/>
        <w:ind w:left="227" w:hanging="227"/>
      </w:pPr>
      <w:r w:rsidRPr="00490C53">
        <w:br w:type="page"/>
      </w:r>
    </w:p>
    <w:p w14:paraId="7E84CE56" w14:textId="77777777" w:rsidR="00051ED5" w:rsidRPr="00490C53" w:rsidRDefault="00051ED5" w:rsidP="00051ED5">
      <w:pPr>
        <w:pStyle w:val="Heading1"/>
      </w:pPr>
      <w:bookmarkStart w:id="123" w:name="_Toc151549886"/>
      <w:r w:rsidRPr="00490C53">
        <w:lastRenderedPageBreak/>
        <w:t>Year 2 impact evaluation</w:t>
      </w:r>
      <w:bookmarkEnd w:id="123"/>
    </w:p>
    <w:p w14:paraId="47ECBBC4" w14:textId="77777777" w:rsidR="00051ED5" w:rsidRPr="00490C53" w:rsidRDefault="00051ED5" w:rsidP="00051ED5">
      <w:pPr>
        <w:pStyle w:val="Heading2"/>
      </w:pPr>
      <w:bookmarkStart w:id="124" w:name="_Toc151549887"/>
      <w:r w:rsidRPr="00490C53">
        <w:t>Introduction</w:t>
      </w:r>
      <w:bookmarkEnd w:id="124"/>
    </w:p>
    <w:p w14:paraId="0435E3BD" w14:textId="26006053" w:rsidR="00051ED5" w:rsidRPr="00490C53" w:rsidRDefault="00912A09" w:rsidP="00051ED5">
      <w:r w:rsidRPr="00490C53">
        <w:t xml:space="preserve">The aim of the </w:t>
      </w:r>
      <w:r w:rsidR="009F05B1" w:rsidRPr="00490C53">
        <w:t xml:space="preserve">Year 2 impact evaluation was to quantify the impacts of the three Covid-19 Loan Guarantee </w:t>
      </w:r>
      <w:r w:rsidR="00080FB6" w:rsidRPr="00490C53">
        <w:t>S</w:t>
      </w:r>
      <w:r w:rsidR="009F05B1" w:rsidRPr="00490C53">
        <w:t xml:space="preserve">chemes on business-level economic outcomes of borrowers in the second year </w:t>
      </w:r>
      <w:r w:rsidR="00F16F74" w:rsidRPr="00490C53">
        <w:t>after the onset of the pandemic.</w:t>
      </w:r>
      <w:r w:rsidR="005F66DB" w:rsidRPr="00490C53">
        <w:t xml:space="preserve"> More specifically, it </w:t>
      </w:r>
      <w:r w:rsidR="00363791" w:rsidRPr="00490C53">
        <w:t xml:space="preserve">consists of three main </w:t>
      </w:r>
      <w:r w:rsidR="004205C2" w:rsidRPr="00490C53">
        <w:t>strands of analysis:</w:t>
      </w:r>
    </w:p>
    <w:p w14:paraId="24B0F0EC" w14:textId="5DF10367" w:rsidR="009D6DA7" w:rsidRPr="00490C53" w:rsidRDefault="009D6DA7" w:rsidP="009D6DA7">
      <w:pPr>
        <w:pStyle w:val="ListNumber"/>
        <w:numPr>
          <w:ilvl w:val="0"/>
          <w:numId w:val="23"/>
        </w:numPr>
      </w:pPr>
      <w:r w:rsidRPr="00490C53">
        <w:t xml:space="preserve">Did the Covid-19 Loan Guarantee Schemes have an impact on </w:t>
      </w:r>
      <w:r w:rsidR="0035395F" w:rsidRPr="00490C53">
        <w:t>borrowers</w:t>
      </w:r>
      <w:r w:rsidRPr="00490C53">
        <w:t>’ survival prospects?</w:t>
      </w:r>
    </w:p>
    <w:p w14:paraId="33174A34" w14:textId="7395F5B8" w:rsidR="009D6DA7" w:rsidRPr="00490C53" w:rsidRDefault="009D6DA7" w:rsidP="009D6DA7">
      <w:pPr>
        <w:pStyle w:val="ListNumber"/>
        <w:numPr>
          <w:ilvl w:val="0"/>
          <w:numId w:val="23"/>
        </w:numPr>
      </w:pPr>
      <w:r w:rsidRPr="00490C53">
        <w:t xml:space="preserve">Did the Covid-19 Loan Guarantee Schemes have an impact on </w:t>
      </w:r>
      <w:r w:rsidR="0035395F" w:rsidRPr="00490C53">
        <w:t>borrowers</w:t>
      </w:r>
      <w:r w:rsidR="00C46B65">
        <w:t>’</w:t>
      </w:r>
      <w:r w:rsidRPr="00490C53">
        <w:t xml:space="preserve"> </w:t>
      </w:r>
      <w:r w:rsidR="00985548" w:rsidRPr="00490C53">
        <w:t>turnover and employment</w:t>
      </w:r>
      <w:r w:rsidRPr="00490C53">
        <w:t>?</w:t>
      </w:r>
    </w:p>
    <w:p w14:paraId="38FAA238" w14:textId="35663F0C" w:rsidR="009D6DA7" w:rsidRPr="00490C53" w:rsidRDefault="0035395F" w:rsidP="009D6DA7">
      <w:pPr>
        <w:pStyle w:val="ListNumber"/>
        <w:numPr>
          <w:ilvl w:val="0"/>
          <w:numId w:val="23"/>
        </w:numPr>
      </w:pPr>
      <w:r w:rsidRPr="00490C53">
        <w:t xml:space="preserve">Did the Covid-19 Loan Guarantee Schemes </w:t>
      </w:r>
      <w:r w:rsidR="00FB61C8" w:rsidRPr="00490C53">
        <w:t xml:space="preserve">have an indirect </w:t>
      </w:r>
      <w:r w:rsidR="00985548" w:rsidRPr="00490C53">
        <w:t>impact on businesses’ (borrowers</w:t>
      </w:r>
      <w:r w:rsidR="00115B01" w:rsidRPr="00490C53">
        <w:t>’</w:t>
      </w:r>
      <w:r w:rsidR="00985548" w:rsidRPr="00490C53">
        <w:t xml:space="preserve"> and non-borrowers</w:t>
      </w:r>
      <w:r w:rsidR="00115B01" w:rsidRPr="00490C53">
        <w:t>’</w:t>
      </w:r>
      <w:r w:rsidR="00985548" w:rsidRPr="00490C53">
        <w:t>) turnover and employment?</w:t>
      </w:r>
    </w:p>
    <w:p w14:paraId="69109A8B" w14:textId="7A9C8E87" w:rsidR="00333498" w:rsidRDefault="00333498" w:rsidP="00333498">
      <w:pPr>
        <w:rPr>
          <w:rFonts w:ascii="Arial" w:eastAsia="Arial" w:hAnsi="Arial" w:cs="Times New Roman"/>
        </w:rPr>
      </w:pPr>
      <w:r w:rsidRPr="00490C53">
        <w:t xml:space="preserve">To address these research questions, </w:t>
      </w:r>
      <w:r w:rsidRPr="00490C53">
        <w:rPr>
          <w:rFonts w:ascii="Arial" w:eastAsia="Arial" w:hAnsi="Arial" w:cs="Times New Roman"/>
        </w:rPr>
        <w:t>Ipsos undertook a survey of</w:t>
      </w:r>
      <w:r w:rsidR="00A1386F" w:rsidRPr="00490C53">
        <w:rPr>
          <w:rFonts w:ascii="Arial" w:eastAsia="Arial" w:hAnsi="Arial" w:cs="Times New Roman"/>
        </w:rPr>
        <w:t xml:space="preserve"> two sets of</w:t>
      </w:r>
      <w:r w:rsidRPr="00490C53">
        <w:rPr>
          <w:rFonts w:ascii="Arial" w:eastAsia="Arial" w:hAnsi="Arial" w:cs="Times New Roman"/>
        </w:rPr>
        <w:t xml:space="preserve"> businesses</w:t>
      </w:r>
      <w:r w:rsidR="00A1386F" w:rsidRPr="00490C53">
        <w:rPr>
          <w:rFonts w:ascii="Arial" w:eastAsia="Arial" w:hAnsi="Arial" w:cs="Times New Roman"/>
        </w:rPr>
        <w:t>. The first set</w:t>
      </w:r>
      <w:r w:rsidRPr="00490C53">
        <w:rPr>
          <w:rFonts w:ascii="Arial" w:eastAsia="Arial" w:hAnsi="Arial" w:cs="Times New Roman"/>
        </w:rPr>
        <w:t xml:space="preserve"> </w:t>
      </w:r>
      <w:r w:rsidR="00A1386F" w:rsidRPr="00490C53">
        <w:rPr>
          <w:rFonts w:ascii="Arial" w:eastAsia="Arial" w:hAnsi="Arial" w:cs="Times New Roman"/>
        </w:rPr>
        <w:t xml:space="preserve">of businesses </w:t>
      </w:r>
      <w:r w:rsidRPr="00490C53">
        <w:rPr>
          <w:rFonts w:ascii="Arial" w:eastAsia="Arial" w:hAnsi="Arial" w:cs="Times New Roman"/>
        </w:rPr>
        <w:t>received funding through one of the Covid-19 Loan Guarantee Schemes</w:t>
      </w:r>
      <w:r w:rsidR="00A1386F" w:rsidRPr="00490C53">
        <w:rPr>
          <w:rFonts w:ascii="Arial" w:eastAsia="Arial" w:hAnsi="Arial" w:cs="Times New Roman"/>
        </w:rPr>
        <w:t>. The second set of</w:t>
      </w:r>
      <w:r w:rsidRPr="00490C53">
        <w:rPr>
          <w:rFonts w:ascii="Arial" w:eastAsia="Arial" w:hAnsi="Arial" w:cs="Times New Roman"/>
        </w:rPr>
        <w:t xml:space="preserve"> businesses faced challenges or opportunities </w:t>
      </w:r>
      <w:proofErr w:type="gramStart"/>
      <w:r w:rsidRPr="00490C53">
        <w:rPr>
          <w:rFonts w:ascii="Arial" w:eastAsia="Arial" w:hAnsi="Arial" w:cs="Times New Roman"/>
        </w:rPr>
        <w:t>as a result of</w:t>
      </w:r>
      <w:proofErr w:type="gramEnd"/>
      <w:r w:rsidRPr="00490C53">
        <w:rPr>
          <w:rFonts w:ascii="Arial" w:eastAsia="Arial" w:hAnsi="Arial" w:cs="Times New Roman"/>
        </w:rPr>
        <w:t xml:space="preserve"> the Covid-19 </w:t>
      </w:r>
      <w:r w:rsidR="00627977" w:rsidRPr="00490C53">
        <w:rPr>
          <w:rFonts w:ascii="Arial" w:eastAsia="Arial" w:hAnsi="Arial" w:cs="Times New Roman"/>
        </w:rPr>
        <w:t>pandemic and</w:t>
      </w:r>
      <w:r w:rsidRPr="00490C53">
        <w:rPr>
          <w:rFonts w:ascii="Arial" w:eastAsia="Arial" w:hAnsi="Arial" w:cs="Times New Roman"/>
        </w:rPr>
        <w:t xml:space="preserve"> were eligible for one of the </w:t>
      </w:r>
      <w:r w:rsidRPr="00490C53">
        <w:t xml:space="preserve">Covid-19 Loan Guarantee </w:t>
      </w:r>
      <w:r w:rsidR="00627977" w:rsidRPr="00490C53">
        <w:t>Schemes but</w:t>
      </w:r>
      <w:r w:rsidRPr="00490C53">
        <w:rPr>
          <w:rFonts w:ascii="Arial" w:eastAsia="Arial" w:hAnsi="Arial" w:cs="Times New Roman"/>
        </w:rPr>
        <w:t xml:space="preserve"> did not receive a facility under one of the </w:t>
      </w:r>
      <w:r w:rsidRPr="00490C53">
        <w:t>Covid-19 Loan Guarantee Schemes</w:t>
      </w:r>
      <w:r w:rsidRPr="00490C53">
        <w:rPr>
          <w:rFonts w:ascii="Arial" w:eastAsia="Arial" w:hAnsi="Arial" w:cs="Times New Roman"/>
        </w:rPr>
        <w:t>.</w:t>
      </w:r>
    </w:p>
    <w:p w14:paraId="6314D211" w14:textId="0C3DF190" w:rsidR="00DE2E1E" w:rsidRPr="002D323B" w:rsidRDefault="00DE2E1E" w:rsidP="00333498">
      <w:r>
        <w:t xml:space="preserve">The methods used in this evaluation were chosen to try and </w:t>
      </w:r>
      <w:r w:rsidR="004844E4">
        <w:t xml:space="preserve">isolate the impact of the Covid-19 Loan Guarantee Schemes on business outcomes from variation </w:t>
      </w:r>
      <w:r w:rsidR="00B8649C">
        <w:t xml:space="preserve">in outcomes </w:t>
      </w:r>
      <w:r w:rsidR="004844E4">
        <w:t>caused by the different challenges that businesses may have faced during the pandemic and any impact of other support schemes</w:t>
      </w:r>
      <w:r>
        <w:t xml:space="preserve">. However, </w:t>
      </w:r>
      <w:r w:rsidR="00B8649C">
        <w:t>the results should be interpreted with the context that</w:t>
      </w:r>
      <w:r w:rsidR="004844E4">
        <w:t xml:space="preserve"> the pandemic</w:t>
      </w:r>
      <w:r w:rsidR="00DC5648">
        <w:t xml:space="preserve"> and other economic shocks </w:t>
      </w:r>
      <w:r w:rsidR="00C46B65">
        <w:t>(</w:t>
      </w:r>
      <w:r w:rsidR="00DC5648">
        <w:t>such as the energy crisis</w:t>
      </w:r>
      <w:r w:rsidR="00C46B65">
        <w:t>)</w:t>
      </w:r>
      <w:r w:rsidR="004844E4">
        <w:t xml:space="preserve"> presented unprecedented and varied challenges to businesses and there were many different support schemes available to businesses at that time</w:t>
      </w:r>
      <w:r w:rsidR="00B8649C">
        <w:t>.</w:t>
      </w:r>
      <w:r w:rsidR="004844E4">
        <w:t xml:space="preserve">   </w:t>
      </w:r>
    </w:p>
    <w:p w14:paraId="7D3B6A06" w14:textId="5BD60DAC" w:rsidR="00333498" w:rsidRPr="00490C53" w:rsidRDefault="00333498" w:rsidP="00333498">
      <w:pPr>
        <w:rPr>
          <w:rFonts w:ascii="Arial" w:eastAsia="Arial" w:hAnsi="Arial" w:cs="Times New Roman"/>
        </w:rPr>
      </w:pPr>
      <w:r w:rsidRPr="00490C53">
        <w:rPr>
          <w:rFonts w:ascii="Arial" w:eastAsia="Arial" w:hAnsi="Arial" w:cs="Times New Roman"/>
        </w:rPr>
        <w:t xml:space="preserve">In total, </w:t>
      </w:r>
      <w:r w:rsidR="006A1F89" w:rsidRPr="00490C53">
        <w:rPr>
          <w:rFonts w:ascii="Arial" w:eastAsia="Arial" w:hAnsi="Arial" w:cs="Times New Roman"/>
        </w:rPr>
        <w:t xml:space="preserve">961 </w:t>
      </w:r>
      <w:r w:rsidR="001D65DC" w:rsidRPr="00490C53">
        <w:rPr>
          <w:rFonts w:ascii="Arial" w:eastAsia="Arial" w:hAnsi="Arial" w:cs="Times New Roman"/>
        </w:rPr>
        <w:t xml:space="preserve">businesses </w:t>
      </w:r>
      <w:r w:rsidR="003828E1" w:rsidRPr="00490C53">
        <w:rPr>
          <w:rFonts w:ascii="Arial" w:eastAsia="Arial" w:hAnsi="Arial" w:cs="Times New Roman"/>
        </w:rPr>
        <w:t>completed a mixed mode survey (online and telephone</w:t>
      </w:r>
      <w:r w:rsidR="009D25B6">
        <w:rPr>
          <w:rStyle w:val="FootnoteReference"/>
          <w:rFonts w:ascii="Arial" w:eastAsia="Arial" w:hAnsi="Arial" w:cs="Times New Roman"/>
        </w:rPr>
        <w:footnoteReference w:id="35"/>
      </w:r>
      <w:r w:rsidR="003828E1" w:rsidRPr="00490C53">
        <w:rPr>
          <w:rFonts w:ascii="Arial" w:eastAsia="Arial" w:hAnsi="Arial" w:cs="Times New Roman"/>
        </w:rPr>
        <w:t xml:space="preserve">) between </w:t>
      </w:r>
      <w:r w:rsidR="00080FB6" w:rsidRPr="00846F78">
        <w:rPr>
          <w:rFonts w:ascii="Arial" w:eastAsia="Arial" w:hAnsi="Arial" w:cs="Times New Roman"/>
        </w:rPr>
        <w:t>August 2022</w:t>
      </w:r>
      <w:r w:rsidR="003828E1" w:rsidRPr="00846F78">
        <w:rPr>
          <w:rFonts w:ascii="Arial" w:eastAsia="Arial" w:hAnsi="Arial" w:cs="Times New Roman"/>
        </w:rPr>
        <w:t xml:space="preserve"> and </w:t>
      </w:r>
      <w:r w:rsidR="00080FB6" w:rsidRPr="00490C53">
        <w:rPr>
          <w:rFonts w:ascii="Arial" w:eastAsia="Arial" w:hAnsi="Arial" w:cs="Times New Roman"/>
        </w:rPr>
        <w:t>October 2022</w:t>
      </w:r>
      <w:r w:rsidR="007D31EC" w:rsidRPr="00490C53">
        <w:rPr>
          <w:rFonts w:ascii="Arial" w:eastAsia="Arial" w:hAnsi="Arial" w:cs="Times New Roman"/>
        </w:rPr>
        <w:t xml:space="preserve">, of which </w:t>
      </w:r>
      <w:r w:rsidR="00662DA3" w:rsidRPr="00490C53">
        <w:rPr>
          <w:rFonts w:ascii="Arial" w:eastAsia="Arial" w:hAnsi="Arial" w:cs="Times New Roman"/>
        </w:rPr>
        <w:t xml:space="preserve">242 interviews were with BBLS borrowers, </w:t>
      </w:r>
      <w:r w:rsidR="00680B9F" w:rsidRPr="00490C53">
        <w:rPr>
          <w:rFonts w:ascii="Arial" w:eastAsia="Arial" w:hAnsi="Arial" w:cs="Times New Roman"/>
        </w:rPr>
        <w:t xml:space="preserve">189 </w:t>
      </w:r>
      <w:r w:rsidR="00680B9F" w:rsidRPr="00490C53">
        <w:rPr>
          <w:rFonts w:ascii="Arial" w:eastAsia="Arial" w:hAnsi="Arial" w:cs="Times New Roman"/>
        </w:rPr>
        <w:lastRenderedPageBreak/>
        <w:t xml:space="preserve">interviews were with CBILS </w:t>
      </w:r>
      <w:r w:rsidR="0042452F" w:rsidRPr="00490C53">
        <w:rPr>
          <w:rFonts w:ascii="Arial" w:eastAsia="Arial" w:hAnsi="Arial" w:cs="Times New Roman"/>
        </w:rPr>
        <w:t>borrowers,</w:t>
      </w:r>
      <w:r w:rsidR="00680B9F" w:rsidRPr="00490C53">
        <w:rPr>
          <w:rFonts w:ascii="Arial" w:eastAsia="Arial" w:hAnsi="Arial" w:cs="Times New Roman"/>
        </w:rPr>
        <w:t xml:space="preserve"> and 9 interviews were with CLBILS borrowers. </w:t>
      </w:r>
      <w:r w:rsidR="00215625" w:rsidRPr="00490C53">
        <w:rPr>
          <w:rFonts w:ascii="Arial" w:eastAsia="Arial" w:hAnsi="Arial" w:cs="Times New Roman"/>
        </w:rPr>
        <w:t xml:space="preserve">The remaining 521 interviews were with </w:t>
      </w:r>
      <w:r w:rsidR="005A7CBE" w:rsidRPr="00490C53">
        <w:rPr>
          <w:rFonts w:ascii="Arial" w:eastAsia="Arial" w:hAnsi="Arial" w:cs="Times New Roman"/>
        </w:rPr>
        <w:t xml:space="preserve">non-borrowers. </w:t>
      </w:r>
      <w:r w:rsidR="003D2BE7" w:rsidRPr="00490C53">
        <w:rPr>
          <w:rFonts w:ascii="Arial" w:eastAsia="Arial" w:hAnsi="Arial" w:cs="Times New Roman"/>
        </w:rPr>
        <w:t xml:space="preserve">Of the 961 interviews completed, 666 were with businesses that also responded to the survey conducted for the first year of the evaluation and 295 did not. </w:t>
      </w:r>
    </w:p>
    <w:p w14:paraId="777382D3" w14:textId="06F08797" w:rsidR="003D2BE7" w:rsidRPr="00490C53" w:rsidRDefault="003D2BE7" w:rsidP="00333498">
      <w:pPr>
        <w:rPr>
          <w:rFonts w:ascii="Arial" w:eastAsia="Arial" w:hAnsi="Arial" w:cs="Times New Roman"/>
        </w:rPr>
      </w:pPr>
      <w:r w:rsidRPr="00490C53">
        <w:rPr>
          <w:rFonts w:ascii="Arial" w:eastAsia="Arial" w:hAnsi="Arial" w:cs="Times New Roman"/>
        </w:rPr>
        <w:t xml:space="preserve">Due to the small number of </w:t>
      </w:r>
      <w:r w:rsidR="00D049C7" w:rsidRPr="00490C53">
        <w:rPr>
          <w:rFonts w:ascii="Arial" w:eastAsia="Arial" w:hAnsi="Arial" w:cs="Times New Roman"/>
        </w:rPr>
        <w:t xml:space="preserve">CLBILS interviews (in part due to the limited population size), and the similarity between </w:t>
      </w:r>
      <w:r w:rsidR="009F7FC0" w:rsidRPr="00490C53">
        <w:rPr>
          <w:rFonts w:ascii="Arial" w:eastAsia="Arial" w:hAnsi="Arial" w:cs="Times New Roman"/>
        </w:rPr>
        <w:t xml:space="preserve">CBILS and CLBILS (the main difference being that CLBILS served larger businesses, did not include a Business Interruption Payment, and the term was shorter), the CBILS and CLBILS samples </w:t>
      </w:r>
      <w:r w:rsidR="00C46B65">
        <w:rPr>
          <w:rFonts w:ascii="Arial" w:eastAsia="Arial" w:hAnsi="Arial" w:cs="Times New Roman"/>
        </w:rPr>
        <w:t>we</w:t>
      </w:r>
      <w:r w:rsidR="00C46B65" w:rsidRPr="00490C53">
        <w:rPr>
          <w:rFonts w:ascii="Arial" w:eastAsia="Arial" w:hAnsi="Arial" w:cs="Times New Roman"/>
        </w:rPr>
        <w:t xml:space="preserve">re </w:t>
      </w:r>
      <w:r w:rsidR="009F7FC0" w:rsidRPr="00490C53">
        <w:rPr>
          <w:rFonts w:ascii="Arial" w:eastAsia="Arial" w:hAnsi="Arial" w:cs="Times New Roman"/>
        </w:rPr>
        <w:t>combined in the analysis.</w:t>
      </w:r>
      <w:r w:rsidR="00080FB6" w:rsidRPr="00490C53">
        <w:rPr>
          <w:rStyle w:val="FootnoteReference"/>
          <w:rFonts w:ascii="Arial" w:eastAsia="Arial" w:hAnsi="Arial" w:cs="Times New Roman"/>
        </w:rPr>
        <w:footnoteReference w:id="36"/>
      </w:r>
      <w:r w:rsidR="00A830D6">
        <w:rPr>
          <w:rFonts w:ascii="Arial" w:eastAsia="Arial" w:hAnsi="Arial" w:cs="Times New Roman"/>
        </w:rPr>
        <w:t xml:space="preserve"> </w:t>
      </w:r>
      <w:r w:rsidR="001714B3" w:rsidRPr="00490C53">
        <w:rPr>
          <w:rStyle w:val="FootnoteReference"/>
          <w:rFonts w:ascii="Arial" w:eastAsia="Arial" w:hAnsi="Arial" w:cs="Times New Roman"/>
        </w:rPr>
        <w:footnoteReference w:id="37"/>
      </w:r>
    </w:p>
    <w:p w14:paraId="0EC6DCAA" w14:textId="3D712B29" w:rsidR="00B06A11" w:rsidRDefault="00B3626B" w:rsidP="00051ED5">
      <w:r w:rsidRPr="00490C53">
        <w:t xml:space="preserve">The </w:t>
      </w:r>
      <w:r w:rsidR="00705BBB">
        <w:t xml:space="preserve">Year 2 </w:t>
      </w:r>
      <w:r w:rsidR="00B1650D" w:rsidRPr="00490C53">
        <w:t>impact evaluation</w:t>
      </w:r>
      <w:r w:rsidR="00B06A11">
        <w:t xml:space="preserve"> </w:t>
      </w:r>
      <w:r w:rsidR="00B1650D" w:rsidRPr="00490C53">
        <w:t xml:space="preserve">relies on a combination of </w:t>
      </w:r>
      <w:r w:rsidR="00EC47E5">
        <w:t xml:space="preserve">survey-based </w:t>
      </w:r>
      <w:r w:rsidR="00871C06" w:rsidRPr="00490C53">
        <w:t>self-reported impacts,</w:t>
      </w:r>
      <w:r w:rsidR="0064117F" w:rsidRPr="00490C53">
        <w:t xml:space="preserve"> secondary data</w:t>
      </w:r>
      <w:r w:rsidR="00080FB6" w:rsidRPr="00490C53">
        <w:t>,</w:t>
      </w:r>
      <w:r w:rsidR="0064117F" w:rsidRPr="00490C53">
        <w:t xml:space="preserve"> and</w:t>
      </w:r>
      <w:r w:rsidR="00871C06" w:rsidRPr="00490C53">
        <w:t xml:space="preserve"> </w:t>
      </w:r>
      <w:r w:rsidR="005B281E" w:rsidRPr="00490C53">
        <w:t>econometric analysis</w:t>
      </w:r>
      <w:r w:rsidR="001569D6">
        <w:t xml:space="preserve"> of survey data</w:t>
      </w:r>
      <w:r w:rsidR="005B281E" w:rsidRPr="00490C53">
        <w:t xml:space="preserve">. </w:t>
      </w:r>
      <w:r w:rsidR="00B06A11">
        <w:t xml:space="preserve">In particular: </w:t>
      </w:r>
    </w:p>
    <w:p w14:paraId="6DCC6635" w14:textId="11849CD9" w:rsidR="00B06A11" w:rsidRDefault="005B281E" w:rsidP="00B06A11">
      <w:pPr>
        <w:pStyle w:val="ListBullet"/>
      </w:pPr>
      <w:r>
        <w:t xml:space="preserve">The impact of the Covid-19 Loan Guarantee Schemes on business survival </w:t>
      </w:r>
      <w:r w:rsidR="00E4544C">
        <w:t xml:space="preserve">is estimated based on observed </w:t>
      </w:r>
      <w:r w:rsidR="004550ED">
        <w:t xml:space="preserve">closure </w:t>
      </w:r>
      <w:r w:rsidR="00E4544C">
        <w:t xml:space="preserve">rates in BBB </w:t>
      </w:r>
      <w:r w:rsidR="00265584">
        <w:t>Portal D</w:t>
      </w:r>
      <w:r w:rsidR="00E4544C">
        <w:t>ata as well as businesses’ own assessment of their survival prospects in the absence of the Covid-19 Loan Guarantee Schemes</w:t>
      </w:r>
      <w:r w:rsidR="00EC47E5">
        <w:t>, collected through the survey</w:t>
      </w:r>
      <w:r w:rsidR="00E4544C">
        <w:t xml:space="preserve">. </w:t>
      </w:r>
    </w:p>
    <w:p w14:paraId="78F52000" w14:textId="1909638C" w:rsidR="00B06A11" w:rsidRDefault="00E4544C" w:rsidP="00B06A11">
      <w:pPr>
        <w:pStyle w:val="ListBullet"/>
      </w:pPr>
      <w:r>
        <w:t xml:space="preserve">The </w:t>
      </w:r>
      <w:r w:rsidR="00E80CC6">
        <w:t>estimation</w:t>
      </w:r>
      <w:r w:rsidR="00C10608">
        <w:t xml:space="preserve"> of the </w:t>
      </w:r>
      <w:r w:rsidR="005611B8">
        <w:t xml:space="preserve">direct </w:t>
      </w:r>
      <w:r w:rsidR="00C10608">
        <w:t xml:space="preserve">effect of the </w:t>
      </w:r>
      <w:r w:rsidR="003F50B8">
        <w:t>Covid-19 Loan Guarantee S</w:t>
      </w:r>
      <w:r w:rsidR="00C10608">
        <w:t xml:space="preserve">chemes on borrowers’ turnover and employment is based on econometric analysis </w:t>
      </w:r>
      <w:r w:rsidR="00D023E0">
        <w:t xml:space="preserve">of survey data </w:t>
      </w:r>
      <w:r w:rsidR="00C10608">
        <w:t xml:space="preserve">that incorporates </w:t>
      </w:r>
      <w:r w:rsidR="00202B4B">
        <w:t>several business charac</w:t>
      </w:r>
      <w:r w:rsidR="005611B8">
        <w:t>teristics</w:t>
      </w:r>
      <w:r w:rsidR="00265584">
        <w:t xml:space="preserve">, </w:t>
      </w:r>
      <w:r w:rsidR="005611B8">
        <w:t>the kinds of obstacles they faced because of the pandemic</w:t>
      </w:r>
      <w:r w:rsidR="00265584">
        <w:t>, and use of other business support schemes</w:t>
      </w:r>
      <w:r w:rsidR="005611B8">
        <w:t xml:space="preserve">. </w:t>
      </w:r>
    </w:p>
    <w:p w14:paraId="418433B2" w14:textId="4889E630" w:rsidR="00F16F74" w:rsidRDefault="00265584" w:rsidP="002D323B">
      <w:pPr>
        <w:pStyle w:val="ListBullet"/>
      </w:pPr>
      <w:r>
        <w:t>I</w:t>
      </w:r>
      <w:r w:rsidR="005611B8">
        <w:t xml:space="preserve">ndirect impacts of the </w:t>
      </w:r>
      <w:r w:rsidR="006C2433">
        <w:t xml:space="preserve">Covid-19 Loan Guarantee Schemes </w:t>
      </w:r>
      <w:r>
        <w:t>are also explored</w:t>
      </w:r>
      <w:r w:rsidR="00E80CC6">
        <w:t xml:space="preserve"> econometrically, using data from the survey as well as </w:t>
      </w:r>
      <w:r w:rsidR="00A02079">
        <w:t xml:space="preserve">BBB Management Information and HMRC data on the use of the </w:t>
      </w:r>
      <w:r w:rsidR="00CC2ABE">
        <w:t>Coronavirus Job Retention Scheme (</w:t>
      </w:r>
      <w:r w:rsidR="00A02079">
        <w:t>CJRS</w:t>
      </w:r>
      <w:r w:rsidR="00CC2ABE">
        <w:t>)</w:t>
      </w:r>
      <w:r w:rsidR="00A02079">
        <w:t xml:space="preserve">. </w:t>
      </w:r>
    </w:p>
    <w:p w14:paraId="093446B6" w14:textId="7823C832" w:rsidR="00B06A11" w:rsidRDefault="00B06A11" w:rsidP="00051ED5">
      <w:r>
        <w:t>This chapter also triangulates some of the results with other sources of evidence (</w:t>
      </w:r>
      <w:r w:rsidR="00994BE7">
        <w:t>for example</w:t>
      </w:r>
      <w:r>
        <w:t xml:space="preserve"> analysis from DBT and the ONS). Furthermore, the Year 2 results will be </w:t>
      </w:r>
      <w:r w:rsidR="00BF395D">
        <w:t xml:space="preserve">assessed </w:t>
      </w:r>
      <w:r>
        <w:t xml:space="preserve">in the Year 3 report of this evaluation (in a similar manner to the </w:t>
      </w:r>
      <w:r w:rsidR="00BF395D">
        <w:t xml:space="preserve">secondary analysis </w:t>
      </w:r>
      <w:r>
        <w:t xml:space="preserve">of the results from the Year 1 </w:t>
      </w:r>
      <w:r w:rsidR="0041021A">
        <w:t xml:space="preserve">report </w:t>
      </w:r>
      <w:r>
        <w:t xml:space="preserve">that are presented later in this </w:t>
      </w:r>
      <w:r w:rsidR="0041021A">
        <w:t xml:space="preserve">Year 2 </w:t>
      </w:r>
      <w:r>
        <w:t xml:space="preserve">report). </w:t>
      </w:r>
    </w:p>
    <w:p w14:paraId="45A2447E" w14:textId="09212ADA" w:rsidR="00F40D90" w:rsidRPr="002D323B" w:rsidRDefault="00F40D90" w:rsidP="00051ED5">
      <w:pPr>
        <w:rPr>
          <w:rFonts w:ascii="Arial" w:eastAsia="Arial" w:hAnsi="Arial" w:cs="Times New Roman"/>
        </w:rPr>
      </w:pPr>
      <w:r w:rsidRPr="00490C53">
        <w:rPr>
          <w:rFonts w:ascii="Arial" w:eastAsia="Arial" w:hAnsi="Arial" w:cs="Times New Roman"/>
        </w:rPr>
        <w:t xml:space="preserve">For increased comparability between </w:t>
      </w:r>
      <w:r w:rsidR="00E86207">
        <w:rPr>
          <w:rFonts w:ascii="Arial" w:eastAsia="Arial" w:hAnsi="Arial" w:cs="Times New Roman"/>
        </w:rPr>
        <w:t xml:space="preserve">the borrower (or </w:t>
      </w:r>
      <w:r w:rsidRPr="00490C53">
        <w:rPr>
          <w:rFonts w:ascii="Arial" w:eastAsia="Arial" w:hAnsi="Arial" w:cs="Times New Roman"/>
        </w:rPr>
        <w:t>treatment</w:t>
      </w:r>
      <w:r w:rsidR="00E86207">
        <w:rPr>
          <w:rFonts w:ascii="Arial" w:eastAsia="Arial" w:hAnsi="Arial" w:cs="Times New Roman"/>
        </w:rPr>
        <w:t>) group</w:t>
      </w:r>
      <w:r w:rsidRPr="00490C53">
        <w:rPr>
          <w:rFonts w:ascii="Arial" w:eastAsia="Arial" w:hAnsi="Arial" w:cs="Times New Roman"/>
        </w:rPr>
        <w:t xml:space="preserve"> and </w:t>
      </w:r>
      <w:r w:rsidR="00E86207">
        <w:rPr>
          <w:rFonts w:ascii="Arial" w:eastAsia="Arial" w:hAnsi="Arial" w:cs="Times New Roman"/>
        </w:rPr>
        <w:t xml:space="preserve">the </w:t>
      </w:r>
      <w:r w:rsidR="000F45EE">
        <w:rPr>
          <w:rFonts w:ascii="Arial" w:eastAsia="Arial" w:hAnsi="Arial" w:cs="Times New Roman"/>
        </w:rPr>
        <w:t>non-borrower</w:t>
      </w:r>
      <w:r w:rsidRPr="00490C53">
        <w:rPr>
          <w:rFonts w:ascii="Arial" w:eastAsia="Arial" w:hAnsi="Arial" w:cs="Times New Roman"/>
        </w:rPr>
        <w:t xml:space="preserve"> group, non-borrowers were screened during fieldwork based on whether they faced challenge </w:t>
      </w:r>
      <w:r w:rsidRPr="00490C53">
        <w:rPr>
          <w:rFonts w:ascii="Arial" w:eastAsia="Arial" w:hAnsi="Arial" w:cs="Times New Roman"/>
        </w:rPr>
        <w:lastRenderedPageBreak/>
        <w:t xml:space="preserve">or opportunities because of the Covid-19 pandemic. </w:t>
      </w:r>
      <w:proofErr w:type="gramStart"/>
      <w:r>
        <w:rPr>
          <w:rFonts w:ascii="Arial" w:eastAsia="Arial" w:hAnsi="Arial" w:cs="Times New Roman"/>
        </w:rPr>
        <w:t>In particular, businesses</w:t>
      </w:r>
      <w:proofErr w:type="gramEnd"/>
      <w:r>
        <w:rPr>
          <w:rFonts w:ascii="Arial" w:eastAsia="Arial" w:hAnsi="Arial" w:cs="Times New Roman"/>
        </w:rPr>
        <w:t xml:space="preserve"> that indicated they did not face challenges or opportunities arising from the Covid-19 pandemic were excluded from consideration for the </w:t>
      </w:r>
      <w:r w:rsidR="000F45EE">
        <w:rPr>
          <w:rFonts w:ascii="Arial" w:eastAsia="Arial" w:hAnsi="Arial" w:cs="Times New Roman"/>
        </w:rPr>
        <w:t>non-borrower</w:t>
      </w:r>
      <w:r>
        <w:rPr>
          <w:rFonts w:ascii="Arial" w:eastAsia="Arial" w:hAnsi="Arial" w:cs="Times New Roman"/>
        </w:rPr>
        <w:t xml:space="preserve"> group.</w:t>
      </w:r>
      <w:r w:rsidR="00B06A11">
        <w:rPr>
          <w:rStyle w:val="FootnoteReference"/>
          <w:rFonts w:ascii="Arial" w:eastAsia="Arial" w:hAnsi="Arial" w:cs="Times New Roman"/>
        </w:rPr>
        <w:footnoteReference w:id="38"/>
      </w:r>
      <w:r>
        <w:rPr>
          <w:rFonts w:ascii="Arial" w:eastAsia="Arial" w:hAnsi="Arial" w:cs="Times New Roman"/>
        </w:rPr>
        <w:t xml:space="preserve"> </w:t>
      </w:r>
      <w:r w:rsidRPr="00490C53">
        <w:rPr>
          <w:rFonts w:ascii="Arial" w:eastAsia="Arial" w:hAnsi="Arial" w:cs="Times New Roman"/>
        </w:rPr>
        <w:t xml:space="preserve">This </w:t>
      </w:r>
      <w:r>
        <w:rPr>
          <w:rFonts w:ascii="Arial" w:eastAsia="Arial" w:hAnsi="Arial" w:cs="Times New Roman"/>
        </w:rPr>
        <w:t>ensures</w:t>
      </w:r>
      <w:r w:rsidRPr="00490C53">
        <w:rPr>
          <w:rFonts w:ascii="Arial" w:eastAsia="Arial" w:hAnsi="Arial" w:cs="Times New Roman"/>
        </w:rPr>
        <w:t xml:space="preserve"> that, like borrowers,</w:t>
      </w:r>
      <w:r>
        <w:rPr>
          <w:rStyle w:val="FootnoteReference"/>
          <w:rFonts w:ascii="Arial" w:eastAsia="Arial" w:hAnsi="Arial" w:cs="Times New Roman"/>
        </w:rPr>
        <w:footnoteReference w:id="39"/>
      </w:r>
      <w:r w:rsidRPr="00490C53">
        <w:rPr>
          <w:rFonts w:ascii="Arial" w:eastAsia="Arial" w:hAnsi="Arial" w:cs="Times New Roman"/>
        </w:rPr>
        <w:t xml:space="preserve"> </w:t>
      </w:r>
      <w:r w:rsidR="007B7EE2">
        <w:rPr>
          <w:rFonts w:ascii="Arial" w:eastAsia="Arial" w:hAnsi="Arial" w:cs="Times New Roman"/>
        </w:rPr>
        <w:t>non-borrowers</w:t>
      </w:r>
      <w:r w:rsidRPr="00490C53">
        <w:rPr>
          <w:rFonts w:ascii="Arial" w:eastAsia="Arial" w:hAnsi="Arial" w:cs="Times New Roman"/>
        </w:rPr>
        <w:t xml:space="preserve"> were also impacted by the pandemic and therefore </w:t>
      </w:r>
      <w:r>
        <w:rPr>
          <w:rFonts w:ascii="Arial" w:eastAsia="Arial" w:hAnsi="Arial" w:cs="Times New Roman"/>
        </w:rPr>
        <w:t>makes it more likely that they</w:t>
      </w:r>
      <w:r w:rsidRPr="00490C53">
        <w:rPr>
          <w:rFonts w:ascii="Arial" w:eastAsia="Arial" w:hAnsi="Arial" w:cs="Times New Roman"/>
        </w:rPr>
        <w:t xml:space="preserve"> faced similar financial or operational issues to borrowers. </w:t>
      </w:r>
      <w:r w:rsidR="00265584">
        <w:rPr>
          <w:rFonts w:ascii="Arial" w:eastAsia="Arial" w:hAnsi="Arial" w:cs="Times New Roman"/>
        </w:rPr>
        <w:t>To further increase comparability of the borrower and non-borrower groups considered in the econometric analysis</w:t>
      </w:r>
      <w:r w:rsidR="00D023E0">
        <w:rPr>
          <w:rFonts w:ascii="Arial" w:eastAsia="Arial" w:hAnsi="Arial" w:cs="Times New Roman"/>
        </w:rPr>
        <w:t>,</w:t>
      </w:r>
      <w:r>
        <w:rPr>
          <w:rFonts w:ascii="Arial" w:eastAsia="Arial" w:hAnsi="Arial" w:cs="Times New Roman"/>
        </w:rPr>
        <w:t xml:space="preserve"> additional matching between </w:t>
      </w:r>
      <w:r w:rsidR="00265584">
        <w:rPr>
          <w:rFonts w:ascii="Arial" w:eastAsia="Arial" w:hAnsi="Arial" w:cs="Times New Roman"/>
        </w:rPr>
        <w:t>both groups</w:t>
      </w:r>
      <w:r>
        <w:rPr>
          <w:rFonts w:ascii="Arial" w:eastAsia="Arial" w:hAnsi="Arial" w:cs="Times New Roman"/>
        </w:rPr>
        <w:t xml:space="preserve"> </w:t>
      </w:r>
      <w:r w:rsidR="00B06A11">
        <w:rPr>
          <w:rFonts w:ascii="Arial" w:eastAsia="Arial" w:hAnsi="Arial" w:cs="Times New Roman"/>
        </w:rPr>
        <w:t>wa</w:t>
      </w:r>
      <w:r>
        <w:rPr>
          <w:rFonts w:ascii="Arial" w:eastAsia="Arial" w:hAnsi="Arial" w:cs="Times New Roman"/>
        </w:rPr>
        <w:t>s carried out (</w:t>
      </w:r>
      <w:r w:rsidR="00265584">
        <w:rPr>
          <w:rFonts w:ascii="Arial" w:eastAsia="Arial" w:hAnsi="Arial" w:cs="Times New Roman"/>
        </w:rPr>
        <w:t xml:space="preserve">based on borrower characteristics, and </w:t>
      </w:r>
      <w:r>
        <w:rPr>
          <w:rFonts w:ascii="Arial" w:eastAsia="Arial" w:hAnsi="Arial" w:cs="Times New Roman"/>
        </w:rPr>
        <w:t>the kinds of obstacles faced during the pandemic).</w:t>
      </w:r>
      <w:r>
        <w:rPr>
          <w:rStyle w:val="FootnoteReference"/>
          <w:rFonts w:ascii="Arial" w:eastAsia="Arial" w:hAnsi="Arial" w:cs="Times New Roman"/>
        </w:rPr>
        <w:footnoteReference w:id="40"/>
      </w:r>
      <w:r>
        <w:rPr>
          <w:rFonts w:ascii="Arial" w:eastAsia="Arial" w:hAnsi="Arial" w:cs="Times New Roman"/>
        </w:rPr>
        <w:t xml:space="preserve"> </w:t>
      </w:r>
    </w:p>
    <w:p w14:paraId="1327B124" w14:textId="07C89F00" w:rsidR="00FA506D" w:rsidRPr="00490C53" w:rsidRDefault="00FA506D" w:rsidP="00051ED5">
      <w:r w:rsidRPr="00490C53">
        <w:t xml:space="preserve">The rest of this chapter outlines </w:t>
      </w:r>
      <w:r w:rsidR="001C3309" w:rsidRPr="00490C53">
        <w:t>the results of each of the strands of analysis listed above in turn</w:t>
      </w:r>
      <w:r w:rsidR="001569D6">
        <w:t>, starting with the analysis of business survival – based on survey and secondary data – the econometric analysis of turnover and employment – based on survey data – and the econometric analysis investigating whether the Covid-19 Loan Guarantee Schemes had indirect impacts on borrowers’ and non-borrowers’ turnover and employment – based on survey and secondary data</w:t>
      </w:r>
      <w:r w:rsidR="001C3309" w:rsidRPr="00490C53">
        <w:t xml:space="preserve">. Additional methodological information and results can be found in </w:t>
      </w:r>
      <w:r w:rsidR="001C3309" w:rsidRPr="00490C53">
        <w:fldChar w:fldCharType="begin"/>
      </w:r>
      <w:r w:rsidR="001C3309" w:rsidRPr="00490C53">
        <w:instrText xml:space="preserve"> REF _Ref122005768 \h </w:instrText>
      </w:r>
      <w:r w:rsidR="001C3309" w:rsidRPr="00490C53">
        <w:fldChar w:fldCharType="separate"/>
      </w:r>
      <w:r w:rsidR="00397D49" w:rsidRPr="00490C53">
        <w:t>Annex 3</w:t>
      </w:r>
      <w:r w:rsidR="001C3309" w:rsidRPr="00490C53">
        <w:fldChar w:fldCharType="end"/>
      </w:r>
      <w:r w:rsidR="001C3309" w:rsidRPr="00490C53">
        <w:t>.</w:t>
      </w:r>
    </w:p>
    <w:p w14:paraId="226E74E5" w14:textId="77777777" w:rsidR="00051ED5" w:rsidRPr="00490C53" w:rsidRDefault="00051ED5" w:rsidP="00051ED5">
      <w:pPr>
        <w:pStyle w:val="Heading2"/>
      </w:pPr>
      <w:bookmarkStart w:id="125" w:name="_Ref123724573"/>
      <w:bookmarkStart w:id="126" w:name="_Toc151549888"/>
      <w:r w:rsidRPr="00490C53">
        <w:t>Impact on business survival</w:t>
      </w:r>
      <w:bookmarkEnd w:id="125"/>
      <w:bookmarkEnd w:id="126"/>
    </w:p>
    <w:p w14:paraId="751B4CCB" w14:textId="70014F6D" w:rsidR="00905F22" w:rsidRDefault="00B23BB5" w:rsidP="00B23BB5">
      <w:r w:rsidRPr="00490C53">
        <w:t xml:space="preserve">To </w:t>
      </w:r>
      <w:r w:rsidR="00E720BF">
        <w:t>assess</w:t>
      </w:r>
      <w:r w:rsidR="00E720BF" w:rsidRPr="00490C53">
        <w:t xml:space="preserve"> </w:t>
      </w:r>
      <w:r w:rsidRPr="00490C53">
        <w:t xml:space="preserve">the Covid-19 Loan Guarantee Schemes’ impact on the survival of businesses, this study </w:t>
      </w:r>
      <w:r w:rsidR="00974AE2" w:rsidRPr="00490C53">
        <w:t>estimate</w:t>
      </w:r>
      <w:r w:rsidR="00080FB6" w:rsidRPr="00490C53">
        <w:t>d</w:t>
      </w:r>
      <w:r w:rsidR="00974AE2" w:rsidRPr="00490C53">
        <w:t xml:space="preserve"> </w:t>
      </w:r>
      <w:r w:rsidR="00B8251D" w:rsidRPr="00490C53">
        <w:t xml:space="preserve">the additional number of </w:t>
      </w:r>
      <w:r w:rsidR="005A2507" w:rsidRPr="00490C53">
        <w:t xml:space="preserve">businesses that would have ceased trading without access to the </w:t>
      </w:r>
      <w:r w:rsidR="003B7481" w:rsidRPr="00490C53">
        <w:t>s</w:t>
      </w:r>
      <w:r w:rsidR="005A2507" w:rsidRPr="00490C53">
        <w:t>chemes</w:t>
      </w:r>
      <w:r w:rsidR="00905F22" w:rsidRPr="00490C53">
        <w:t xml:space="preserve"> by comparing </w:t>
      </w:r>
      <w:r w:rsidR="003F6959" w:rsidRPr="00490C53">
        <w:t xml:space="preserve">observed </w:t>
      </w:r>
      <w:r w:rsidR="00905F22" w:rsidRPr="00490C53">
        <w:t xml:space="preserve">and </w:t>
      </w:r>
      <w:r w:rsidR="00EA4F73">
        <w:t>(</w:t>
      </w:r>
      <w:r w:rsidR="00E87DEE">
        <w:t>self-reported</w:t>
      </w:r>
      <w:r w:rsidR="00EA4F73">
        <w:t>)</w:t>
      </w:r>
      <w:r w:rsidR="00E87DEE">
        <w:t xml:space="preserve"> </w:t>
      </w:r>
      <w:r w:rsidR="00905F22" w:rsidRPr="00490C53">
        <w:t xml:space="preserve">counterfactual </w:t>
      </w:r>
      <w:r w:rsidR="004550ED">
        <w:t>closure</w:t>
      </w:r>
      <w:r w:rsidR="004550ED" w:rsidRPr="00490C53">
        <w:t xml:space="preserve"> </w:t>
      </w:r>
      <w:r w:rsidR="00905F22" w:rsidRPr="00490C53">
        <w:t>rates</w:t>
      </w:r>
      <w:r w:rsidR="005A2507" w:rsidRPr="00490C53">
        <w:t>.</w:t>
      </w:r>
      <w:r w:rsidR="00AE1AC1" w:rsidRPr="00490C53">
        <w:t xml:space="preserve"> </w:t>
      </w:r>
      <w:r w:rsidR="00936118">
        <w:fldChar w:fldCharType="begin"/>
      </w:r>
      <w:r w:rsidR="00936118">
        <w:instrText xml:space="preserve"> REF _Ref132883913 \h </w:instrText>
      </w:r>
      <w:r w:rsidR="00936118">
        <w:fldChar w:fldCharType="separate"/>
      </w:r>
      <w:r w:rsidR="00397D49" w:rsidRPr="00490C53">
        <w:t xml:space="preserve">Figure </w:t>
      </w:r>
      <w:r w:rsidR="00397D49">
        <w:rPr>
          <w:noProof/>
        </w:rPr>
        <w:t>9</w:t>
      </w:r>
      <w:r w:rsidR="00936118">
        <w:fldChar w:fldCharType="end"/>
      </w:r>
      <w:r w:rsidR="00936118">
        <w:t xml:space="preserve"> shows the timeline over which the business survival impacts are estimated in the first and second year of the evaluation.</w:t>
      </w:r>
    </w:p>
    <w:p w14:paraId="580C8148" w14:textId="031B36AE" w:rsidR="00E76C4E" w:rsidRPr="00490C53" w:rsidRDefault="00E76C4E" w:rsidP="00E76C4E">
      <w:pPr>
        <w:pStyle w:val="Heading5"/>
      </w:pPr>
      <w:bookmarkStart w:id="127" w:name="_Ref132883913"/>
      <w:r w:rsidRPr="00490C53">
        <w:lastRenderedPageBreak/>
        <w:t xml:space="preserve">Figure </w:t>
      </w:r>
      <w:r>
        <w:fldChar w:fldCharType="begin"/>
      </w:r>
      <w:r>
        <w:instrText>SEQ Figure \* ARABIC</w:instrText>
      </w:r>
      <w:r>
        <w:fldChar w:fldCharType="separate"/>
      </w:r>
      <w:r w:rsidR="00397D49">
        <w:rPr>
          <w:noProof/>
        </w:rPr>
        <w:t>9</w:t>
      </w:r>
      <w:r>
        <w:fldChar w:fldCharType="end"/>
      </w:r>
      <w:bookmarkEnd w:id="127"/>
      <w:r w:rsidRPr="00490C53">
        <w:t xml:space="preserve">: </w:t>
      </w:r>
      <w:r>
        <w:t xml:space="preserve">Timeline of </w:t>
      </w:r>
      <w:r w:rsidR="000872C8">
        <w:t xml:space="preserve">self-reported </w:t>
      </w:r>
      <w:r>
        <w:t>business survival analysis</w:t>
      </w:r>
    </w:p>
    <w:p w14:paraId="7BDA687D" w14:textId="5347CF1D" w:rsidR="00640857" w:rsidRPr="00490C53" w:rsidRDefault="00936118" w:rsidP="00B23BB5">
      <w:r w:rsidRPr="00936118">
        <w:rPr>
          <w:noProof/>
        </w:rPr>
        <w:drawing>
          <wp:inline distT="0" distB="0" distL="0" distR="0" wp14:anchorId="3F1037CE" wp14:editId="417AE66D">
            <wp:extent cx="6447790" cy="2635250"/>
            <wp:effectExtent l="0" t="0" r="0" b="0"/>
            <wp:docPr id="1848895945" name="Picture 1848895945" descr="CBILS, CLBILS and BBLS were launched in March, April and May 2020 respectively, all closing in April 2021. The Year 1 business survival impact estimate covers the period up to the end of December 2020 and the Year 2 business survival estimate covers the period up to the end of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95945" name="Picture 1848895945" descr="CBILS, CLBILS and BBLS were launched in March, April and May 2020 respectively, all closing in April 2021. The Year 1 business survival impact estimate covers the period up to the end of December 2020 and the Year 2 business survival estimate covers the period up to the end of December 2021."/>
                    <pic:cNvPicPr/>
                  </pic:nvPicPr>
                  <pic:blipFill>
                    <a:blip r:embed="rId26"/>
                    <a:stretch>
                      <a:fillRect/>
                    </a:stretch>
                  </pic:blipFill>
                  <pic:spPr>
                    <a:xfrm>
                      <a:off x="0" y="0"/>
                      <a:ext cx="6447790" cy="2635250"/>
                    </a:xfrm>
                    <a:prstGeom prst="rect">
                      <a:avLst/>
                    </a:prstGeom>
                  </pic:spPr>
                </pic:pic>
              </a:graphicData>
            </a:graphic>
          </wp:inline>
        </w:drawing>
      </w:r>
    </w:p>
    <w:p w14:paraId="0355BD8A" w14:textId="0C42EB13" w:rsidR="00B8251D" w:rsidRPr="00490C53" w:rsidRDefault="002F7533" w:rsidP="00B23BB5">
      <w:r w:rsidRPr="00490C53">
        <w:t>T</w:t>
      </w:r>
      <w:r w:rsidR="00AE1AC1" w:rsidRPr="00490C53">
        <w:t xml:space="preserve">he observed </w:t>
      </w:r>
      <w:r w:rsidR="004550ED">
        <w:t>closure</w:t>
      </w:r>
      <w:r w:rsidR="004550ED" w:rsidRPr="00490C53">
        <w:t xml:space="preserve"> </w:t>
      </w:r>
      <w:r w:rsidR="00AE1AC1" w:rsidRPr="00490C53">
        <w:t xml:space="preserve">rate of businesses which received a loan under </w:t>
      </w:r>
      <w:r w:rsidR="006257EF" w:rsidRPr="00490C53">
        <w:t xml:space="preserve">BBLS, CBILS or CLBILS, </w:t>
      </w:r>
      <w:r w:rsidR="009F07F8" w:rsidRPr="00490C53">
        <w:t>defined a</w:t>
      </w:r>
      <w:r w:rsidR="009114AC" w:rsidRPr="00490C53">
        <w:t xml:space="preserve">s the proportion of borrowers </w:t>
      </w:r>
      <w:r w:rsidR="005031D8" w:rsidRPr="00490C53">
        <w:t>that</w:t>
      </w:r>
      <w:r w:rsidR="009114AC" w:rsidRPr="00490C53">
        <w:t xml:space="preserve"> </w:t>
      </w:r>
      <w:r w:rsidR="004550ED">
        <w:t>permanently closed</w:t>
      </w:r>
      <w:r w:rsidR="004550ED" w:rsidRPr="00490C53">
        <w:t xml:space="preserve"> </w:t>
      </w:r>
      <w:r w:rsidR="009114AC" w:rsidRPr="00490C53">
        <w:t xml:space="preserve">before the end of </w:t>
      </w:r>
      <w:r w:rsidR="0004097B">
        <w:t xml:space="preserve">December </w:t>
      </w:r>
      <w:r w:rsidR="009114AC" w:rsidRPr="00490C53">
        <w:t xml:space="preserve">2021, is estimated using </w:t>
      </w:r>
      <w:r w:rsidR="00EA4F73">
        <w:t>BBB Portal Data</w:t>
      </w:r>
      <w:r w:rsidR="009114AC" w:rsidRPr="00490C53">
        <w:t xml:space="preserve"> (see </w:t>
      </w:r>
      <w:r w:rsidR="009114AC" w:rsidRPr="00490C53">
        <w:fldChar w:fldCharType="begin"/>
      </w:r>
      <w:r w:rsidR="009114AC" w:rsidRPr="00490C53">
        <w:instrText xml:space="preserve"> REF _Ref121909617 \h </w:instrText>
      </w:r>
      <w:r w:rsidR="006C66FA" w:rsidRPr="00846F78">
        <w:instrText xml:space="preserve"> \* MERGEFORMAT </w:instrText>
      </w:r>
      <w:r w:rsidR="009114AC" w:rsidRPr="00490C53">
        <w:fldChar w:fldCharType="separate"/>
      </w:r>
      <w:r w:rsidR="00397D49" w:rsidRPr="00490C53">
        <w:t>Annex 3</w:t>
      </w:r>
      <w:r w:rsidR="009114AC" w:rsidRPr="00490C53">
        <w:fldChar w:fldCharType="end"/>
      </w:r>
      <w:r w:rsidR="009114AC" w:rsidRPr="00490C53">
        <w:t xml:space="preserve"> for more detail). </w:t>
      </w:r>
      <w:r w:rsidR="002913AB" w:rsidRPr="00490C53">
        <w:t xml:space="preserve">This is </w:t>
      </w:r>
      <w:r w:rsidR="00905F22" w:rsidRPr="00490C53">
        <w:t xml:space="preserve">then </w:t>
      </w:r>
      <w:r w:rsidR="002913AB" w:rsidRPr="00490C53">
        <w:t xml:space="preserve">compared to the counterfactual </w:t>
      </w:r>
      <w:r w:rsidR="004550ED">
        <w:t>closure</w:t>
      </w:r>
      <w:r w:rsidR="004550ED" w:rsidRPr="00490C53">
        <w:t xml:space="preserve"> </w:t>
      </w:r>
      <w:r w:rsidR="002913AB" w:rsidRPr="00490C53">
        <w:t xml:space="preserve">rate, according to a scenario </w:t>
      </w:r>
      <w:r w:rsidR="00231D06" w:rsidRPr="00490C53">
        <w:t xml:space="preserve">under which the Covid-19 Loan Guarantee Schemes had not been in place, which is estimated using a survey question which asked businesses to assess the likelihood with which they would have permanently closed before </w:t>
      </w:r>
      <w:r w:rsidR="00AD49E5">
        <w:t xml:space="preserve">the </w:t>
      </w:r>
      <w:r w:rsidR="00231D06" w:rsidRPr="00490C53">
        <w:t xml:space="preserve">end of </w:t>
      </w:r>
      <w:r w:rsidR="0004097B">
        <w:t xml:space="preserve">December </w:t>
      </w:r>
      <w:r w:rsidR="00231D06" w:rsidRPr="00490C53">
        <w:t>2021 if they had not received funding from one of the Covid-19 Loan Guarantee Schemes.</w:t>
      </w:r>
      <w:r w:rsidR="00231D06" w:rsidRPr="00490C53">
        <w:rPr>
          <w:rStyle w:val="FootnoteReference"/>
        </w:rPr>
        <w:footnoteReference w:id="41"/>
      </w:r>
    </w:p>
    <w:p w14:paraId="5697CF9B" w14:textId="7AE10C9F" w:rsidR="00FE35A8" w:rsidRDefault="00736BC3" w:rsidP="00051ED5">
      <w:r w:rsidRPr="00490C53">
        <w:t xml:space="preserve">It is estimated that between </w:t>
      </w:r>
      <w:r w:rsidR="00D75F13" w:rsidRPr="00490C53">
        <w:t>12% and 43%</w:t>
      </w:r>
      <w:r w:rsidR="00C6208D">
        <w:rPr>
          <w:rStyle w:val="FootnoteReference"/>
        </w:rPr>
        <w:footnoteReference w:id="42"/>
      </w:r>
      <w:r w:rsidR="00D75F13" w:rsidRPr="00490C53">
        <w:t xml:space="preserve"> of BBLS borrowers </w:t>
      </w:r>
      <w:r w:rsidRPr="00490C53">
        <w:t xml:space="preserve">that </w:t>
      </w:r>
      <w:r w:rsidR="000E5352" w:rsidRPr="00490C53">
        <w:t>have not permanently</w:t>
      </w:r>
      <w:r w:rsidR="003D60A6" w:rsidRPr="00490C53">
        <w:t xml:space="preserve"> closed</w:t>
      </w:r>
      <w:r w:rsidRPr="00490C53">
        <w:t xml:space="preserve"> </w:t>
      </w:r>
      <w:r w:rsidR="00205D6F" w:rsidRPr="00490C53">
        <w:t xml:space="preserve">would have </w:t>
      </w:r>
      <w:r w:rsidR="00844E5C" w:rsidRPr="00490C53">
        <w:t>permanently closed</w:t>
      </w:r>
      <w:r w:rsidR="00D75F13" w:rsidRPr="00490C53">
        <w:t xml:space="preserve"> </w:t>
      </w:r>
      <w:r w:rsidR="001C0D8B" w:rsidRPr="00490C53">
        <w:t xml:space="preserve">by </w:t>
      </w:r>
      <w:r w:rsidR="00705BBB">
        <w:t>December</w:t>
      </w:r>
      <w:r w:rsidR="001C0D8B" w:rsidRPr="00490C53">
        <w:t xml:space="preserve"> 2021 </w:t>
      </w:r>
      <w:r w:rsidR="00D75F13" w:rsidRPr="00490C53">
        <w:t xml:space="preserve">if they </w:t>
      </w:r>
      <w:r w:rsidR="0036140D" w:rsidRPr="00490C53">
        <w:t xml:space="preserve">had </w:t>
      </w:r>
      <w:r w:rsidR="00D75F13" w:rsidRPr="00490C53">
        <w:t xml:space="preserve">not </w:t>
      </w:r>
      <w:r w:rsidR="0036140D" w:rsidRPr="00490C53">
        <w:t xml:space="preserve">had </w:t>
      </w:r>
      <w:r w:rsidR="00D75F13" w:rsidRPr="00490C53">
        <w:t xml:space="preserve">access to the Covid-19 Loan Guarantee Schemes, compared to between </w:t>
      </w:r>
      <w:r w:rsidR="00B2046B">
        <w:t>6</w:t>
      </w:r>
      <w:r w:rsidR="00D75F13" w:rsidRPr="00490C53">
        <w:t>% and 3</w:t>
      </w:r>
      <w:r w:rsidR="00B2046B">
        <w:t>5</w:t>
      </w:r>
      <w:r w:rsidR="00D75F13" w:rsidRPr="00490C53">
        <w:t>%</w:t>
      </w:r>
      <w:r w:rsidR="002B0547">
        <w:rPr>
          <w:rStyle w:val="FootnoteReference"/>
        </w:rPr>
        <w:footnoteReference w:id="43"/>
      </w:r>
      <w:r w:rsidR="00D75F13" w:rsidRPr="00490C53">
        <w:t xml:space="preserve"> of CBILS/CLBILS borrowers. </w:t>
      </w:r>
      <w:r w:rsidR="00936118">
        <w:t>An estimated</w:t>
      </w:r>
      <w:r w:rsidR="00FE35A8">
        <w:t xml:space="preserve"> range is presented because of the uncertainty </w:t>
      </w:r>
      <w:r w:rsidR="00936118">
        <w:t>(</w:t>
      </w:r>
      <w:r w:rsidR="00FE35A8">
        <w:t>and difficulty</w:t>
      </w:r>
      <w:r w:rsidR="00936118">
        <w:t>)</w:t>
      </w:r>
      <w:r w:rsidR="00FE35A8">
        <w:t xml:space="preserve"> </w:t>
      </w:r>
      <w:r w:rsidR="00936118">
        <w:t>around</w:t>
      </w:r>
      <w:r w:rsidR="00FE35A8">
        <w:t xml:space="preserve"> borrowers providing an assessment of </w:t>
      </w:r>
      <w:r w:rsidR="00915D50">
        <w:t>their</w:t>
      </w:r>
      <w:r w:rsidR="00712B63">
        <w:t xml:space="preserve"> hypothetical</w:t>
      </w:r>
      <w:r w:rsidR="00915D50">
        <w:t xml:space="preserve"> </w:t>
      </w:r>
      <w:r w:rsidR="00FE35A8">
        <w:t xml:space="preserve">survival prospects in the absence of </w:t>
      </w:r>
      <w:r w:rsidR="00936118">
        <w:t xml:space="preserve">receiving </w:t>
      </w:r>
      <w:r w:rsidR="00FE35A8">
        <w:t xml:space="preserve">their loan. </w:t>
      </w:r>
      <w:proofErr w:type="gramStart"/>
      <w:r w:rsidR="00FE35A8">
        <w:t xml:space="preserve">In particular, </w:t>
      </w:r>
      <w:r w:rsidR="005278D2">
        <w:t>to</w:t>
      </w:r>
      <w:proofErr w:type="gramEnd"/>
      <w:r w:rsidR="005278D2">
        <w:t xml:space="preserve"> answer this question accurately</w:t>
      </w:r>
      <w:r w:rsidR="00915D50">
        <w:t>,</w:t>
      </w:r>
      <w:r w:rsidR="005278D2">
        <w:t xml:space="preserve"> businesses must be able to anticipate how they may have acted differently if they had</w:t>
      </w:r>
      <w:r w:rsidR="00936118">
        <w:t xml:space="preserve"> </w:t>
      </w:r>
      <w:r w:rsidR="005278D2">
        <w:t>n</w:t>
      </w:r>
      <w:r w:rsidR="00936118">
        <w:t>o</w:t>
      </w:r>
      <w:r w:rsidR="005278D2">
        <w:t xml:space="preserve">t received their loan and whether this behaviour would have been sufficient to ensure </w:t>
      </w:r>
      <w:r w:rsidR="00936118">
        <w:t xml:space="preserve">the </w:t>
      </w:r>
      <w:r w:rsidR="005278D2">
        <w:t>survival</w:t>
      </w:r>
      <w:r w:rsidR="00936118">
        <w:t xml:space="preserve"> of their business</w:t>
      </w:r>
      <w:r w:rsidR="005278D2">
        <w:t xml:space="preserve">. </w:t>
      </w:r>
      <w:r w:rsidR="00FE35A8">
        <w:t xml:space="preserve">The lower estimate relates exclusively to businesses indicating </w:t>
      </w:r>
      <w:r w:rsidR="00936118">
        <w:t xml:space="preserve">that </w:t>
      </w:r>
      <w:r w:rsidR="00FE35A8">
        <w:t xml:space="preserve">they </w:t>
      </w:r>
      <w:proofErr w:type="gramStart"/>
      <w:r w:rsidR="00FE35A8">
        <w:t>definitely would</w:t>
      </w:r>
      <w:proofErr w:type="gramEnd"/>
      <w:r w:rsidR="00FE35A8">
        <w:t xml:space="preserve"> have </w:t>
      </w:r>
      <w:r w:rsidR="004550ED">
        <w:lastRenderedPageBreak/>
        <w:t>permanently close</w:t>
      </w:r>
      <w:r w:rsidR="00FE35A8">
        <w:t xml:space="preserve">d without their loan, whereas the upper estimate also includes businesses who indicated </w:t>
      </w:r>
      <w:r w:rsidR="00936118">
        <w:t xml:space="preserve">that </w:t>
      </w:r>
      <w:r w:rsidR="00FE35A8">
        <w:t xml:space="preserve">they were very likely or fairly likely to have </w:t>
      </w:r>
      <w:r w:rsidR="004550ED">
        <w:t xml:space="preserve">permanently closed </w:t>
      </w:r>
      <w:r w:rsidR="00FE35A8">
        <w:t xml:space="preserve">without their loan. </w:t>
      </w:r>
      <w:r w:rsidR="00892CFA">
        <w:t xml:space="preserve">This is presented graphically, showing the breakdown of responses that are included in the upper estimate, in </w:t>
      </w:r>
      <w:r w:rsidR="00892CFA">
        <w:fldChar w:fldCharType="begin"/>
      </w:r>
      <w:r w:rsidR="00892CFA">
        <w:instrText xml:space="preserve"> REF _Ref138417980 \h </w:instrText>
      </w:r>
      <w:r w:rsidR="00892CFA">
        <w:fldChar w:fldCharType="separate"/>
      </w:r>
      <w:r w:rsidR="00397D49">
        <w:t xml:space="preserve">Figure </w:t>
      </w:r>
      <w:r w:rsidR="00397D49">
        <w:rPr>
          <w:noProof/>
        </w:rPr>
        <w:t>10</w:t>
      </w:r>
      <w:r w:rsidR="00892CFA">
        <w:fldChar w:fldCharType="end"/>
      </w:r>
      <w:r w:rsidR="00892CFA">
        <w:t xml:space="preserve">. </w:t>
      </w:r>
      <w:r w:rsidR="005278D2">
        <w:t xml:space="preserve">The results of this analysis will be </w:t>
      </w:r>
      <w:r w:rsidR="0041021A">
        <w:t xml:space="preserve">assessed </w:t>
      </w:r>
      <w:r w:rsidR="00915D50">
        <w:t xml:space="preserve">using secondary data </w:t>
      </w:r>
      <w:r w:rsidR="005278D2">
        <w:t xml:space="preserve">as part of the Year 3 report and as such are provisional. </w:t>
      </w:r>
    </w:p>
    <w:p w14:paraId="79F7D288" w14:textId="12C07B9D" w:rsidR="00892CFA" w:rsidRDefault="00892CFA" w:rsidP="00892CFA">
      <w:pPr>
        <w:pStyle w:val="Heading5"/>
      </w:pPr>
      <w:bookmarkStart w:id="128" w:name="_Ref138417980"/>
      <w:r>
        <w:t xml:space="preserve">Figure </w:t>
      </w:r>
      <w:r>
        <w:fldChar w:fldCharType="begin"/>
      </w:r>
      <w:r>
        <w:instrText>SEQ Figure \* ARABIC</w:instrText>
      </w:r>
      <w:r>
        <w:fldChar w:fldCharType="separate"/>
      </w:r>
      <w:r w:rsidR="00397D49">
        <w:rPr>
          <w:noProof/>
        </w:rPr>
        <w:t>10</w:t>
      </w:r>
      <w:r>
        <w:fldChar w:fldCharType="end"/>
      </w:r>
      <w:bookmarkEnd w:id="128"/>
      <w:r>
        <w:t xml:space="preserve">: Lower and upper estimates of Year 2 self-reported </w:t>
      </w:r>
      <w:r w:rsidR="004550ED">
        <w:t xml:space="preserve">closure </w:t>
      </w:r>
      <w:r>
        <w:t>rates without access to the Covid-19 Loan Guarantee Schemes</w:t>
      </w:r>
    </w:p>
    <w:p w14:paraId="5B83A484" w14:textId="53907E1D" w:rsidR="00892CFA" w:rsidRDefault="00892CFA" w:rsidP="00892CFA">
      <w:pPr>
        <w:jc w:val="center"/>
      </w:pPr>
      <w:r>
        <w:rPr>
          <w:noProof/>
        </w:rPr>
        <w:drawing>
          <wp:inline distT="0" distB="0" distL="0" distR="0" wp14:anchorId="2909A54F" wp14:editId="57A23E5E">
            <wp:extent cx="6137531" cy="3123762"/>
            <wp:effectExtent l="0" t="0" r="0" b="635"/>
            <wp:docPr id="1750504678" name="Picture 1750504678" descr="12% of BBLS borrowers indicated they definitely would have closed without their loan, and 43% said they definitely would have closed or would have been very or fairly likely to have closed without their loan. 6% of CBILS and CLBILS borrowers said they would have definitely closed without their loan, and 35% said they would have definitely closed or would have been very or fairly likely to have closed without their lo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04678" name="Picture 1750504678" descr="12% of BBLS borrowers indicated they definitely would have closed without their loan, and 43% said they definitely would have closed or would have been very or fairly likely to have closed without their loan. 6% of CBILS and CLBILS borrowers said they would have definitely closed without their loan, and 35% said they would have definitely closed or would have been very or fairly likely to have closed without their loan. "/>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137531" cy="3123762"/>
                    </a:xfrm>
                    <a:prstGeom prst="rect">
                      <a:avLst/>
                    </a:prstGeom>
                    <a:noFill/>
                  </pic:spPr>
                </pic:pic>
              </a:graphicData>
            </a:graphic>
          </wp:inline>
        </w:drawing>
      </w:r>
    </w:p>
    <w:p w14:paraId="1F3F1C34" w14:textId="77777777" w:rsidR="00892CFA" w:rsidRDefault="00892CFA" w:rsidP="00892CFA">
      <w:pPr>
        <w:pStyle w:val="Caption"/>
      </w:pPr>
      <w:r w:rsidRPr="00490C53">
        <w:t xml:space="preserve">Source: London Economics’ analysis of </w:t>
      </w:r>
      <w:r>
        <w:t>survey</w:t>
      </w:r>
      <w:r w:rsidRPr="00490C53">
        <w:t xml:space="preserve"> data</w:t>
      </w:r>
    </w:p>
    <w:p w14:paraId="4D505EB4" w14:textId="72D863CC" w:rsidR="00D75F13" w:rsidRDefault="00094B91" w:rsidP="00051ED5">
      <w:r>
        <w:fldChar w:fldCharType="begin"/>
      </w:r>
      <w:r>
        <w:instrText xml:space="preserve"> REF _Ref140266383 \h </w:instrText>
      </w:r>
      <w:r>
        <w:fldChar w:fldCharType="separate"/>
      </w:r>
      <w:r w:rsidR="00397D49">
        <w:t xml:space="preserve">Table </w:t>
      </w:r>
      <w:r w:rsidR="00397D49">
        <w:rPr>
          <w:noProof/>
        </w:rPr>
        <w:t>6</w:t>
      </w:r>
      <w:r>
        <w:fldChar w:fldCharType="end"/>
      </w:r>
      <w:r w:rsidR="00EF5D52">
        <w:t xml:space="preserve"> below compares the results of this analysis to those from the Year 1 report, which relate to the proportion of borrowers that would have closed by </w:t>
      </w:r>
      <w:r w:rsidR="00705BBB">
        <w:t>December</w:t>
      </w:r>
      <w:r w:rsidR="00EF5D52">
        <w:t xml:space="preserve"> 2020 if they had not had access to the Covid-19 Loan Guarantee Schemes. </w:t>
      </w:r>
    </w:p>
    <w:p w14:paraId="355106AE" w14:textId="1E6C275F" w:rsidR="00EF5D52" w:rsidRPr="00490C53" w:rsidRDefault="00094B91" w:rsidP="00EF5D52">
      <w:pPr>
        <w:pStyle w:val="Heading5"/>
      </w:pPr>
      <w:bookmarkStart w:id="129" w:name="_Ref140266383"/>
      <w:r>
        <w:t xml:space="preserve">Table </w:t>
      </w:r>
      <w:r w:rsidRPr="39C791D5">
        <w:fldChar w:fldCharType="begin"/>
      </w:r>
      <w:r>
        <w:instrText xml:space="preserve"> SEQ Table \* ARABIC </w:instrText>
      </w:r>
      <w:r w:rsidRPr="39C791D5">
        <w:fldChar w:fldCharType="separate"/>
      </w:r>
      <w:r w:rsidR="00397D49">
        <w:rPr>
          <w:noProof/>
        </w:rPr>
        <w:t>6</w:t>
      </w:r>
      <w:r w:rsidRPr="39C791D5">
        <w:rPr>
          <w:noProof/>
        </w:rPr>
        <w:fldChar w:fldCharType="end"/>
      </w:r>
      <w:bookmarkEnd w:id="129"/>
      <w:r>
        <w:t xml:space="preserve">: Self-reported </w:t>
      </w:r>
      <w:r w:rsidR="004550ED">
        <w:t>closure</w:t>
      </w:r>
      <w:r>
        <w:t xml:space="preserve"> rates without access to the Covid-19 Loan Guarantee Schemes: Year 1 survey-based estimate compared to Year 2 survey-based estimate</w:t>
      </w:r>
    </w:p>
    <w:tbl>
      <w:tblPr>
        <w:tblStyle w:val="TableGrid"/>
        <w:tblW w:w="5000" w:type="pct"/>
        <w:tblLook w:val="04A0" w:firstRow="1" w:lastRow="0" w:firstColumn="1" w:lastColumn="0" w:noHBand="0" w:noVBand="1"/>
      </w:tblPr>
      <w:tblGrid>
        <w:gridCol w:w="3403"/>
        <w:gridCol w:w="3376"/>
        <w:gridCol w:w="3375"/>
      </w:tblGrid>
      <w:tr w:rsidR="00EF5D52" w:rsidRPr="00490C53" w14:paraId="0B0674B3" w14:textId="77777777" w:rsidTr="002D323B">
        <w:trPr>
          <w:cnfStyle w:val="100000000000" w:firstRow="1" w:lastRow="0" w:firstColumn="0" w:lastColumn="0" w:oddVBand="0" w:evenVBand="0" w:oddHBand="0" w:evenHBand="0" w:firstRowFirstColumn="0" w:firstRowLastColumn="0" w:lastRowFirstColumn="0" w:lastRowLastColumn="0"/>
          <w:tblHeader/>
        </w:trPr>
        <w:tc>
          <w:tcPr>
            <w:tcW w:w="0" w:type="pct"/>
          </w:tcPr>
          <w:p w14:paraId="007A1A74" w14:textId="77777777" w:rsidR="00EF5D52" w:rsidRPr="00490C53" w:rsidRDefault="00EF5D52">
            <w:pPr>
              <w:pStyle w:val="Tablecolumnheading-inkblue"/>
              <w:rPr>
                <w:b w:val="0"/>
                <w:color w:val="FFFFFF" w:themeColor="background1"/>
                <w:sz w:val="22"/>
                <w:szCs w:val="20"/>
              </w:rPr>
            </w:pPr>
            <w:r w:rsidRPr="00846F78">
              <w:rPr>
                <w:color w:val="FFFFFF" w:themeColor="background1"/>
              </w:rPr>
              <w:t>Scheme</w:t>
            </w:r>
          </w:p>
        </w:tc>
        <w:tc>
          <w:tcPr>
            <w:tcW w:w="0" w:type="pct"/>
          </w:tcPr>
          <w:p w14:paraId="6755946D" w14:textId="3321B825" w:rsidR="00EF5D52" w:rsidRPr="00490C53" w:rsidRDefault="00EF5D52" w:rsidP="002D323B">
            <w:pPr>
              <w:pStyle w:val="Tablecolumnheading-inkblue"/>
              <w:jc w:val="right"/>
              <w:rPr>
                <w:bCs/>
                <w:color w:val="FFFFFF" w:themeColor="background1"/>
                <w:sz w:val="22"/>
                <w:szCs w:val="20"/>
              </w:rPr>
            </w:pPr>
            <w:r>
              <w:rPr>
                <w:color w:val="FFFFFF" w:themeColor="background1"/>
              </w:rPr>
              <w:t>Year 1</w:t>
            </w:r>
          </w:p>
        </w:tc>
        <w:tc>
          <w:tcPr>
            <w:tcW w:w="0" w:type="pct"/>
          </w:tcPr>
          <w:p w14:paraId="592C13F5" w14:textId="78674AEE" w:rsidR="00EF5D52" w:rsidRPr="00490C53" w:rsidRDefault="00EF5D52" w:rsidP="002D323B">
            <w:pPr>
              <w:pStyle w:val="Tablecolumnheading-inkblue"/>
              <w:jc w:val="right"/>
              <w:rPr>
                <w:bCs/>
                <w:color w:val="FFFFFF" w:themeColor="background1"/>
                <w:sz w:val="22"/>
                <w:szCs w:val="20"/>
              </w:rPr>
            </w:pPr>
            <w:r>
              <w:rPr>
                <w:color w:val="FFFFFF" w:themeColor="background1"/>
              </w:rPr>
              <w:t>Year 2</w:t>
            </w:r>
          </w:p>
        </w:tc>
      </w:tr>
      <w:tr w:rsidR="00EF5D52" w:rsidRPr="00490C53" w14:paraId="4B70B88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75" w:type="pct"/>
          </w:tcPr>
          <w:p w14:paraId="11B7B093" w14:textId="77777777" w:rsidR="00EF5D52" w:rsidRPr="00490C53" w:rsidDel="000A1204" w:rsidRDefault="00EF5D52">
            <w:pPr>
              <w:pStyle w:val="Tabletext"/>
            </w:pPr>
            <w:r w:rsidRPr="00490C53">
              <w:t>BBLS</w:t>
            </w:r>
          </w:p>
        </w:tc>
        <w:tc>
          <w:tcPr>
            <w:tcW w:w="1662" w:type="pct"/>
            <w:vAlign w:val="center"/>
          </w:tcPr>
          <w:p w14:paraId="4EFDBE0F" w14:textId="6A096135" w:rsidR="00EF5D52" w:rsidRPr="00490C53" w:rsidRDefault="00B2046B">
            <w:pPr>
              <w:pStyle w:val="Tabletext"/>
              <w:spacing w:before="0"/>
              <w:jc w:val="right"/>
              <w:rPr>
                <w:rStyle w:val="Bold"/>
                <w:b w:val="0"/>
              </w:rPr>
            </w:pPr>
            <w:r>
              <w:t>10</w:t>
            </w:r>
            <w:r w:rsidR="00EF5D52" w:rsidRPr="00846F78">
              <w:t>%-34%</w:t>
            </w:r>
          </w:p>
        </w:tc>
        <w:tc>
          <w:tcPr>
            <w:tcW w:w="1662" w:type="pct"/>
            <w:vAlign w:val="center"/>
          </w:tcPr>
          <w:p w14:paraId="77712A4D" w14:textId="170C1618" w:rsidR="00EF5D52" w:rsidRPr="00490C53" w:rsidRDefault="00EF5D52">
            <w:pPr>
              <w:pStyle w:val="Tabletext"/>
              <w:spacing w:before="0"/>
              <w:jc w:val="right"/>
              <w:rPr>
                <w:rStyle w:val="Bold"/>
                <w:b w:val="0"/>
              </w:rPr>
            </w:pPr>
            <w:r>
              <w:t>12%-43%</w:t>
            </w:r>
          </w:p>
        </w:tc>
      </w:tr>
      <w:tr w:rsidR="00EF5D52" w:rsidRPr="00490C53" w14:paraId="2860FFF7" w14:textId="77777777">
        <w:tblPrEx>
          <w:tblCellMar>
            <w:left w:w="108" w:type="dxa"/>
            <w:right w:w="108" w:type="dxa"/>
          </w:tblCellMar>
        </w:tblPrEx>
        <w:tc>
          <w:tcPr>
            <w:tcW w:w="1675" w:type="pct"/>
            <w:tcBorders>
              <w:bottom w:val="single" w:sz="4" w:space="0" w:color="0054BA" w:themeColor="accent2"/>
            </w:tcBorders>
          </w:tcPr>
          <w:p w14:paraId="3E648DFA" w14:textId="77777777" w:rsidR="00EF5D52" w:rsidRPr="00490C53" w:rsidDel="000A1204" w:rsidRDefault="00EF5D52">
            <w:pPr>
              <w:pStyle w:val="Tabletext"/>
            </w:pPr>
            <w:r w:rsidRPr="00490C53">
              <w:t>CBILS/CLBILS</w:t>
            </w:r>
          </w:p>
        </w:tc>
        <w:tc>
          <w:tcPr>
            <w:tcW w:w="1662" w:type="pct"/>
            <w:tcBorders>
              <w:bottom w:val="single" w:sz="4" w:space="0" w:color="0054BA" w:themeColor="accent2"/>
            </w:tcBorders>
            <w:vAlign w:val="center"/>
          </w:tcPr>
          <w:p w14:paraId="32A795B9" w14:textId="306410F4" w:rsidR="00EF5D52" w:rsidRPr="00490C53" w:rsidRDefault="00B2046B">
            <w:pPr>
              <w:pStyle w:val="Tabletext"/>
              <w:spacing w:before="0"/>
              <w:jc w:val="right"/>
              <w:rPr>
                <w:rStyle w:val="Bold"/>
                <w:b w:val="0"/>
              </w:rPr>
            </w:pPr>
            <w:r>
              <w:t>7</w:t>
            </w:r>
            <w:r w:rsidR="00EF5D52" w:rsidRPr="00846F78">
              <w:t>%-28%</w:t>
            </w:r>
          </w:p>
        </w:tc>
        <w:tc>
          <w:tcPr>
            <w:tcW w:w="1662" w:type="pct"/>
            <w:tcBorders>
              <w:bottom w:val="single" w:sz="4" w:space="0" w:color="0054BA" w:themeColor="accent2"/>
            </w:tcBorders>
            <w:vAlign w:val="center"/>
          </w:tcPr>
          <w:p w14:paraId="6227B53E" w14:textId="7C64FE41" w:rsidR="00EF5D52" w:rsidRPr="00490C53" w:rsidRDefault="00B2046B" w:rsidP="00EF5D52">
            <w:pPr>
              <w:pStyle w:val="Tabletext"/>
              <w:spacing w:before="0"/>
              <w:jc w:val="right"/>
              <w:rPr>
                <w:rStyle w:val="Bold"/>
                <w:b w:val="0"/>
              </w:rPr>
            </w:pPr>
            <w:r>
              <w:t>6</w:t>
            </w:r>
            <w:r w:rsidR="00EF5D52" w:rsidRPr="00846F78">
              <w:t>%</w:t>
            </w:r>
            <w:r w:rsidR="00EF5D52">
              <w:t>-3</w:t>
            </w:r>
            <w:r>
              <w:t>5</w:t>
            </w:r>
            <w:r w:rsidR="00C33332">
              <w:t>%</w:t>
            </w:r>
          </w:p>
        </w:tc>
      </w:tr>
    </w:tbl>
    <w:p w14:paraId="2FAA7283" w14:textId="217CC5A0" w:rsidR="00892CFA" w:rsidRDefault="00EF5D52" w:rsidP="00BD366D">
      <w:pPr>
        <w:pStyle w:val="Caption"/>
      </w:pPr>
      <w:r w:rsidRPr="00490C53">
        <w:lastRenderedPageBreak/>
        <w:t xml:space="preserve">Source: London Economics’ analysis of </w:t>
      </w:r>
      <w:r w:rsidR="00C33332">
        <w:t>survey</w:t>
      </w:r>
      <w:r w:rsidRPr="00490C53">
        <w:t xml:space="preserve"> data</w:t>
      </w:r>
    </w:p>
    <w:p w14:paraId="2D5393E9" w14:textId="07AFB7BA" w:rsidR="00EF5D52" w:rsidRDefault="00C33332" w:rsidP="00051ED5">
      <w:r>
        <w:t xml:space="preserve">Both the lower and upper bound estimates are higher in Year 2 than Year 1, </w:t>
      </w:r>
      <w:proofErr w:type="gramStart"/>
      <w:r>
        <w:t>with the exception of</w:t>
      </w:r>
      <w:proofErr w:type="gramEnd"/>
      <w:r>
        <w:t xml:space="preserve"> the lower bound estimate for CBILS/CLBILS. This likely reflects that businesses believe that the loans they received under the Covid-19 Loan Guarantee Schemes continued to help them survive during 2021. That the CBILS/CLBILS </w:t>
      </w:r>
      <w:r w:rsidR="00563491">
        <w:t xml:space="preserve">estimate is slightly lower in Year 2 than Year 1 reflects that fewer businesses indicated that they </w:t>
      </w:r>
      <w:proofErr w:type="gramStart"/>
      <w:r w:rsidR="00563491">
        <w:t>definitely would</w:t>
      </w:r>
      <w:proofErr w:type="gramEnd"/>
      <w:r w:rsidR="00563491">
        <w:t xml:space="preserve"> have </w:t>
      </w:r>
      <w:r w:rsidR="004550ED">
        <w:t xml:space="preserve">permanently closed </w:t>
      </w:r>
      <w:r w:rsidR="00563491">
        <w:t xml:space="preserve">in Year 2 and more businesses indicated </w:t>
      </w:r>
      <w:r w:rsidR="00742B3A">
        <w:t xml:space="preserve">that </w:t>
      </w:r>
      <w:r w:rsidR="00563491">
        <w:t>they</w:t>
      </w:r>
      <w:r w:rsidR="00742B3A">
        <w:t xml:space="preserve"> were</w:t>
      </w:r>
      <w:r w:rsidR="00563491">
        <w:t xml:space="preserve"> very likely or fairly likely </w:t>
      </w:r>
      <w:r w:rsidR="00936118">
        <w:t xml:space="preserve">to </w:t>
      </w:r>
      <w:r w:rsidR="00563491">
        <w:t xml:space="preserve">have </w:t>
      </w:r>
      <w:r w:rsidR="004550ED">
        <w:t>permanently closed</w:t>
      </w:r>
      <w:r w:rsidR="00563491">
        <w:t>.</w:t>
      </w:r>
    </w:p>
    <w:p w14:paraId="41AAE301" w14:textId="43D0CF06" w:rsidR="00994BE7" w:rsidRPr="00490C53" w:rsidRDefault="00994BE7" w:rsidP="00051ED5">
      <w:r>
        <w:t>The closure rate in the absence of support under the Covid-19 Loan Guarantee Schemes (counterfactual closure rate) tends to decrease with size for BBLS borrowers, although no clear pattern with regards to size can be seen for CBILS/CLBILS borrowers.</w:t>
      </w:r>
      <w:r>
        <w:rPr>
          <w:rStyle w:val="FootnoteReference"/>
        </w:rPr>
        <w:footnoteReference w:id="44"/>
      </w:r>
      <w:r>
        <w:t xml:space="preserve"> BBLS businesses that are majority owned by females have a similar counterfactual closure rate to those that are minority female-owned.</w:t>
      </w:r>
      <w:r>
        <w:rPr>
          <w:rStyle w:val="FootnoteReference"/>
        </w:rPr>
        <w:footnoteReference w:id="45"/>
      </w:r>
      <w:r>
        <w:t xml:space="preserve"> In contrast, majority female-owned CBILS/CLBILS businesses have a slightly lower counterfactual closure rate than other businesses that used CBILS/CLBILS.</w:t>
      </w:r>
      <w:r>
        <w:rPr>
          <w:rStyle w:val="FootnoteReference"/>
        </w:rPr>
        <w:footnoteReference w:id="46"/>
      </w:r>
      <w:r>
        <w:t xml:space="preserve"> With regards to both BBLS and CBILS/CLBILS borrowers, the counterfactual closure rate for businesses which are majority owned by individuals from an ethnic minority was higher than for other businesses.</w:t>
      </w:r>
      <w:r>
        <w:rPr>
          <w:rStyle w:val="FootnoteReference"/>
        </w:rPr>
        <w:footnoteReference w:id="47"/>
      </w:r>
      <w:r>
        <w:t xml:space="preserve"> Variation in the counterfactual closure rate was also found across region and sector.</w:t>
      </w:r>
      <w:r w:rsidR="00794069">
        <w:rPr>
          <w:rStyle w:val="FootnoteReference"/>
        </w:rPr>
        <w:footnoteReference w:id="48"/>
      </w:r>
    </w:p>
    <w:p w14:paraId="5F983967" w14:textId="5379AB69" w:rsidR="00F90D25" w:rsidRDefault="00EF6B80" w:rsidP="00051ED5">
      <w:r w:rsidRPr="00490C53">
        <w:lastRenderedPageBreak/>
        <w:t>The</w:t>
      </w:r>
      <w:r w:rsidR="007E3DD8" w:rsidRPr="00490C53">
        <w:t xml:space="preserve"> </w:t>
      </w:r>
      <w:r w:rsidR="00B111C4" w:rsidRPr="00490C53">
        <w:t xml:space="preserve">observed </w:t>
      </w:r>
      <w:r w:rsidR="004550ED">
        <w:t>closure</w:t>
      </w:r>
      <w:r w:rsidR="004550ED" w:rsidRPr="00490C53">
        <w:t xml:space="preserve"> </w:t>
      </w:r>
      <w:r w:rsidR="00B111C4" w:rsidRPr="00490C53">
        <w:t>rates</w:t>
      </w:r>
      <w:r w:rsidR="00CA3289">
        <w:t xml:space="preserve"> – calculated based on BBB Portal Data –</w:t>
      </w:r>
      <w:r w:rsidR="00B111C4" w:rsidRPr="00490C53">
        <w:t xml:space="preserve"> are found to be substantially </w:t>
      </w:r>
      <w:r w:rsidR="004D0529" w:rsidRPr="00490C53">
        <w:t xml:space="preserve">lower </w:t>
      </w:r>
      <w:r w:rsidR="00B111C4" w:rsidRPr="00490C53">
        <w:t xml:space="preserve">than the </w:t>
      </w:r>
      <w:r w:rsidR="008166D1" w:rsidRPr="00490C53">
        <w:t>counterfactual</w:t>
      </w:r>
      <w:r w:rsidR="007E3DD8" w:rsidRPr="00490C53">
        <w:t xml:space="preserve"> </w:t>
      </w:r>
      <w:r w:rsidR="004550ED">
        <w:t>closure</w:t>
      </w:r>
      <w:r w:rsidR="004550ED" w:rsidRPr="00490C53">
        <w:t xml:space="preserve"> </w:t>
      </w:r>
      <w:r w:rsidR="007E3DD8" w:rsidRPr="00490C53">
        <w:t>rates</w:t>
      </w:r>
      <w:r w:rsidR="003B59B4" w:rsidRPr="00490C53">
        <w:t xml:space="preserve"> outlined above. It is estimated that </w:t>
      </w:r>
      <w:r w:rsidR="008166D1" w:rsidRPr="00490C53">
        <w:t xml:space="preserve">3% </w:t>
      </w:r>
      <w:r w:rsidR="00145845">
        <w:t>of</w:t>
      </w:r>
      <w:r w:rsidR="00145845" w:rsidRPr="00490C53">
        <w:t xml:space="preserve"> </w:t>
      </w:r>
      <w:r w:rsidR="008166D1" w:rsidRPr="00490C53">
        <w:t xml:space="preserve">BBLS borrowers and 1% </w:t>
      </w:r>
      <w:r w:rsidR="003B59B4" w:rsidRPr="00490C53">
        <w:t>of</w:t>
      </w:r>
      <w:r w:rsidR="008166D1" w:rsidRPr="00490C53">
        <w:t xml:space="preserve"> CBILS/CLBILS borrowers</w:t>
      </w:r>
      <w:r w:rsidR="003B59B4" w:rsidRPr="00490C53">
        <w:t xml:space="preserve"> </w:t>
      </w:r>
      <w:r w:rsidR="004550ED">
        <w:t>permanently closed</w:t>
      </w:r>
      <w:r w:rsidR="004550ED" w:rsidRPr="00490C53">
        <w:t xml:space="preserve"> </w:t>
      </w:r>
      <w:r w:rsidR="003B59B4" w:rsidRPr="00490C53">
        <w:t>before the end of</w:t>
      </w:r>
      <w:r w:rsidR="003C6CD2">
        <w:t xml:space="preserve"> December</w:t>
      </w:r>
      <w:r w:rsidR="003B59B4" w:rsidRPr="00490C53">
        <w:t xml:space="preserve"> 2021</w:t>
      </w:r>
      <w:r w:rsidR="008166D1" w:rsidRPr="00490C53">
        <w:t xml:space="preserve">. </w:t>
      </w:r>
      <w:r w:rsidR="006C77A2">
        <w:t xml:space="preserve">To estimate the percentage of borrowers that may have </w:t>
      </w:r>
      <w:r w:rsidR="00B72060">
        <w:t>permanently closed</w:t>
      </w:r>
      <w:r w:rsidR="006C77A2">
        <w:t xml:space="preserve"> without the schemes, one needs to </w:t>
      </w:r>
      <w:proofErr w:type="gramStart"/>
      <w:r w:rsidR="006C77A2">
        <w:t>take into account</w:t>
      </w:r>
      <w:proofErr w:type="gramEnd"/>
      <w:r w:rsidR="006C77A2">
        <w:t xml:space="preserve"> the fact that the counterfactual </w:t>
      </w:r>
      <w:r w:rsidR="004550ED">
        <w:t xml:space="preserve">closure </w:t>
      </w:r>
      <w:r w:rsidR="006C77A2">
        <w:t xml:space="preserve">rates presented above are only calculated for businesses that </w:t>
      </w:r>
      <w:r w:rsidR="000F631F">
        <w:t>had not permanently closed</w:t>
      </w:r>
      <w:r w:rsidR="006C77A2">
        <w:t>. Therefore, the impact of the Covid-19 Loan Guarantee Schemes is estimated as follows</w:t>
      </w:r>
      <w:r w:rsidR="000F631F">
        <w:t xml:space="preserve">: </w:t>
      </w:r>
    </w:p>
    <w:p w14:paraId="082DBAE5" w14:textId="5056D908" w:rsidR="00F90D25" w:rsidRPr="00BD366D" w:rsidRDefault="00F90D25" w:rsidP="00051ED5">
      <w:pPr>
        <w:rPr>
          <w:rFonts w:eastAsiaTheme="minorEastAsia"/>
          <w:lang w:val="en-US"/>
        </w:rPr>
      </w:pPr>
      <m:oMathPara>
        <m:oMath>
          <m:r>
            <w:rPr>
              <w:rFonts w:ascii="Cambria Math" w:hAnsi="Cambria Math"/>
              <w:lang w:val="en-US"/>
            </w:rPr>
            <m:t>impact=</m:t>
          </m:r>
          <m:d>
            <m:dPr>
              <m:ctrlPr>
                <w:rPr>
                  <w:rFonts w:ascii="Cambria Math" w:hAnsi="Cambria Math"/>
                  <w:i/>
                  <w:lang w:val="en-US"/>
                </w:rPr>
              </m:ctrlPr>
            </m:dPr>
            <m:e>
              <m:r>
                <w:rPr>
                  <w:rFonts w:ascii="Cambria Math" w:hAnsi="Cambria Math"/>
                  <w:lang w:val="en-US"/>
                </w:rPr>
                <m:t>1-observed death rate</m:t>
              </m:r>
            </m:e>
          </m:d>
          <m:r>
            <w:rPr>
              <w:rFonts w:ascii="Cambria Math" w:hAnsi="Cambria Math"/>
              <w:lang w:val="en-US"/>
            </w:rPr>
            <m:t>*counterfactual death rate</m:t>
          </m:r>
        </m:oMath>
      </m:oMathPara>
    </w:p>
    <w:p w14:paraId="0DC4B3CF" w14:textId="366B9806" w:rsidR="00C33FCF" w:rsidRDefault="00D66195" w:rsidP="00051ED5">
      <w:r w:rsidRPr="00490C53">
        <w:t>As a result</w:t>
      </w:r>
      <w:r w:rsidR="00E367EE" w:rsidRPr="00490C53">
        <w:t xml:space="preserve">, </w:t>
      </w:r>
      <w:r w:rsidR="005E4405">
        <w:t xml:space="preserve">taking both the counterfactual and observed </w:t>
      </w:r>
      <w:r w:rsidR="004550ED">
        <w:t xml:space="preserve">closure </w:t>
      </w:r>
      <w:r w:rsidR="005E4405">
        <w:t xml:space="preserve">rates into account, </w:t>
      </w:r>
      <w:r w:rsidR="00E367EE" w:rsidRPr="00490C53">
        <w:t xml:space="preserve">it is estimated that </w:t>
      </w:r>
      <w:r w:rsidR="00BA580C" w:rsidRPr="00490C53">
        <w:t xml:space="preserve">an additional </w:t>
      </w:r>
      <w:r w:rsidR="00552D3A" w:rsidRPr="00490C53">
        <w:t>1</w:t>
      </w:r>
      <w:r w:rsidR="00B2046B">
        <w:t>2</w:t>
      </w:r>
      <w:r w:rsidR="00614612" w:rsidRPr="00490C53">
        <w:t>%-</w:t>
      </w:r>
      <w:r w:rsidR="001D4224" w:rsidRPr="00490C53">
        <w:t>4</w:t>
      </w:r>
      <w:r w:rsidR="00B2046B">
        <w:t>2</w:t>
      </w:r>
      <w:r w:rsidR="00E91639" w:rsidRPr="00490C53">
        <w:t xml:space="preserve">% of BBLS borrowers </w:t>
      </w:r>
      <w:r w:rsidR="00CE7AD3" w:rsidRPr="00490C53">
        <w:t>(</w:t>
      </w:r>
      <w:proofErr w:type="gramStart"/>
      <w:r w:rsidR="00CE7AD3" w:rsidRPr="00490C53">
        <w:t>i.e.</w:t>
      </w:r>
      <w:proofErr w:type="gramEnd"/>
      <w:r w:rsidR="00CE7AD3" w:rsidRPr="00490C53">
        <w:t xml:space="preserve"> 1</w:t>
      </w:r>
      <w:r w:rsidR="00AE7B48" w:rsidRPr="00490C53">
        <w:t>75</w:t>
      </w:r>
      <w:r w:rsidR="00F16D07">
        <w:t>,000</w:t>
      </w:r>
      <w:r w:rsidR="0029018C">
        <w:t xml:space="preserve"> </w:t>
      </w:r>
      <w:r w:rsidR="00CE7AD3" w:rsidRPr="00490C53">
        <w:t xml:space="preserve">to </w:t>
      </w:r>
      <w:r w:rsidR="00AE7B48" w:rsidRPr="00490C53">
        <w:t>618</w:t>
      </w:r>
      <w:r w:rsidR="00F16D07">
        <w:t>,000</w:t>
      </w:r>
      <w:r w:rsidR="00CE7AD3" w:rsidRPr="00490C53">
        <w:t xml:space="preserve"> businesses</w:t>
      </w:r>
      <w:r w:rsidR="00961BAB" w:rsidRPr="00490C53">
        <w:rPr>
          <w:rStyle w:val="FootnoteReference"/>
        </w:rPr>
        <w:footnoteReference w:id="49"/>
      </w:r>
      <w:r w:rsidR="00CE7AD3" w:rsidRPr="00490C53">
        <w:t xml:space="preserve">) </w:t>
      </w:r>
      <w:r w:rsidR="00E91639" w:rsidRPr="00490C53">
        <w:t xml:space="preserve">and </w:t>
      </w:r>
      <w:r w:rsidR="00B2046B">
        <w:t>6</w:t>
      </w:r>
      <w:r w:rsidR="00DB12D6">
        <w:t>%</w:t>
      </w:r>
      <w:r w:rsidR="009A0CAB" w:rsidRPr="00490C53">
        <w:t>-</w:t>
      </w:r>
      <w:r w:rsidR="00232810" w:rsidRPr="00490C53">
        <w:t>3</w:t>
      </w:r>
      <w:r w:rsidR="00B2046B">
        <w:t>5</w:t>
      </w:r>
      <w:r w:rsidR="00232810" w:rsidRPr="00490C53">
        <w:t xml:space="preserve">% of CBILS/CLBILS borrowers </w:t>
      </w:r>
      <w:r w:rsidR="00CE7AD3" w:rsidRPr="00490C53">
        <w:t xml:space="preserve">(i.e. </w:t>
      </w:r>
      <w:r w:rsidR="009E350C" w:rsidRPr="00490C53">
        <w:t>4</w:t>
      </w:r>
      <w:r w:rsidR="00F16D07">
        <w:t>,000</w:t>
      </w:r>
      <w:r w:rsidR="00CE7AD3" w:rsidRPr="00490C53">
        <w:t xml:space="preserve"> to </w:t>
      </w:r>
      <w:r w:rsidR="009E350C" w:rsidRPr="00490C53">
        <w:t>25</w:t>
      </w:r>
      <w:r w:rsidR="00F16D07">
        <w:t>,000</w:t>
      </w:r>
      <w:r w:rsidR="00CE7AD3" w:rsidRPr="00490C53">
        <w:t xml:space="preserve"> businesses</w:t>
      </w:r>
      <w:r w:rsidR="005D6D07" w:rsidRPr="00490C53">
        <w:rPr>
          <w:rStyle w:val="FootnoteReference"/>
        </w:rPr>
        <w:footnoteReference w:id="50"/>
      </w:r>
      <w:r w:rsidR="00CE7AD3" w:rsidRPr="00490C53">
        <w:t>)</w:t>
      </w:r>
      <w:r w:rsidR="009E350C" w:rsidRPr="00490C53">
        <w:t xml:space="preserve"> may</w:t>
      </w:r>
      <w:r w:rsidR="00232810" w:rsidRPr="00490C53">
        <w:t xml:space="preserve"> have </w:t>
      </w:r>
      <w:r w:rsidR="009E350C" w:rsidRPr="00490C53">
        <w:t>cease</w:t>
      </w:r>
      <w:r w:rsidR="00232810" w:rsidRPr="00490C53">
        <w:t xml:space="preserve">d </w:t>
      </w:r>
      <w:r w:rsidR="009E350C" w:rsidRPr="00490C53">
        <w:t>trading</w:t>
      </w:r>
      <w:r w:rsidR="00F13F4A">
        <w:t xml:space="preserve"> by December 2021</w:t>
      </w:r>
      <w:r w:rsidR="009E350C" w:rsidRPr="00490C53">
        <w:t xml:space="preserve"> </w:t>
      </w:r>
      <w:r w:rsidR="00F13F4A">
        <w:t xml:space="preserve">(i.e., </w:t>
      </w:r>
      <w:r w:rsidR="008632C7" w:rsidRPr="00490C53">
        <w:t>in 2020 or 2021</w:t>
      </w:r>
      <w:r w:rsidR="00F13F4A">
        <w:t>)</w:t>
      </w:r>
      <w:r w:rsidR="008632C7" w:rsidRPr="00490C53">
        <w:t xml:space="preserve"> </w:t>
      </w:r>
      <w:r w:rsidR="00232810" w:rsidRPr="00490C53">
        <w:t>without access to the Covid-19 Loan Guarantee Schemes.</w:t>
      </w:r>
      <w:r w:rsidR="00E367EE" w:rsidRPr="00490C53">
        <w:t xml:space="preserve"> </w:t>
      </w:r>
      <w:r w:rsidR="0044256F">
        <w:t>These results are present</w:t>
      </w:r>
      <w:r w:rsidR="00B82322">
        <w:t>ed</w:t>
      </w:r>
      <w:r w:rsidR="0044256F">
        <w:t xml:space="preserve"> in </w:t>
      </w:r>
      <w:r w:rsidR="000F3369">
        <w:fldChar w:fldCharType="begin"/>
      </w:r>
      <w:r w:rsidR="000F3369">
        <w:instrText xml:space="preserve"> REF _Ref138334797 \h </w:instrText>
      </w:r>
      <w:r w:rsidR="000F3369">
        <w:fldChar w:fldCharType="separate"/>
      </w:r>
      <w:r w:rsidR="00397D49">
        <w:t xml:space="preserve">Table </w:t>
      </w:r>
      <w:r w:rsidR="00397D49">
        <w:rPr>
          <w:noProof/>
        </w:rPr>
        <w:t>7</w:t>
      </w:r>
      <w:r w:rsidR="000F3369">
        <w:fldChar w:fldCharType="end"/>
      </w:r>
      <w:r w:rsidR="0044256F">
        <w:t xml:space="preserve">. </w:t>
      </w:r>
      <w:r w:rsidR="007D3D7F" w:rsidRPr="00490C53">
        <w:t>Based on the survey results</w:t>
      </w:r>
      <w:r w:rsidR="00CA3289">
        <w:t>,</w:t>
      </w:r>
      <w:r w:rsidR="007D3D7F" w:rsidRPr="00490C53">
        <w:t xml:space="preserve"> </w:t>
      </w:r>
      <w:r w:rsidR="00CA3289">
        <w:t xml:space="preserve">BBB Portal Data </w:t>
      </w:r>
      <w:r w:rsidR="007D3D7F" w:rsidRPr="00490C53">
        <w:t>and BBB management information, it is estimated that</w:t>
      </w:r>
      <w:r w:rsidR="00692A1D" w:rsidRPr="00490C53">
        <w:t xml:space="preserve"> the</w:t>
      </w:r>
      <w:r w:rsidR="00692A1D">
        <w:t>se borrowers account for approximately</w:t>
      </w:r>
      <w:r w:rsidR="007D3D7F" w:rsidRPr="00490C53">
        <w:t xml:space="preserve"> 0.</w:t>
      </w:r>
      <w:r w:rsidR="00811EB5" w:rsidRPr="00490C53">
        <w:t>9</w:t>
      </w:r>
      <w:r w:rsidR="007D3D7F" w:rsidRPr="00490C53">
        <w:t xml:space="preserve"> million to </w:t>
      </w:r>
      <w:r w:rsidR="00811EB5" w:rsidRPr="00490C53">
        <w:t>3</w:t>
      </w:r>
      <w:r w:rsidR="007D3D7F" w:rsidRPr="00490C53">
        <w:t>.</w:t>
      </w:r>
      <w:r w:rsidR="00811EB5" w:rsidRPr="00490C53">
        <w:t>4</w:t>
      </w:r>
      <w:r w:rsidR="007D3D7F" w:rsidRPr="00490C53">
        <w:t xml:space="preserve"> million </w:t>
      </w:r>
      <w:r w:rsidR="00692A1D">
        <w:t xml:space="preserve">pre-pandemic </w:t>
      </w:r>
      <w:r w:rsidR="007D3D7F" w:rsidRPr="00490C53">
        <w:t>jobs.</w:t>
      </w:r>
      <w:r w:rsidR="003E36B9" w:rsidRPr="00490C53">
        <w:rPr>
          <w:rStyle w:val="FootnoteReference"/>
        </w:rPr>
        <w:footnoteReference w:id="51"/>
      </w:r>
      <w:r w:rsidR="00F00A1B">
        <w:t xml:space="preserve"> </w:t>
      </w:r>
    </w:p>
    <w:p w14:paraId="2C38AF57" w14:textId="0A1BC2BD" w:rsidR="00F00A1B" w:rsidRDefault="00537962" w:rsidP="00051ED5">
      <w:r>
        <w:t xml:space="preserve">It should be noted that these results will be </w:t>
      </w:r>
      <w:r w:rsidR="00345D56">
        <w:t>assessed</w:t>
      </w:r>
      <w:r w:rsidR="00D14A6C">
        <w:t xml:space="preserve"> in a secondary analysis</w:t>
      </w:r>
      <w:r w:rsidR="00345D56">
        <w:t xml:space="preserve"> </w:t>
      </w:r>
      <w:r w:rsidR="007D2884">
        <w:t>as part of</w:t>
      </w:r>
      <w:r>
        <w:t xml:space="preserve"> the Year 3 evaluation. The </w:t>
      </w:r>
      <w:r w:rsidR="00D14A6C">
        <w:t xml:space="preserve">assessment </w:t>
      </w:r>
      <w:r>
        <w:t>of the Year 1 business survival analysis</w:t>
      </w:r>
      <w:r w:rsidR="00A77071">
        <w:t xml:space="preserve"> using secondary data</w:t>
      </w:r>
      <w:r>
        <w:t xml:space="preserve"> (presented in the next chapter) suggested a lower impact than the survey-based estimates from the Year 1 analysis. </w:t>
      </w:r>
      <w:r w:rsidR="00F32172">
        <w:t>The next chapter</w:t>
      </w:r>
      <w:r w:rsidR="00794069">
        <w:t xml:space="preserve"> d</w:t>
      </w:r>
      <w:r w:rsidR="00F32172">
        <w:t xml:space="preserve">iscusses </w:t>
      </w:r>
      <w:r w:rsidR="00A77071">
        <w:t xml:space="preserve">possible reasons underlying the difference between the </w:t>
      </w:r>
      <w:r w:rsidR="00D14A6C">
        <w:t xml:space="preserve">secondary </w:t>
      </w:r>
      <w:r w:rsidR="00A77071">
        <w:t>and survey-based analyses (</w:t>
      </w:r>
      <w:r w:rsidR="00D5524B">
        <w:t>for example</w:t>
      </w:r>
      <w:r w:rsidR="00A77071">
        <w:t xml:space="preserve"> borrowers’ self-reported likelihood of </w:t>
      </w:r>
      <w:r w:rsidR="004550ED">
        <w:t xml:space="preserve">closure </w:t>
      </w:r>
      <w:r w:rsidR="00A77071">
        <w:t xml:space="preserve">in the absence of the Covid-19 Loan Guarantee Schemes may be affected by recall issues and lead to </w:t>
      </w:r>
      <w:r w:rsidR="007D2884">
        <w:t>an overestimated impact</w:t>
      </w:r>
      <w:r w:rsidR="00A77071">
        <w:t>)</w:t>
      </w:r>
      <w:r w:rsidR="007D2884">
        <w:t>.</w:t>
      </w:r>
      <w:r w:rsidR="00A77071">
        <w:t xml:space="preserve"> </w:t>
      </w:r>
      <w:r w:rsidR="00B82322">
        <w:t xml:space="preserve">Therefore, the results in this section should be treated with caution, as it is possible that the Year 3 </w:t>
      </w:r>
      <w:r w:rsidR="00D14A6C">
        <w:t xml:space="preserve">secondary analysis </w:t>
      </w:r>
      <w:r w:rsidR="00B82322">
        <w:t>may find a smaller impact on business survival</w:t>
      </w:r>
      <w:r w:rsidR="00635D50">
        <w:t xml:space="preserve"> than these results show</w:t>
      </w:r>
      <w:r w:rsidR="00B82322">
        <w:t xml:space="preserve">. </w:t>
      </w:r>
    </w:p>
    <w:p w14:paraId="5B2FCF0E" w14:textId="6D4C2E69" w:rsidR="0044256F" w:rsidRPr="00490C53" w:rsidRDefault="0044256F" w:rsidP="0044256F">
      <w:pPr>
        <w:pStyle w:val="Heading5"/>
      </w:pPr>
      <w:bookmarkStart w:id="130" w:name="_Ref138334797"/>
      <w:r>
        <w:lastRenderedPageBreak/>
        <w:t xml:space="preserve">Table </w:t>
      </w:r>
      <w:r>
        <w:fldChar w:fldCharType="begin"/>
      </w:r>
      <w:r>
        <w:instrText>SEQ Table \* ARABIC</w:instrText>
      </w:r>
      <w:r>
        <w:fldChar w:fldCharType="separate"/>
      </w:r>
      <w:r w:rsidR="00397D49">
        <w:rPr>
          <w:noProof/>
        </w:rPr>
        <w:t>7</w:t>
      </w:r>
      <w:r>
        <w:fldChar w:fldCharType="end"/>
      </w:r>
      <w:bookmarkEnd w:id="130"/>
      <w:r>
        <w:t xml:space="preserve">: Estimated increase in </w:t>
      </w:r>
      <w:r w:rsidR="00267D1C">
        <w:t>proportion and number</w:t>
      </w:r>
      <w:r w:rsidR="00292C16">
        <w:t xml:space="preserve"> of</w:t>
      </w:r>
      <w:r w:rsidR="00267D1C">
        <w:t xml:space="preserve"> </w:t>
      </w:r>
      <w:r>
        <w:t xml:space="preserve">business </w:t>
      </w:r>
      <w:r w:rsidR="004550ED">
        <w:t xml:space="preserve">closures </w:t>
      </w:r>
      <w:r>
        <w:t>in absence of the BBLS and CBILS/CLBILS schemes</w:t>
      </w:r>
    </w:p>
    <w:tbl>
      <w:tblPr>
        <w:tblStyle w:val="TableGrid"/>
        <w:tblW w:w="5000" w:type="pct"/>
        <w:tblLook w:val="04A0" w:firstRow="1" w:lastRow="0" w:firstColumn="1" w:lastColumn="0" w:noHBand="0" w:noVBand="1"/>
      </w:tblPr>
      <w:tblGrid>
        <w:gridCol w:w="3403"/>
        <w:gridCol w:w="3376"/>
        <w:gridCol w:w="3375"/>
      </w:tblGrid>
      <w:tr w:rsidR="0044256F" w:rsidRPr="00490C53" w14:paraId="5AF4076C" w14:textId="77777777">
        <w:trPr>
          <w:cnfStyle w:val="100000000000" w:firstRow="1" w:lastRow="0" w:firstColumn="0" w:lastColumn="0" w:oddVBand="0" w:evenVBand="0" w:oddHBand="0" w:evenHBand="0" w:firstRowFirstColumn="0" w:firstRowLastColumn="0" w:lastRowFirstColumn="0" w:lastRowLastColumn="0"/>
          <w:tblHeader/>
        </w:trPr>
        <w:tc>
          <w:tcPr>
            <w:tcW w:w="0" w:type="pct"/>
          </w:tcPr>
          <w:p w14:paraId="54273403" w14:textId="77777777" w:rsidR="0044256F" w:rsidRPr="00490C53" w:rsidRDefault="0044256F">
            <w:pPr>
              <w:pStyle w:val="Tablecolumnheading-inkblue"/>
              <w:rPr>
                <w:b w:val="0"/>
                <w:color w:val="FFFFFF" w:themeColor="background1"/>
                <w:sz w:val="22"/>
                <w:szCs w:val="20"/>
              </w:rPr>
            </w:pPr>
            <w:r w:rsidRPr="00846F78">
              <w:rPr>
                <w:color w:val="FFFFFF" w:themeColor="background1"/>
              </w:rPr>
              <w:t>Scheme</w:t>
            </w:r>
          </w:p>
        </w:tc>
        <w:tc>
          <w:tcPr>
            <w:tcW w:w="0" w:type="pct"/>
          </w:tcPr>
          <w:p w14:paraId="7F032E74" w14:textId="6D0AF47B" w:rsidR="0044256F" w:rsidRPr="00490C53" w:rsidRDefault="00267D1C">
            <w:pPr>
              <w:pStyle w:val="Tablecolumnheading-inkblue"/>
              <w:jc w:val="right"/>
              <w:rPr>
                <w:bCs/>
                <w:color w:val="FFFFFF" w:themeColor="background1"/>
                <w:sz w:val="22"/>
                <w:szCs w:val="20"/>
              </w:rPr>
            </w:pPr>
            <w:r>
              <w:rPr>
                <w:bCs/>
                <w:color w:val="FFFFFF" w:themeColor="background1"/>
                <w:sz w:val="22"/>
                <w:szCs w:val="20"/>
              </w:rPr>
              <w:t>Proportion of borrowers</w:t>
            </w:r>
          </w:p>
        </w:tc>
        <w:tc>
          <w:tcPr>
            <w:tcW w:w="0" w:type="pct"/>
          </w:tcPr>
          <w:p w14:paraId="381A1067" w14:textId="585203F9" w:rsidR="0044256F" w:rsidRPr="00490C53" w:rsidRDefault="00267D1C">
            <w:pPr>
              <w:pStyle w:val="Tablecolumnheading-inkblue"/>
              <w:jc w:val="right"/>
              <w:rPr>
                <w:bCs/>
                <w:color w:val="FFFFFF" w:themeColor="background1"/>
                <w:sz w:val="22"/>
                <w:szCs w:val="20"/>
              </w:rPr>
            </w:pPr>
            <w:r>
              <w:rPr>
                <w:bCs/>
                <w:color w:val="FFFFFF" w:themeColor="background1"/>
                <w:sz w:val="22"/>
                <w:szCs w:val="20"/>
              </w:rPr>
              <w:t>Number of borrowers</w:t>
            </w:r>
          </w:p>
        </w:tc>
      </w:tr>
      <w:tr w:rsidR="0044256F" w:rsidRPr="00490C53" w14:paraId="677E41C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75" w:type="pct"/>
          </w:tcPr>
          <w:p w14:paraId="5ECDA96D" w14:textId="77777777" w:rsidR="0044256F" w:rsidRPr="00490C53" w:rsidDel="000A1204" w:rsidRDefault="0044256F">
            <w:pPr>
              <w:pStyle w:val="Tabletext"/>
            </w:pPr>
            <w:r w:rsidRPr="00490C53">
              <w:t>BBLS</w:t>
            </w:r>
          </w:p>
        </w:tc>
        <w:tc>
          <w:tcPr>
            <w:tcW w:w="1662" w:type="pct"/>
            <w:vAlign w:val="center"/>
          </w:tcPr>
          <w:p w14:paraId="12E9A9B8" w14:textId="4D16BECD" w:rsidR="0044256F" w:rsidRPr="00490C53" w:rsidRDefault="0044256F">
            <w:pPr>
              <w:pStyle w:val="Tabletext"/>
              <w:spacing w:before="0"/>
              <w:jc w:val="right"/>
              <w:rPr>
                <w:rStyle w:val="Bold"/>
                <w:b w:val="0"/>
              </w:rPr>
            </w:pPr>
            <w:r>
              <w:t>12</w:t>
            </w:r>
            <w:r w:rsidR="00B63C6C">
              <w:t>%</w:t>
            </w:r>
            <w:r>
              <w:t>-42%</w:t>
            </w:r>
          </w:p>
        </w:tc>
        <w:tc>
          <w:tcPr>
            <w:tcW w:w="1662" w:type="pct"/>
            <w:vAlign w:val="center"/>
          </w:tcPr>
          <w:p w14:paraId="2920B9A2" w14:textId="2500AB81" w:rsidR="0044256F" w:rsidRPr="00490C53" w:rsidRDefault="0044256F">
            <w:pPr>
              <w:pStyle w:val="Tabletext"/>
              <w:spacing w:before="0"/>
              <w:jc w:val="right"/>
              <w:rPr>
                <w:rStyle w:val="Bold"/>
                <w:b w:val="0"/>
              </w:rPr>
            </w:pPr>
            <w:r>
              <w:t>175,000-618,000</w:t>
            </w:r>
          </w:p>
        </w:tc>
      </w:tr>
      <w:tr w:rsidR="0044256F" w:rsidRPr="00490C53" w14:paraId="367592EC" w14:textId="77777777">
        <w:tblPrEx>
          <w:tblCellMar>
            <w:left w:w="108" w:type="dxa"/>
            <w:right w:w="108" w:type="dxa"/>
          </w:tblCellMar>
        </w:tblPrEx>
        <w:tc>
          <w:tcPr>
            <w:tcW w:w="1675" w:type="pct"/>
            <w:tcBorders>
              <w:bottom w:val="single" w:sz="4" w:space="0" w:color="0054BA" w:themeColor="accent2"/>
            </w:tcBorders>
          </w:tcPr>
          <w:p w14:paraId="71AD9B5F" w14:textId="77777777" w:rsidR="0044256F" w:rsidRPr="00490C53" w:rsidDel="000A1204" w:rsidRDefault="0044256F">
            <w:pPr>
              <w:pStyle w:val="Tabletext"/>
            </w:pPr>
            <w:r w:rsidRPr="00490C53">
              <w:t>CBILS/CLBILS</w:t>
            </w:r>
          </w:p>
        </w:tc>
        <w:tc>
          <w:tcPr>
            <w:tcW w:w="1662" w:type="pct"/>
            <w:tcBorders>
              <w:bottom w:val="single" w:sz="4" w:space="0" w:color="0054BA" w:themeColor="accent2"/>
            </w:tcBorders>
            <w:vAlign w:val="center"/>
          </w:tcPr>
          <w:p w14:paraId="2C2E7AEE" w14:textId="213CA8DB" w:rsidR="0044256F" w:rsidRPr="00490C53" w:rsidRDefault="0044256F">
            <w:pPr>
              <w:pStyle w:val="Tabletext"/>
              <w:spacing w:before="0"/>
              <w:jc w:val="right"/>
              <w:rPr>
                <w:rStyle w:val="Bold"/>
                <w:b w:val="0"/>
              </w:rPr>
            </w:pPr>
            <w:r>
              <w:t>6</w:t>
            </w:r>
            <w:r w:rsidR="00B63C6C">
              <w:t>%</w:t>
            </w:r>
            <w:r>
              <w:t>-35</w:t>
            </w:r>
            <w:r w:rsidRPr="00846F78">
              <w:t>%</w:t>
            </w:r>
          </w:p>
        </w:tc>
        <w:tc>
          <w:tcPr>
            <w:tcW w:w="1662" w:type="pct"/>
            <w:tcBorders>
              <w:bottom w:val="single" w:sz="4" w:space="0" w:color="0054BA" w:themeColor="accent2"/>
            </w:tcBorders>
            <w:vAlign w:val="center"/>
          </w:tcPr>
          <w:p w14:paraId="0E2EDA33" w14:textId="23351D46" w:rsidR="0044256F" w:rsidRPr="00490C53" w:rsidRDefault="0044256F">
            <w:pPr>
              <w:pStyle w:val="Tabletext"/>
              <w:spacing w:before="0"/>
              <w:jc w:val="right"/>
              <w:rPr>
                <w:rStyle w:val="Bold"/>
                <w:b w:val="0"/>
              </w:rPr>
            </w:pPr>
            <w:r>
              <w:t>4,000-25,000</w:t>
            </w:r>
          </w:p>
        </w:tc>
      </w:tr>
    </w:tbl>
    <w:p w14:paraId="57922AA5" w14:textId="7C299696" w:rsidR="0044256F" w:rsidRPr="00490C53" w:rsidRDefault="0044256F" w:rsidP="0044256F">
      <w:pPr>
        <w:pStyle w:val="Caption"/>
      </w:pPr>
      <w:r w:rsidRPr="00490C53">
        <w:t xml:space="preserve">Source: London Economics’ analysis of </w:t>
      </w:r>
      <w:r>
        <w:t>survey</w:t>
      </w:r>
      <w:r w:rsidRPr="00490C53">
        <w:t xml:space="preserve"> data</w:t>
      </w:r>
      <w:r w:rsidR="00EB7729">
        <w:t>, BBB Management Information</w:t>
      </w:r>
      <w:r>
        <w:t xml:space="preserve"> and BBB </w:t>
      </w:r>
      <w:r w:rsidR="004138AE">
        <w:t>portal</w:t>
      </w:r>
      <w:r>
        <w:t xml:space="preserve"> data</w:t>
      </w:r>
    </w:p>
    <w:p w14:paraId="71AB6E6B" w14:textId="37A29F09" w:rsidR="00CD2A71" w:rsidRPr="00490C53" w:rsidRDefault="00A15893" w:rsidP="00BF74C8">
      <w:r w:rsidRPr="00490C53">
        <w:t xml:space="preserve">As discussed in the Year 1 report, </w:t>
      </w:r>
      <w:proofErr w:type="gramStart"/>
      <w:r w:rsidR="00BF74C8" w:rsidRPr="00490C53">
        <w:t>Brown</w:t>
      </w:r>
      <w:proofErr w:type="gramEnd"/>
      <w:r w:rsidR="00BF74C8" w:rsidRPr="00490C53">
        <w:t xml:space="preserve"> and Cowling (2020) </w:t>
      </w:r>
      <w:r w:rsidR="00540C48" w:rsidRPr="00490C53">
        <w:t>f</w:t>
      </w:r>
      <w:r w:rsidR="00540C48">
        <w:t>ound</w:t>
      </w:r>
      <w:r w:rsidR="00540C48" w:rsidRPr="00490C53">
        <w:t xml:space="preserve"> </w:t>
      </w:r>
      <w:r w:rsidR="00BF74C8" w:rsidRPr="00490C53">
        <w:t>that 8.6% of businesses had no retained earnings before the pandemic and were therefore at immediate risk of a liquidity crisis as the pandemic began.</w:t>
      </w:r>
      <w:r w:rsidR="00BF74C8" w:rsidRPr="00490C53">
        <w:rPr>
          <w:rStyle w:val="FootnoteReference"/>
        </w:rPr>
        <w:footnoteReference w:id="52"/>
      </w:r>
      <w:r w:rsidR="00BF74C8" w:rsidRPr="00490C53">
        <w:t xml:space="preserve"> Building on this, Calabrese et al. (2022) f</w:t>
      </w:r>
      <w:r w:rsidR="00540C48">
        <w:t>oun</w:t>
      </w:r>
      <w:r w:rsidR="00BF74C8" w:rsidRPr="00490C53">
        <w:t>d that the number of businesses seeking finance increased by 9.6</w:t>
      </w:r>
      <w:r w:rsidR="00540C48">
        <w:t xml:space="preserve"> </w:t>
      </w:r>
      <w:r w:rsidR="00BF74C8" w:rsidRPr="00490C53">
        <w:t>p</w:t>
      </w:r>
      <w:r w:rsidR="00540C48">
        <w:t xml:space="preserve">ercentage </w:t>
      </w:r>
      <w:r w:rsidR="00BF74C8" w:rsidRPr="00490C53">
        <w:t>p</w:t>
      </w:r>
      <w:r w:rsidR="00540C48">
        <w:t>oints</w:t>
      </w:r>
      <w:r w:rsidR="00BF74C8" w:rsidRPr="00490C53">
        <w:t xml:space="preserve"> between April-June and July-September 2020. The authors suggest that the businesses that did not seek finance</w:t>
      </w:r>
      <w:r w:rsidR="009774CF" w:rsidRPr="00490C53">
        <w:t xml:space="preserve"> in</w:t>
      </w:r>
      <w:r w:rsidR="00BF74C8" w:rsidRPr="00490C53">
        <w:t xml:space="preserve"> April-June 2020 but did in July-September 2020 are likely to have had precautionary savings at the onset of the pandemic but had since r</w:t>
      </w:r>
      <w:r w:rsidR="009774CF" w:rsidRPr="00490C53">
        <w:t>a</w:t>
      </w:r>
      <w:r w:rsidR="00BF74C8" w:rsidRPr="00490C53">
        <w:t>n out of cash.</w:t>
      </w:r>
      <w:r w:rsidR="00BF74C8" w:rsidRPr="00490C53">
        <w:rPr>
          <w:rStyle w:val="FootnoteReference"/>
        </w:rPr>
        <w:footnoteReference w:id="53"/>
      </w:r>
      <w:r w:rsidR="00BF74C8" w:rsidRPr="00490C53">
        <w:t xml:space="preserve"> Therefore</w:t>
      </w:r>
      <w:r w:rsidR="00F31191" w:rsidRPr="00490C53">
        <w:t xml:space="preserve">, it is </w:t>
      </w:r>
      <w:r w:rsidR="006C1A43" w:rsidRPr="00490C53">
        <w:t>argued</w:t>
      </w:r>
      <w:r w:rsidR="00BF74C8" w:rsidRPr="00490C53">
        <w:t xml:space="preserve"> that the proportion of businesses at risk of ceasing trading during the pandemic was larger than the </w:t>
      </w:r>
      <w:r w:rsidR="00517FF0" w:rsidRPr="00490C53">
        <w:t>8.6% found by Brown and Cowling,</w:t>
      </w:r>
      <w:r w:rsidR="00BF74C8" w:rsidRPr="00490C53">
        <w:t xml:space="preserve"> as businesses which had savings before the pandemic</w:t>
      </w:r>
      <w:r w:rsidR="006C1A43" w:rsidRPr="00490C53">
        <w:t xml:space="preserve"> were also found t</w:t>
      </w:r>
      <w:r w:rsidR="00E8098B" w:rsidRPr="00490C53">
        <w:t>o be at risk</w:t>
      </w:r>
      <w:r w:rsidR="00BF74C8" w:rsidRPr="00490C53">
        <w:t xml:space="preserve">. </w:t>
      </w:r>
    </w:p>
    <w:p w14:paraId="23B6BAB8" w14:textId="660A85C1" w:rsidR="00BF74C8" w:rsidRPr="00490C53" w:rsidRDefault="00CD2A71" w:rsidP="00BF74C8">
      <w:r w:rsidRPr="00490C53">
        <w:t xml:space="preserve">Calabrese et al. (2022) </w:t>
      </w:r>
      <w:r w:rsidR="00BF74C8" w:rsidRPr="00490C53">
        <w:t>conclude that the loan guarantee schemes were important for businesses and are likely to have prevented a bankruptcy crisis in the short term.</w:t>
      </w:r>
      <w:r w:rsidRPr="00490C53">
        <w:t xml:space="preserve"> </w:t>
      </w:r>
      <w:r w:rsidR="008212F3" w:rsidRPr="00490C53">
        <w:t>However, t</w:t>
      </w:r>
      <w:r w:rsidR="00BF74C8" w:rsidRPr="00490C53">
        <w:t>he</w:t>
      </w:r>
      <w:r w:rsidR="008212F3" w:rsidRPr="00490C53">
        <w:t xml:space="preserve"> withdrawal of the</w:t>
      </w:r>
      <w:r w:rsidR="00C339A3" w:rsidRPr="00490C53">
        <w:t>se s</w:t>
      </w:r>
      <w:r w:rsidR="00BF74C8" w:rsidRPr="00490C53">
        <w:t>chemes</w:t>
      </w:r>
      <w:r w:rsidR="00C339A3" w:rsidRPr="00490C53">
        <w:t xml:space="preserve"> and </w:t>
      </w:r>
      <w:r w:rsidR="00BF74C8" w:rsidRPr="00490C53">
        <w:t xml:space="preserve">other business support measures introduced during the pandemic – </w:t>
      </w:r>
      <w:r w:rsidR="00994BE7">
        <w:t>for example</w:t>
      </w:r>
      <w:r w:rsidR="00BF74C8" w:rsidRPr="00490C53">
        <w:t xml:space="preserve"> the Coronavirus Job Retention Scheme (CJRS), VAT payment deferrals, temporary changes to insolvency law through the Corporate Insolvency and Governance Act 2020 (CIGA 2020) – was therefore expected to lead to an increase in business </w:t>
      </w:r>
      <w:r w:rsidR="004550ED">
        <w:t>closure</w:t>
      </w:r>
      <w:r w:rsidR="004550ED" w:rsidRPr="00490C53">
        <w:t xml:space="preserve">s </w:t>
      </w:r>
      <w:r w:rsidR="00BF74C8" w:rsidRPr="00490C53">
        <w:t xml:space="preserve">in 2021 and 2022 compared to 2020. Overall, emerging evidence suggests that there may indeed be an upward trend in business </w:t>
      </w:r>
      <w:r w:rsidR="004550ED">
        <w:t>closure</w:t>
      </w:r>
      <w:r w:rsidR="00BF74C8" w:rsidRPr="00490C53">
        <w:t xml:space="preserve">s. </w:t>
      </w:r>
    </w:p>
    <w:p w14:paraId="34776EE8" w14:textId="77777777" w:rsidR="008C4209" w:rsidRDefault="008C4209" w:rsidP="00BF74C8"/>
    <w:p w14:paraId="7963623F" w14:textId="77777777" w:rsidR="008C4209" w:rsidRPr="00490C53" w:rsidRDefault="008C4209" w:rsidP="00BF74C8"/>
    <w:p w14:paraId="1BFA800F" w14:textId="51448671" w:rsidR="00540C48" w:rsidRPr="002D323B" w:rsidRDefault="00540C48" w:rsidP="00540C48">
      <w:pPr>
        <w:pBdr>
          <w:top w:val="single" w:sz="4" w:space="1" w:color="auto"/>
          <w:left w:val="single" w:sz="4" w:space="4" w:color="auto"/>
          <w:bottom w:val="single" w:sz="4" w:space="1" w:color="auto"/>
          <w:right w:val="single" w:sz="4" w:space="4" w:color="auto"/>
        </w:pBdr>
        <w:rPr>
          <w:b/>
          <w:bCs/>
        </w:rPr>
      </w:pPr>
      <w:r w:rsidRPr="002D323B">
        <w:rPr>
          <w:b/>
          <w:bCs/>
        </w:rPr>
        <w:lastRenderedPageBreak/>
        <w:t>Business demographics and the impact of Covid-19</w:t>
      </w:r>
    </w:p>
    <w:p w14:paraId="2D49F80C" w14:textId="3F1E853E" w:rsidR="00BF74C8" w:rsidRPr="00490C53" w:rsidRDefault="00540C48" w:rsidP="002D323B">
      <w:pPr>
        <w:pBdr>
          <w:top w:val="single" w:sz="4" w:space="1" w:color="auto"/>
          <w:left w:val="single" w:sz="4" w:space="4" w:color="auto"/>
          <w:bottom w:val="single" w:sz="4" w:space="1" w:color="auto"/>
          <w:right w:val="single" w:sz="4" w:space="4" w:color="auto"/>
        </w:pBdr>
      </w:pPr>
      <w:r>
        <w:t>DBT</w:t>
      </w:r>
      <w:r w:rsidRPr="00490C53">
        <w:t>’</w:t>
      </w:r>
      <w:r>
        <w:t>s</w:t>
      </w:r>
      <w:r w:rsidRPr="00490C53">
        <w:t xml:space="preserve"> </w:t>
      </w:r>
      <w:r w:rsidR="00BF74C8" w:rsidRPr="00490C53">
        <w:t>Business Population Estimates (BPE)</w:t>
      </w:r>
      <w:r w:rsidR="00BF74C8" w:rsidRPr="00490C53">
        <w:rPr>
          <w:rStyle w:val="FootnoteReference"/>
        </w:rPr>
        <w:footnoteReference w:id="54"/>
      </w:r>
      <w:r w:rsidR="00BF74C8" w:rsidRPr="00490C53">
        <w:t xml:space="preserve"> show a 1.9% increase in the number of UK businesses between 2019 and 2020. This is followed by decreases between 2020 and 2021 (of 6.5%) and 2021 and 2022 (1.5%). However, the declining business numbers can be wholly accounted for by unregistered businesses</w:t>
      </w:r>
      <w:r w:rsidR="00CB1D32">
        <w:t>, which are mostly self-employed people classed as s</w:t>
      </w:r>
      <w:r w:rsidR="00CB1D32" w:rsidRPr="00CB1D32">
        <w:t>ole proprietorship</w:t>
      </w:r>
      <w:r w:rsidR="00CB1D32">
        <w:t>s</w:t>
      </w:r>
      <w:r w:rsidR="00BF74C8" w:rsidRPr="00490C53">
        <w:t>.</w:t>
      </w:r>
      <w:r w:rsidR="00D26547">
        <w:rPr>
          <w:rStyle w:val="FootnoteReference"/>
        </w:rPr>
        <w:footnoteReference w:id="55"/>
      </w:r>
      <w:r w:rsidR="00BF74C8" w:rsidRPr="00490C53">
        <w:t xml:space="preserve"> When only looking at registered businesses, the business population increases by 0.3% between 2020 and 2021 and by 0.6% between 2021 and 2022. A larger increase in the business population can be seen throughout 2021 than during 2020, which could be driven by a decrease in the number of business </w:t>
      </w:r>
      <w:r w:rsidR="004550ED">
        <w:t>closure</w:t>
      </w:r>
      <w:r w:rsidR="004550ED" w:rsidRPr="00490C53">
        <w:t>s</w:t>
      </w:r>
      <w:r w:rsidR="00BF74C8" w:rsidRPr="00490C53">
        <w:t>, an increase in the number of business births or both.</w:t>
      </w:r>
    </w:p>
    <w:p w14:paraId="4AB2F030" w14:textId="0F20B164" w:rsidR="00BF74C8" w:rsidRPr="00490C53" w:rsidRDefault="00BF74C8" w:rsidP="002D323B">
      <w:pPr>
        <w:pBdr>
          <w:top w:val="single" w:sz="4" w:space="1" w:color="auto"/>
          <w:left w:val="single" w:sz="4" w:space="4" w:color="auto"/>
          <w:bottom w:val="single" w:sz="4" w:space="1" w:color="auto"/>
          <w:right w:val="single" w:sz="4" w:space="4" w:color="auto"/>
        </w:pBdr>
      </w:pPr>
      <w:r w:rsidRPr="00490C53">
        <w:t>Looking only at registered businesses, the ONS (2022)</w:t>
      </w:r>
      <w:r w:rsidRPr="00490C53">
        <w:rPr>
          <w:rStyle w:val="FootnoteReference"/>
        </w:rPr>
        <w:footnoteReference w:id="56"/>
      </w:r>
      <w:r w:rsidRPr="00490C53">
        <w:t xml:space="preserve"> find a small increase in the business </w:t>
      </w:r>
      <w:r w:rsidR="004550ED">
        <w:t>closure</w:t>
      </w:r>
      <w:r w:rsidR="004550ED" w:rsidRPr="00490C53">
        <w:t xml:space="preserve"> </w:t>
      </w:r>
      <w:r w:rsidRPr="00490C53">
        <w:t xml:space="preserve">rate between 2020 and 2021 from 10.3% to 11.1%. This compares to an increase in the business birth rate from 11.5% to 12.4%. This suggests that the faster growth in the number of businesses in the UK in 2021 as shown in the BPE could be caused by an increase in the business birth rate, whilst the business </w:t>
      </w:r>
      <w:r w:rsidR="004550ED">
        <w:t>closure</w:t>
      </w:r>
      <w:r w:rsidR="004550ED" w:rsidRPr="00490C53">
        <w:t xml:space="preserve"> </w:t>
      </w:r>
      <w:r w:rsidRPr="00490C53">
        <w:t>rate also increases.</w:t>
      </w:r>
    </w:p>
    <w:p w14:paraId="4DB541DF" w14:textId="5FD05B54" w:rsidR="00BF74C8" w:rsidRPr="00490C53" w:rsidRDefault="00BF74C8" w:rsidP="002D323B">
      <w:pPr>
        <w:pBdr>
          <w:top w:val="single" w:sz="4" w:space="1" w:color="auto"/>
          <w:left w:val="single" w:sz="4" w:space="4" w:color="auto"/>
          <w:bottom w:val="single" w:sz="4" w:space="1" w:color="auto"/>
          <w:right w:val="single" w:sz="4" w:space="4" w:color="auto"/>
        </w:pBdr>
      </w:pPr>
      <w:r w:rsidRPr="00490C53">
        <w:t>Lastly, quarterly experimental business demography statistics</w:t>
      </w:r>
      <w:r w:rsidRPr="00490C53">
        <w:rPr>
          <w:rStyle w:val="FootnoteReference"/>
        </w:rPr>
        <w:footnoteReference w:id="57"/>
      </w:r>
      <w:r w:rsidRPr="00490C53">
        <w:t xml:space="preserve"> show that an average of </w:t>
      </w:r>
      <w:r w:rsidR="00CB24DA">
        <w:t>77</w:t>
      </w:r>
      <w:r w:rsidRPr="00490C53">
        <w:t>,200 business</w:t>
      </w:r>
      <w:r w:rsidR="00CB24DA">
        <w:t>es</w:t>
      </w:r>
      <w:r w:rsidRPr="00490C53">
        <w:t xml:space="preserve"> </w:t>
      </w:r>
      <w:r w:rsidR="004550ED">
        <w:t>permanently closed</w:t>
      </w:r>
      <w:r w:rsidR="004550ED" w:rsidRPr="00490C53">
        <w:t xml:space="preserve"> </w:t>
      </w:r>
      <w:r w:rsidRPr="00490C53">
        <w:t xml:space="preserve">per quarter in 2020. This is </w:t>
      </w:r>
      <w:proofErr w:type="gramStart"/>
      <w:r w:rsidRPr="00490C53">
        <w:t>similar to</w:t>
      </w:r>
      <w:proofErr w:type="gramEnd"/>
      <w:r w:rsidRPr="00490C53">
        <w:t xml:space="preserve"> the pre-pandemic average, which was </w:t>
      </w:r>
      <w:r w:rsidR="00CB24DA">
        <w:t>78,6</w:t>
      </w:r>
      <w:r w:rsidRPr="00490C53">
        <w:t>00 per quarter between 2017 and 2019. In contrast, a</w:t>
      </w:r>
      <w:r w:rsidR="00CB24DA">
        <w:t>n</w:t>
      </w:r>
      <w:r w:rsidRPr="00490C53">
        <w:t xml:space="preserve"> increase in the number of business </w:t>
      </w:r>
      <w:r w:rsidR="004550ED">
        <w:t>closure</w:t>
      </w:r>
      <w:r w:rsidR="004550ED" w:rsidRPr="00490C53">
        <w:t xml:space="preserve">s </w:t>
      </w:r>
      <w:r w:rsidRPr="00490C53">
        <w:t xml:space="preserve">can be seen in following years. In 2021, </w:t>
      </w:r>
      <w:r w:rsidR="00CB24DA">
        <w:t>86,3</w:t>
      </w:r>
      <w:r w:rsidRPr="00490C53">
        <w:t xml:space="preserve">00 businesses </w:t>
      </w:r>
      <w:r w:rsidR="004550ED">
        <w:t>permanently closed</w:t>
      </w:r>
      <w:r w:rsidR="004550ED" w:rsidRPr="00490C53">
        <w:t xml:space="preserve"> </w:t>
      </w:r>
      <w:r w:rsidRPr="00490C53">
        <w:t xml:space="preserve">on average per quarter, which represents an increase of </w:t>
      </w:r>
      <w:r w:rsidR="00CB24DA">
        <w:t>12</w:t>
      </w:r>
      <w:r w:rsidRPr="00490C53">
        <w:t xml:space="preserve">% compared to 2020. A further increase of 10% (up to </w:t>
      </w:r>
      <w:r w:rsidR="00CB24DA">
        <w:t>94,6</w:t>
      </w:r>
      <w:r w:rsidRPr="00490C53">
        <w:t>00 per quarter) can be seen in 2022.</w:t>
      </w:r>
    </w:p>
    <w:p w14:paraId="31278EFC" w14:textId="77777777" w:rsidR="00051ED5" w:rsidRPr="00490C53" w:rsidRDefault="00051ED5" w:rsidP="00051ED5">
      <w:pPr>
        <w:pStyle w:val="Heading2"/>
      </w:pPr>
      <w:bookmarkStart w:id="131" w:name="_Toc151549889"/>
      <w:r w:rsidRPr="00490C53">
        <w:lastRenderedPageBreak/>
        <w:t>Impact on turnover and employment</w:t>
      </w:r>
      <w:bookmarkEnd w:id="131"/>
    </w:p>
    <w:p w14:paraId="55A519AF" w14:textId="74BBDEA7" w:rsidR="00051ED5" w:rsidRPr="00490C53" w:rsidRDefault="00E0547A" w:rsidP="00051ED5">
      <w:r w:rsidRPr="00490C53">
        <w:t xml:space="preserve">Econometric models are used to estimate the impacts of the </w:t>
      </w:r>
      <w:r w:rsidR="00364B11" w:rsidRPr="00490C53">
        <w:t xml:space="preserve">Covid-19 Loan Guarantee Schemes on businesses’ turnover and employment in </w:t>
      </w:r>
      <w:r w:rsidR="00F13F4A">
        <w:t>the second year of the pandemic</w:t>
      </w:r>
      <w:r w:rsidR="00364B11" w:rsidRPr="00490C53">
        <w:t>. The econometric approach is based on a comparison of business outcomes between borrowers and a group of non-borrowers</w:t>
      </w:r>
      <w:r w:rsidR="00A249DB" w:rsidRPr="00490C53">
        <w:t xml:space="preserve"> before and </w:t>
      </w:r>
      <w:r w:rsidR="00804C7D" w:rsidRPr="00490C53">
        <w:t xml:space="preserve">in the years </w:t>
      </w:r>
      <w:r w:rsidR="00A249DB" w:rsidRPr="00490C53">
        <w:t>after the policy intervention (</w:t>
      </w:r>
      <w:proofErr w:type="gramStart"/>
      <w:r w:rsidR="00E522C5">
        <w:t>i.e.</w:t>
      </w:r>
      <w:proofErr w:type="gramEnd"/>
      <w:r w:rsidR="00E522C5">
        <w:t xml:space="preserve"> </w:t>
      </w:r>
      <w:r w:rsidR="00A249DB" w:rsidRPr="00490C53">
        <w:t>the Covid-19 Loan Guarantee Schemes).</w:t>
      </w:r>
      <w:r w:rsidR="00364B11" w:rsidRPr="00490C53">
        <w:t xml:space="preserve"> </w:t>
      </w:r>
    </w:p>
    <w:p w14:paraId="4DCDB7DC" w14:textId="59E38231" w:rsidR="00A177ED" w:rsidRPr="00490C53" w:rsidRDefault="00A177ED" w:rsidP="00051ED5">
      <w:r w:rsidRPr="00490C53">
        <w:t>Th</w:t>
      </w:r>
      <w:r w:rsidR="007F7550" w:rsidRPr="00490C53">
        <w:t>e group of non-borrowers to which the outcomes of borrowers are compared was constructed to be as similar as possible to the sample of borrowers</w:t>
      </w:r>
      <w:r w:rsidR="005C00B2" w:rsidRPr="00490C53">
        <w:t xml:space="preserve"> to ensure that </w:t>
      </w:r>
      <w:r w:rsidR="004E5A6D" w:rsidRPr="00490C53">
        <w:t>variations in business outcomes were more likely due to the Covid-19 Loan Guarantee Schemes’ impacts rather than underlying differences between the two groups of businesses. In practice, this was implemented in two steps:</w:t>
      </w:r>
    </w:p>
    <w:p w14:paraId="20B882A0" w14:textId="53EDA908" w:rsidR="009A445F" w:rsidRPr="00490C53" w:rsidRDefault="009A445F" w:rsidP="009A445F">
      <w:pPr>
        <w:pStyle w:val="ListNumber"/>
        <w:numPr>
          <w:ilvl w:val="0"/>
          <w:numId w:val="16"/>
        </w:numPr>
      </w:pPr>
      <w:r w:rsidRPr="00490C53">
        <w:t xml:space="preserve">Non-borrowing businesses were screened during fieldwork based on whether they faced challenge or opportunities because of the Covid-19 pandemic. This aimed to ensure that non-borrowers were </w:t>
      </w:r>
      <w:r w:rsidR="00C85B66">
        <w:t>affected</w:t>
      </w:r>
      <w:r w:rsidR="00C85B66" w:rsidRPr="00490C53">
        <w:t xml:space="preserve"> </w:t>
      </w:r>
      <w:r w:rsidRPr="00490C53">
        <w:t>by the pandemic, thereby potentially creating similar financial or operational issues to those experienced by borrowers.</w:t>
      </w:r>
      <w:r w:rsidRPr="00490C53">
        <w:rPr>
          <w:rStyle w:val="FootnoteReference"/>
        </w:rPr>
        <w:footnoteReference w:id="58"/>
      </w:r>
      <w:r w:rsidRPr="00490C53">
        <w:t xml:space="preserve"> </w:t>
      </w:r>
    </w:p>
    <w:p w14:paraId="01582F7C" w14:textId="40B1937E" w:rsidR="004E5A6D" w:rsidRPr="00490C53" w:rsidRDefault="009A445F" w:rsidP="003464E2">
      <w:pPr>
        <w:pStyle w:val="ListNumber"/>
      </w:pPr>
      <w:r w:rsidRPr="00490C53">
        <w:t>Among the sample of non-borrowers, a ‘control’ group was constructed based on their similarity to borrowers with respect to pre-pandemic characteristics (</w:t>
      </w:r>
      <w:r w:rsidR="00994BE7">
        <w:t xml:space="preserve">for example </w:t>
      </w:r>
      <w:r w:rsidRPr="00490C53">
        <w:t>turnover</w:t>
      </w:r>
      <w:r w:rsidR="00602A26" w:rsidRPr="00490C53">
        <w:t xml:space="preserve"> and</w:t>
      </w:r>
      <w:r w:rsidRPr="00490C53">
        <w:t xml:space="preserve"> sector) and the kinds of business obstacles encountered during the pandemic</w:t>
      </w:r>
      <w:r w:rsidR="00C85B66">
        <w:t xml:space="preserve"> </w:t>
      </w:r>
      <w:r w:rsidR="00C85B66" w:rsidRPr="00490C53">
        <w:t xml:space="preserve">– described in </w:t>
      </w:r>
      <w:r w:rsidR="00C85B66">
        <w:fldChar w:fldCharType="begin"/>
      </w:r>
      <w:r w:rsidR="00C85B66">
        <w:instrText xml:space="preserve"> REF _Ref121909617 \h </w:instrText>
      </w:r>
      <w:r w:rsidR="00C85B66">
        <w:fldChar w:fldCharType="separate"/>
      </w:r>
      <w:r w:rsidR="00397D49" w:rsidRPr="00490C53">
        <w:t>Annex 3</w:t>
      </w:r>
      <w:r w:rsidR="00C85B66">
        <w:fldChar w:fldCharType="end"/>
      </w:r>
      <w:r w:rsidRPr="00490C53">
        <w:t>.</w:t>
      </w:r>
      <w:r w:rsidR="00994BE7">
        <w:t xml:space="preserve"> </w:t>
      </w:r>
      <w:r w:rsidRPr="00490C53">
        <w:t>This exercise is implemented through propensity score matching (PSM).</w:t>
      </w:r>
      <w:r w:rsidRPr="00490C53">
        <w:rPr>
          <w:rStyle w:val="FootnoteReference"/>
        </w:rPr>
        <w:footnoteReference w:id="59"/>
      </w:r>
      <w:r w:rsidRPr="00490C53">
        <w:t xml:space="preserve"> A limitation of this method is that it does not allow to match borrowers and non-borrowers based on unobserved characteristics (</w:t>
      </w:r>
      <w:r w:rsidR="00994BE7">
        <w:t xml:space="preserve">for example </w:t>
      </w:r>
      <w:r w:rsidRPr="00490C53">
        <w:t xml:space="preserve">attitudes to risk). </w:t>
      </w:r>
    </w:p>
    <w:p w14:paraId="39D73AFF" w14:textId="20C1183C" w:rsidR="00051ED5" w:rsidRPr="00490C53" w:rsidRDefault="000045A4" w:rsidP="002D323B">
      <w:r w:rsidRPr="00490C53">
        <w:t xml:space="preserve">The outcomes of the sample of borrowers and the control group are compared </w:t>
      </w:r>
      <w:r w:rsidR="00602A26" w:rsidRPr="00490C53">
        <w:t xml:space="preserve">against one another before and in the years </w:t>
      </w:r>
      <w:r w:rsidR="00B07C05" w:rsidRPr="00490C53">
        <w:t xml:space="preserve">after the introduction of the Covid-19 Loan Guarantee Schemes. </w:t>
      </w:r>
      <w:r w:rsidR="004F2955" w:rsidRPr="00490C53">
        <w:t xml:space="preserve">This allows for pre-existing differences between </w:t>
      </w:r>
      <w:r w:rsidR="00FF420A" w:rsidRPr="00490C53">
        <w:t>the groups that may remain after steps 1 and 2 above to be account</w:t>
      </w:r>
      <w:r w:rsidR="00C85B66">
        <w:t>ed</w:t>
      </w:r>
      <w:r w:rsidR="00FF420A" w:rsidRPr="00490C53">
        <w:t xml:space="preserve"> for. </w:t>
      </w:r>
      <w:r w:rsidR="005170F5">
        <w:t xml:space="preserve">This approach differs from the difference-in-differences approach used in the Year 1 report (and the </w:t>
      </w:r>
      <w:r w:rsidR="00090368">
        <w:t xml:space="preserve">secondary assessment </w:t>
      </w:r>
      <w:r w:rsidR="005170F5">
        <w:t xml:space="preserve">of that analysis presented later in this report) in that there are three years of data included in the model rather </w:t>
      </w:r>
      <w:r w:rsidR="005170F5">
        <w:lastRenderedPageBreak/>
        <w:t xml:space="preserve">than two. </w:t>
      </w:r>
      <w:r w:rsidR="00BF59E7" w:rsidRPr="00490C53">
        <w:t xml:space="preserve">A fixed effects estimation framework is used to estimate the impacts on turnover and employment. Full details on the data used and econometric approach </w:t>
      </w:r>
      <w:r w:rsidR="001F1564" w:rsidRPr="00490C53">
        <w:t xml:space="preserve">are provided in </w:t>
      </w:r>
      <w:r w:rsidR="003464E2">
        <w:fldChar w:fldCharType="begin"/>
      </w:r>
      <w:r w:rsidR="003464E2">
        <w:instrText xml:space="preserve"> REF _Ref121909617 \h </w:instrText>
      </w:r>
      <w:r w:rsidR="002C1453">
        <w:instrText xml:space="preserve"> \* MERGEFORMAT </w:instrText>
      </w:r>
      <w:r w:rsidR="003464E2">
        <w:fldChar w:fldCharType="separate"/>
      </w:r>
      <w:r w:rsidR="00397D49" w:rsidRPr="00490C53">
        <w:t>Annex 3</w:t>
      </w:r>
      <w:r w:rsidR="003464E2">
        <w:fldChar w:fldCharType="end"/>
      </w:r>
      <w:r w:rsidR="001F1564" w:rsidRPr="00490C53">
        <w:t>.</w:t>
      </w:r>
      <w:r w:rsidR="003464E2">
        <w:t xml:space="preserve"> </w:t>
      </w:r>
    </w:p>
    <w:p w14:paraId="2E9836C7" w14:textId="28C5E5A0" w:rsidR="001F1564" w:rsidRPr="00490C53" w:rsidRDefault="00AB0AEE" w:rsidP="00051ED5">
      <w:r>
        <w:t>Full r</w:t>
      </w:r>
      <w:r w:rsidR="00527D7F" w:rsidRPr="00490C53">
        <w:t xml:space="preserve">esults from the econometric analysis are presented </w:t>
      </w:r>
      <w:r w:rsidR="00EF4F33">
        <w:t xml:space="preserve">in </w:t>
      </w:r>
      <w:r w:rsidR="00EF4F33">
        <w:fldChar w:fldCharType="begin"/>
      </w:r>
      <w:r w:rsidR="00EF4F33">
        <w:instrText xml:space="preserve"> REF _Ref121909617 \h </w:instrText>
      </w:r>
      <w:r w:rsidR="00EF4F33">
        <w:fldChar w:fldCharType="separate"/>
      </w:r>
      <w:r w:rsidR="00397D49" w:rsidRPr="00490C53">
        <w:t>Annex 3</w:t>
      </w:r>
      <w:r w:rsidR="00EF4F33">
        <w:fldChar w:fldCharType="end"/>
      </w:r>
      <w:r>
        <w:t xml:space="preserve"> (</w:t>
      </w:r>
      <w:r>
        <w:fldChar w:fldCharType="begin"/>
      </w:r>
      <w:r>
        <w:instrText xml:space="preserve"> REF _Ref138341082 \h </w:instrText>
      </w:r>
      <w:r>
        <w:fldChar w:fldCharType="separate"/>
      </w:r>
      <w:r w:rsidR="00397D49" w:rsidRPr="00490C53">
        <w:t xml:space="preserve">Table </w:t>
      </w:r>
      <w:r w:rsidR="00397D49">
        <w:rPr>
          <w:noProof/>
        </w:rPr>
        <w:t>28</w:t>
      </w:r>
      <w:r>
        <w:fldChar w:fldCharType="end"/>
      </w:r>
      <w:r>
        <w:t xml:space="preserve">, </w:t>
      </w:r>
      <w:r>
        <w:fldChar w:fldCharType="begin"/>
      </w:r>
      <w:r>
        <w:instrText xml:space="preserve"> REF _Ref138340013 \h </w:instrText>
      </w:r>
      <w:r>
        <w:fldChar w:fldCharType="separate"/>
      </w:r>
      <w:r w:rsidR="00397D49" w:rsidRPr="00490C53">
        <w:t xml:space="preserve">Table </w:t>
      </w:r>
      <w:r w:rsidR="00397D49">
        <w:rPr>
          <w:noProof/>
        </w:rPr>
        <w:t>29</w:t>
      </w:r>
      <w:r>
        <w:fldChar w:fldCharType="end"/>
      </w:r>
      <w:r>
        <w:t xml:space="preserve"> and </w:t>
      </w:r>
      <w:r>
        <w:fldChar w:fldCharType="begin"/>
      </w:r>
      <w:r>
        <w:instrText xml:space="preserve"> REF _Ref138341084 \h </w:instrText>
      </w:r>
      <w:r>
        <w:fldChar w:fldCharType="separate"/>
      </w:r>
      <w:r w:rsidR="00397D49" w:rsidRPr="00490C53">
        <w:t xml:space="preserve">Table </w:t>
      </w:r>
      <w:r w:rsidR="00397D49">
        <w:rPr>
          <w:noProof/>
        </w:rPr>
        <w:t>30</w:t>
      </w:r>
      <w:r>
        <w:fldChar w:fldCharType="end"/>
      </w:r>
      <w:r>
        <w:t>)</w:t>
      </w:r>
      <w:r w:rsidR="00EF4F33">
        <w:t>, with the main findings</w:t>
      </w:r>
      <w:r w:rsidR="00527D7F" w:rsidRPr="00490C53">
        <w:t xml:space="preserve"> for each outcome of interest</w:t>
      </w:r>
      <w:r>
        <w:t xml:space="preserve"> and the interpretation in percentage terms of the coefficient of interest</w:t>
      </w:r>
      <w:r w:rsidR="00EF4F33">
        <w:t xml:space="preserve"> outlined below</w:t>
      </w:r>
      <w:r w:rsidR="00527D7F" w:rsidRPr="00490C53">
        <w:t>. Two sets of analysis are performed, one for BBLS and the other for CBILS and CLBILS combined.</w:t>
      </w:r>
      <w:r w:rsidR="00527D7F" w:rsidRPr="00490C53">
        <w:rPr>
          <w:rStyle w:val="FootnoteReference"/>
        </w:rPr>
        <w:footnoteReference w:id="60"/>
      </w:r>
      <w:r w:rsidR="00394486" w:rsidRPr="00490C53">
        <w:t xml:space="preserve"> </w:t>
      </w:r>
    </w:p>
    <w:p w14:paraId="45C5BE96" w14:textId="62C3833D" w:rsidR="000C3DB2" w:rsidRPr="00490C53" w:rsidRDefault="000C3DB2" w:rsidP="00051ED5">
      <w:r w:rsidRPr="00490C53">
        <w:t xml:space="preserve">In addition, to assess the robustness of the results, the econometric model is also run controlling for the possibility that certain businesses may have used other support schemes during the pandemic, such as the Coronavirus Job Retention Scheme (CJRS) or VAT deferral. The inclusion of these </w:t>
      </w:r>
      <w:r w:rsidR="005A1CA2">
        <w:t xml:space="preserve">control </w:t>
      </w:r>
      <w:r w:rsidRPr="00490C53">
        <w:t>variables in the model is intended to minimise the risk that any impact of these schemes is incorrectly attribute</w:t>
      </w:r>
      <w:r w:rsidR="00FF5361">
        <w:t>d</w:t>
      </w:r>
      <w:r w:rsidRPr="00490C53">
        <w:t xml:space="preserve"> to the Covid-19 Loan Guarantee Schemes. </w:t>
      </w:r>
    </w:p>
    <w:p w14:paraId="6D3276AA" w14:textId="77777777" w:rsidR="0024085E" w:rsidRPr="005D5D23" w:rsidRDefault="0024085E" w:rsidP="00236B73">
      <w:r w:rsidRPr="00236B73">
        <w:rPr>
          <w:color w:val="142855" w:themeColor="text2"/>
        </w:rPr>
        <w:t>Turnover</w:t>
      </w:r>
    </w:p>
    <w:p w14:paraId="7FB1E952" w14:textId="1DE08968" w:rsidR="00854351" w:rsidRDefault="0024085E" w:rsidP="0024085E">
      <w:r w:rsidRPr="00490C53">
        <w:t>The econometric analysis does not identify a statistically significant</w:t>
      </w:r>
      <w:r w:rsidR="003C231D" w:rsidRPr="00490C53">
        <w:rPr>
          <w:rStyle w:val="FootnoteReference"/>
        </w:rPr>
        <w:footnoteReference w:id="61"/>
      </w:r>
      <w:r w:rsidRPr="00490C53">
        <w:t xml:space="preserve"> impact of the BBLS scheme </w:t>
      </w:r>
      <w:r w:rsidR="00F86D97" w:rsidRPr="00490C53">
        <w:t xml:space="preserve">on </w:t>
      </w:r>
      <w:r w:rsidRPr="00490C53">
        <w:t>borrowers’ turnover</w:t>
      </w:r>
      <w:r w:rsidR="00FF3BB4" w:rsidRPr="00490C53">
        <w:t xml:space="preserve"> in the second year </w:t>
      </w:r>
      <w:r w:rsidR="00F13F4A">
        <w:t>of</w:t>
      </w:r>
      <w:r w:rsidR="00F13F4A" w:rsidRPr="00490C53">
        <w:t xml:space="preserve"> </w:t>
      </w:r>
      <w:r w:rsidR="00FF3BB4" w:rsidRPr="00490C53">
        <w:t>the pandemic</w:t>
      </w:r>
      <w:r w:rsidR="00A00B87" w:rsidRPr="00490C53">
        <w:t xml:space="preserve"> (</w:t>
      </w:r>
      <w:r w:rsidR="00C751C7">
        <w:fldChar w:fldCharType="begin"/>
      </w:r>
      <w:r w:rsidR="00C751C7">
        <w:instrText xml:space="preserve"> REF _Ref138339912 \h </w:instrText>
      </w:r>
      <w:r w:rsidR="00C751C7">
        <w:fldChar w:fldCharType="separate"/>
      </w:r>
      <w:r w:rsidR="00397D49">
        <w:t xml:space="preserve">Table </w:t>
      </w:r>
      <w:r w:rsidR="00397D49">
        <w:rPr>
          <w:noProof/>
        </w:rPr>
        <w:t>8</w:t>
      </w:r>
      <w:r w:rsidR="00C751C7">
        <w:fldChar w:fldCharType="end"/>
      </w:r>
      <w:r w:rsidR="00C751C7">
        <w:t>).</w:t>
      </w:r>
      <w:r w:rsidR="00EF4F33">
        <w:t xml:space="preserve"> </w:t>
      </w:r>
      <w:r w:rsidR="006C1B1F" w:rsidRPr="00490C53">
        <w:t>In terms of the CBILS/CLBILS schemes</w:t>
      </w:r>
      <w:r w:rsidR="00FF3BB4" w:rsidRPr="00490C53">
        <w:t xml:space="preserve">, </w:t>
      </w:r>
      <w:r w:rsidR="0028223B" w:rsidRPr="00490C53">
        <w:t xml:space="preserve">the results suggest that borrowers’ turnover was approximately </w:t>
      </w:r>
      <w:r w:rsidR="0028223B" w:rsidRPr="00846F78">
        <w:t>14% higher</w:t>
      </w:r>
      <w:r w:rsidR="00F04234" w:rsidRPr="00846F78">
        <w:t xml:space="preserve"> (significant at the 5% level)</w:t>
      </w:r>
      <w:r w:rsidR="0028223B" w:rsidRPr="00490C53">
        <w:t xml:space="preserve"> than it would have been without </w:t>
      </w:r>
      <w:r w:rsidR="00727064" w:rsidRPr="00490C53">
        <w:t>borrowing through the scheme.</w:t>
      </w:r>
      <w:r w:rsidR="00DC2BB6" w:rsidRPr="00490C53">
        <w:t xml:space="preserve"> </w:t>
      </w:r>
      <w:r w:rsidR="00727064" w:rsidRPr="00490C53">
        <w:t>However, this result is not robust to the inclusion of controls related to participation in other schemes</w:t>
      </w:r>
      <w:r w:rsidR="00503FF8" w:rsidRPr="00490C53">
        <w:t>.</w:t>
      </w:r>
      <w:r w:rsidR="00727064" w:rsidRPr="00490C53">
        <w:t xml:space="preserve"> </w:t>
      </w:r>
      <w:r w:rsidR="00503FF8" w:rsidRPr="00490C53">
        <w:t>This</w:t>
      </w:r>
      <w:r w:rsidR="00727064" w:rsidRPr="00490C53">
        <w:t xml:space="preserve"> suggests that </w:t>
      </w:r>
      <w:r w:rsidR="00503FF8" w:rsidRPr="00490C53">
        <w:t xml:space="preserve">part of the estimated impact of CBILS/CLBILS on turnover may be due to </w:t>
      </w:r>
      <w:r w:rsidR="001C29B5" w:rsidRPr="00490C53">
        <w:t>other support schemes</w:t>
      </w:r>
      <w:r w:rsidR="00DC2BB6" w:rsidRPr="00490C53">
        <w:t>.</w:t>
      </w:r>
      <w:r w:rsidR="00B93BBA" w:rsidRPr="00490C53">
        <w:t xml:space="preserve"> </w:t>
      </w:r>
      <w:r w:rsidR="003C3DDD" w:rsidRPr="00490C53">
        <w:t>It should be noted that</w:t>
      </w:r>
      <w:r w:rsidR="00DA65BD">
        <w:t>, because the analysis is based on a survey of businesses which have survived,</w:t>
      </w:r>
      <w:r w:rsidR="003C3DDD" w:rsidRPr="00490C53">
        <w:t xml:space="preserve"> </w:t>
      </w:r>
      <w:r w:rsidR="00A75545" w:rsidRPr="00490C53">
        <w:t>these</w:t>
      </w:r>
      <w:r w:rsidR="003C3DDD" w:rsidRPr="00490C53">
        <w:t xml:space="preserve"> estimated impact</w:t>
      </w:r>
      <w:r w:rsidR="00A75545" w:rsidRPr="00490C53">
        <w:t>s</w:t>
      </w:r>
      <w:r w:rsidR="003C3DDD" w:rsidRPr="00490C53">
        <w:t xml:space="preserve"> mostly exclude any impact on turnover from business survival</w:t>
      </w:r>
      <w:r w:rsidR="00F57611" w:rsidRPr="00490C53">
        <w:t xml:space="preserve"> </w:t>
      </w:r>
      <w:r w:rsidR="00DA65BD">
        <w:t>(</w:t>
      </w:r>
      <w:r w:rsidR="00F57611" w:rsidRPr="00490C53">
        <w:t>discussed in the previous section</w:t>
      </w:r>
      <w:r w:rsidR="00DA65BD">
        <w:t>)</w:t>
      </w:r>
      <w:r w:rsidR="00F57611" w:rsidRPr="00490C53">
        <w:t>.</w:t>
      </w:r>
    </w:p>
    <w:p w14:paraId="481EF78A" w14:textId="0A10A884" w:rsidR="00E364BD" w:rsidRPr="00490C53" w:rsidRDefault="00E364BD" w:rsidP="00E364BD">
      <w:pPr>
        <w:pStyle w:val="Heading5"/>
      </w:pPr>
      <w:bookmarkStart w:id="132" w:name="_Ref138339912"/>
      <w:r>
        <w:t xml:space="preserve">Table </w:t>
      </w:r>
      <w:r>
        <w:fldChar w:fldCharType="begin"/>
      </w:r>
      <w:r>
        <w:instrText>SEQ Table \* ARABIC</w:instrText>
      </w:r>
      <w:r>
        <w:fldChar w:fldCharType="separate"/>
      </w:r>
      <w:r w:rsidR="00397D49">
        <w:rPr>
          <w:noProof/>
        </w:rPr>
        <w:t>8</w:t>
      </w:r>
      <w:r>
        <w:fldChar w:fldCharType="end"/>
      </w:r>
      <w:bookmarkEnd w:id="132"/>
      <w:r>
        <w:t xml:space="preserve">: </w:t>
      </w:r>
      <w:r w:rsidR="00C751C7">
        <w:t>Percentage difference in turnover associated with borrowers’ use of the schemes</w:t>
      </w:r>
    </w:p>
    <w:tbl>
      <w:tblPr>
        <w:tblStyle w:val="TableGrid"/>
        <w:tblW w:w="5000" w:type="pct"/>
        <w:tblLook w:val="04A0" w:firstRow="1" w:lastRow="0" w:firstColumn="1" w:lastColumn="0" w:noHBand="0" w:noVBand="1"/>
      </w:tblPr>
      <w:tblGrid>
        <w:gridCol w:w="3403"/>
        <w:gridCol w:w="3376"/>
        <w:gridCol w:w="3375"/>
      </w:tblGrid>
      <w:tr w:rsidR="00E364BD" w:rsidRPr="00490C53" w14:paraId="19FD6380" w14:textId="77777777">
        <w:trPr>
          <w:cnfStyle w:val="100000000000" w:firstRow="1" w:lastRow="0" w:firstColumn="0" w:lastColumn="0" w:oddVBand="0" w:evenVBand="0" w:oddHBand="0" w:evenHBand="0" w:firstRowFirstColumn="0" w:firstRowLastColumn="0" w:lastRowFirstColumn="0" w:lastRowLastColumn="0"/>
          <w:tblHeader/>
        </w:trPr>
        <w:tc>
          <w:tcPr>
            <w:tcW w:w="0" w:type="pct"/>
          </w:tcPr>
          <w:p w14:paraId="670B4944" w14:textId="77777777" w:rsidR="00E364BD" w:rsidRPr="00490C53" w:rsidRDefault="00E364BD">
            <w:pPr>
              <w:pStyle w:val="Tablecolumnheading-inkblue"/>
              <w:rPr>
                <w:b w:val="0"/>
                <w:color w:val="FFFFFF" w:themeColor="background1"/>
                <w:sz w:val="22"/>
                <w:szCs w:val="20"/>
              </w:rPr>
            </w:pPr>
            <w:r w:rsidRPr="00846F78">
              <w:rPr>
                <w:color w:val="FFFFFF" w:themeColor="background1"/>
              </w:rPr>
              <w:t>Scheme</w:t>
            </w:r>
          </w:p>
        </w:tc>
        <w:tc>
          <w:tcPr>
            <w:tcW w:w="0" w:type="pct"/>
          </w:tcPr>
          <w:p w14:paraId="37069144" w14:textId="62E9CA7E" w:rsidR="00E364BD" w:rsidRPr="00490C53" w:rsidRDefault="00C751C7">
            <w:pPr>
              <w:pStyle w:val="Tablecolumnheading-inkblue"/>
              <w:jc w:val="right"/>
              <w:rPr>
                <w:bCs/>
                <w:color w:val="FFFFFF" w:themeColor="background1"/>
                <w:sz w:val="22"/>
                <w:szCs w:val="20"/>
              </w:rPr>
            </w:pPr>
            <w:r>
              <w:rPr>
                <w:bCs/>
                <w:color w:val="FFFFFF" w:themeColor="background1"/>
                <w:sz w:val="22"/>
                <w:szCs w:val="20"/>
              </w:rPr>
              <w:t>Without controls</w:t>
            </w:r>
          </w:p>
        </w:tc>
        <w:tc>
          <w:tcPr>
            <w:tcW w:w="0" w:type="pct"/>
          </w:tcPr>
          <w:p w14:paraId="11FFB632" w14:textId="22A71FA7" w:rsidR="00E364BD" w:rsidRPr="00490C53" w:rsidRDefault="00C751C7">
            <w:pPr>
              <w:pStyle w:val="Tablecolumnheading-inkblue"/>
              <w:jc w:val="right"/>
              <w:rPr>
                <w:bCs/>
                <w:color w:val="FFFFFF" w:themeColor="background1"/>
                <w:sz w:val="22"/>
                <w:szCs w:val="20"/>
              </w:rPr>
            </w:pPr>
            <w:r>
              <w:rPr>
                <w:bCs/>
                <w:color w:val="FFFFFF" w:themeColor="background1"/>
                <w:sz w:val="22"/>
                <w:szCs w:val="20"/>
              </w:rPr>
              <w:t>With controls</w:t>
            </w:r>
          </w:p>
        </w:tc>
      </w:tr>
      <w:tr w:rsidR="00E364BD" w:rsidRPr="00490C53" w14:paraId="462C405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75" w:type="pct"/>
          </w:tcPr>
          <w:p w14:paraId="28DED5FB" w14:textId="77777777" w:rsidR="00E364BD" w:rsidRPr="00490C53" w:rsidDel="000A1204" w:rsidRDefault="00E364BD">
            <w:pPr>
              <w:pStyle w:val="Tabletext"/>
            </w:pPr>
            <w:r w:rsidRPr="00490C53">
              <w:t>BBLS</w:t>
            </w:r>
          </w:p>
        </w:tc>
        <w:tc>
          <w:tcPr>
            <w:tcW w:w="1662" w:type="pct"/>
            <w:vAlign w:val="center"/>
          </w:tcPr>
          <w:p w14:paraId="07C3C5AB" w14:textId="1ABE0B0B" w:rsidR="00E364BD" w:rsidRPr="00490C53" w:rsidRDefault="00C751C7">
            <w:pPr>
              <w:pStyle w:val="Tabletext"/>
              <w:spacing w:before="0"/>
              <w:jc w:val="right"/>
              <w:rPr>
                <w:rStyle w:val="Bold"/>
                <w:b w:val="0"/>
              </w:rPr>
            </w:pPr>
            <w:r>
              <w:rPr>
                <w:rStyle w:val="Bold"/>
                <w:b w:val="0"/>
              </w:rPr>
              <w:t>0%</w:t>
            </w:r>
          </w:p>
        </w:tc>
        <w:tc>
          <w:tcPr>
            <w:tcW w:w="1662" w:type="pct"/>
            <w:vAlign w:val="center"/>
          </w:tcPr>
          <w:p w14:paraId="7C82EF88" w14:textId="0D7483A5" w:rsidR="00E364BD" w:rsidRPr="00490C53" w:rsidRDefault="00C751C7">
            <w:pPr>
              <w:pStyle w:val="Tabletext"/>
              <w:spacing w:before="0"/>
              <w:jc w:val="right"/>
              <w:rPr>
                <w:rStyle w:val="Bold"/>
                <w:b w:val="0"/>
              </w:rPr>
            </w:pPr>
            <w:r>
              <w:rPr>
                <w:rStyle w:val="Bold"/>
                <w:b w:val="0"/>
              </w:rPr>
              <w:t>2%</w:t>
            </w:r>
          </w:p>
        </w:tc>
      </w:tr>
      <w:tr w:rsidR="00E364BD" w:rsidRPr="00490C53" w14:paraId="45BA1B10" w14:textId="77777777">
        <w:tblPrEx>
          <w:tblCellMar>
            <w:left w:w="108" w:type="dxa"/>
            <w:right w:w="108" w:type="dxa"/>
          </w:tblCellMar>
        </w:tblPrEx>
        <w:tc>
          <w:tcPr>
            <w:tcW w:w="1675" w:type="pct"/>
            <w:tcBorders>
              <w:bottom w:val="single" w:sz="4" w:space="0" w:color="0054BA" w:themeColor="accent2"/>
            </w:tcBorders>
          </w:tcPr>
          <w:p w14:paraId="2AAE620B" w14:textId="77777777" w:rsidR="00E364BD" w:rsidRPr="00490C53" w:rsidDel="000A1204" w:rsidRDefault="00E364BD">
            <w:pPr>
              <w:pStyle w:val="Tabletext"/>
            </w:pPr>
            <w:r w:rsidRPr="00490C53">
              <w:t>CBILS/CLBILS</w:t>
            </w:r>
          </w:p>
        </w:tc>
        <w:tc>
          <w:tcPr>
            <w:tcW w:w="1662" w:type="pct"/>
            <w:tcBorders>
              <w:bottom w:val="single" w:sz="4" w:space="0" w:color="0054BA" w:themeColor="accent2"/>
            </w:tcBorders>
            <w:vAlign w:val="center"/>
          </w:tcPr>
          <w:p w14:paraId="7EF3F830" w14:textId="2D939D90" w:rsidR="00E364BD" w:rsidRPr="00490C53" w:rsidRDefault="00C751C7">
            <w:pPr>
              <w:pStyle w:val="Tabletext"/>
              <w:spacing w:before="0"/>
              <w:jc w:val="right"/>
              <w:rPr>
                <w:rStyle w:val="Bold"/>
                <w:b w:val="0"/>
              </w:rPr>
            </w:pPr>
            <w:r>
              <w:rPr>
                <w:rStyle w:val="Bold"/>
                <w:b w:val="0"/>
              </w:rPr>
              <w:t>14%</w:t>
            </w:r>
            <w:r w:rsidRPr="00490C53">
              <w:rPr>
                <w:szCs w:val="24"/>
              </w:rPr>
              <w:t>**</w:t>
            </w:r>
          </w:p>
        </w:tc>
        <w:tc>
          <w:tcPr>
            <w:tcW w:w="1662" w:type="pct"/>
            <w:tcBorders>
              <w:bottom w:val="single" w:sz="4" w:space="0" w:color="0054BA" w:themeColor="accent2"/>
            </w:tcBorders>
            <w:vAlign w:val="center"/>
          </w:tcPr>
          <w:p w14:paraId="7085527B" w14:textId="754E1859" w:rsidR="00E364BD" w:rsidRPr="00490C53" w:rsidRDefault="00C751C7">
            <w:pPr>
              <w:pStyle w:val="Tabletext"/>
              <w:spacing w:before="0"/>
              <w:jc w:val="right"/>
              <w:rPr>
                <w:rStyle w:val="Bold"/>
                <w:b w:val="0"/>
              </w:rPr>
            </w:pPr>
            <w:r>
              <w:rPr>
                <w:rStyle w:val="Bold"/>
                <w:b w:val="0"/>
              </w:rPr>
              <w:t>12%</w:t>
            </w:r>
          </w:p>
        </w:tc>
      </w:tr>
    </w:tbl>
    <w:p w14:paraId="1CF773DD" w14:textId="4B22F566" w:rsidR="00E364BD" w:rsidRPr="00490C53" w:rsidRDefault="00C751C7" w:rsidP="00BD366D">
      <w:pPr>
        <w:pStyle w:val="Caption"/>
      </w:pPr>
      <w:r>
        <w:lastRenderedPageBreak/>
        <w:t xml:space="preserve">Note: </w:t>
      </w:r>
      <w:r w:rsidRPr="00490C53">
        <w:rPr>
          <w:rStyle w:val="Emphasis"/>
          <w:b w:val="0"/>
          <w:iCs/>
          <w:color w:val="555674"/>
        </w:rPr>
        <w:t>*** p-value&lt;0.01, ** p-value&lt;0.05, * p-value&lt;0.1.</w:t>
      </w:r>
      <w:r>
        <w:rPr>
          <w:rStyle w:val="Emphasis"/>
          <w:b w:val="0"/>
          <w:iCs/>
          <w:color w:val="555674"/>
        </w:rPr>
        <w:t xml:space="preserve"> </w:t>
      </w:r>
      <w:r w:rsidRPr="00490C53">
        <w:rPr>
          <w:rStyle w:val="Emphasis"/>
          <w:b w:val="0"/>
          <w:iCs/>
          <w:color w:val="555674"/>
        </w:rPr>
        <w:t xml:space="preserve">In the Year 2 survey, recontact businesses were asked to provide turnover figures for their latest complete financial year. Newly contacted businesses were asked to provide turnover figures for their latest complete financial year, their financial year between 2020 and 2021 and their financial year prior to 23 March 2020. </w:t>
      </w:r>
      <w:r>
        <w:rPr>
          <w:rStyle w:val="Emphasis"/>
          <w:b w:val="0"/>
          <w:iCs/>
          <w:color w:val="555674"/>
        </w:rPr>
        <w:t xml:space="preserve">Full results are provided in </w:t>
      </w:r>
      <w:r w:rsidR="000A2234">
        <w:rPr>
          <w:rStyle w:val="Emphasis"/>
          <w:b w:val="0"/>
          <w:iCs/>
          <w:color w:val="555674"/>
        </w:rPr>
        <w:fldChar w:fldCharType="begin"/>
      </w:r>
      <w:r w:rsidR="000A2234">
        <w:rPr>
          <w:rStyle w:val="Emphasis"/>
          <w:b w:val="0"/>
          <w:iCs/>
          <w:color w:val="555674"/>
        </w:rPr>
        <w:instrText xml:space="preserve"> REF _Ref138341082 \h </w:instrText>
      </w:r>
      <w:r w:rsidR="000A2234">
        <w:rPr>
          <w:rStyle w:val="Emphasis"/>
          <w:b w:val="0"/>
          <w:iCs/>
          <w:color w:val="555674"/>
        </w:rPr>
      </w:r>
      <w:r w:rsidR="000A2234">
        <w:rPr>
          <w:rStyle w:val="Emphasis"/>
          <w:b w:val="0"/>
          <w:iCs/>
          <w:color w:val="555674"/>
        </w:rPr>
        <w:fldChar w:fldCharType="separate"/>
      </w:r>
      <w:r w:rsidR="00397D49" w:rsidRPr="00490C53">
        <w:t xml:space="preserve">Table </w:t>
      </w:r>
      <w:r w:rsidR="00397D49">
        <w:rPr>
          <w:noProof/>
        </w:rPr>
        <w:t>28</w:t>
      </w:r>
      <w:r w:rsidR="000A2234">
        <w:rPr>
          <w:rStyle w:val="Emphasis"/>
          <w:b w:val="0"/>
          <w:iCs/>
          <w:color w:val="555674"/>
        </w:rPr>
        <w:fldChar w:fldCharType="end"/>
      </w:r>
      <w:r>
        <w:t xml:space="preserve"> in </w:t>
      </w:r>
      <w:r>
        <w:fldChar w:fldCharType="begin"/>
      </w:r>
      <w:r>
        <w:instrText xml:space="preserve"> REF _Ref121909617 \h </w:instrText>
      </w:r>
      <w:r>
        <w:fldChar w:fldCharType="separate"/>
      </w:r>
      <w:r w:rsidR="00397D49" w:rsidRPr="00490C53">
        <w:t>Annex 3</w:t>
      </w:r>
      <w:r>
        <w:fldChar w:fldCharType="end"/>
      </w:r>
      <w:r>
        <w:t xml:space="preserve">. </w:t>
      </w:r>
      <w:r w:rsidR="00453DE7">
        <w:rPr>
          <w:lang w:val="en-US"/>
        </w:rPr>
        <w:t xml:space="preserve">Given that the dependent variable of the regression is expressed in logarithmic form, the percentage change in turnover associated with borrowers’ use of the Covid-19 Loan Guarantee Schemes (denoted by the variable “Borrower, post-intervention”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sidR="00453DE7">
        <w:rPr>
          <w:rFonts w:eastAsiaTheme="minorEastAsia"/>
          <w:lang w:val="en-US"/>
        </w:rPr>
        <w:t xml:space="preserve">, where </w:t>
      </w:r>
      <m:oMath>
        <m:r>
          <w:rPr>
            <w:rFonts w:ascii="Cambria Math" w:hAnsi="Cambria Math"/>
          </w:rPr>
          <m:t>λ</m:t>
        </m:r>
      </m:oMath>
      <w:r w:rsidR="00453DE7">
        <w:rPr>
          <w:rFonts w:eastAsiaTheme="minorEastAsia"/>
          <w:lang w:val="en-US"/>
        </w:rPr>
        <w:t xml:space="preserve"> is the regression coefficient of that variable (</w:t>
      </w:r>
      <w:r w:rsidR="00D5524B">
        <w:rPr>
          <w:rFonts w:eastAsiaTheme="minorEastAsia"/>
          <w:lang w:val="en-US"/>
        </w:rPr>
        <w:t>for example</w:t>
      </w:r>
      <w:r w:rsidR="00453DE7">
        <w:rPr>
          <w:rFonts w:eastAsiaTheme="minorEastAsia"/>
          <w:lang w:val="en-US"/>
        </w:rPr>
        <w:t xml:space="preserve"> in the case of the CBILS/CLBILS with no controls,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0.131</m:t>
            </m:r>
          </m:sup>
        </m:sSup>
        <m:r>
          <w:rPr>
            <w:rFonts w:ascii="Cambria Math" w:hAnsi="Cambria Math"/>
            <w:lang w:val="en-US"/>
          </w:rPr>
          <m:t>-1)×100</m:t>
        </m:r>
      </m:oMath>
      <w:r w:rsidR="00453DE7">
        <w:rPr>
          <w:rFonts w:eastAsiaTheme="minorEastAsia"/>
          <w:lang w:val="en-US"/>
        </w:rPr>
        <w:t xml:space="preserve"> = 14%). </w:t>
      </w:r>
      <w:r w:rsidRPr="00490C53">
        <w:rPr>
          <w:rStyle w:val="Emphasis"/>
          <w:b w:val="0"/>
          <w:iCs/>
          <w:color w:val="555674"/>
        </w:rPr>
        <w:t>Source: London Economics’ analysis of survey data.</w:t>
      </w:r>
    </w:p>
    <w:p w14:paraId="48171351" w14:textId="172D16EF" w:rsidR="008856FC" w:rsidRPr="00490C53" w:rsidRDefault="00952312" w:rsidP="0024085E">
      <w:r w:rsidRPr="00490C53">
        <w:t>As discussed in the Year 1 repor</w:t>
      </w:r>
      <w:r w:rsidR="005E18DF" w:rsidRPr="00490C53">
        <w:t xml:space="preserve">t, </w:t>
      </w:r>
      <w:r w:rsidR="00403565" w:rsidRPr="00490C53">
        <w:t xml:space="preserve">the lack of an impact of the schemes on turnover is consistent with the way in which borrowers typically used </w:t>
      </w:r>
      <w:r w:rsidR="00B25169" w:rsidRPr="00490C53">
        <w:t xml:space="preserve">the funds from the Covid-19 Loan Guarantee Schemes. </w:t>
      </w:r>
      <w:r w:rsidR="00AA6A8E" w:rsidRPr="00490C53">
        <w:t>In particular, the main use of funds for most borrowers (51% for BBLS and 59% for CBILS/</w:t>
      </w:r>
      <w:r w:rsidR="713C03AC">
        <w:t>C</w:t>
      </w:r>
      <w:r w:rsidR="6DCAF153">
        <w:t>L</w:t>
      </w:r>
      <w:r w:rsidR="713C03AC">
        <w:t>BILS</w:t>
      </w:r>
      <w:r w:rsidR="00AA6A8E" w:rsidRPr="00490C53">
        <w:t xml:space="preserve">) was for working capital or to provide </w:t>
      </w:r>
      <w:r w:rsidR="00C42F0F" w:rsidRPr="00490C53">
        <w:t>financial security</w:t>
      </w:r>
      <w:r w:rsidR="00B231BE" w:rsidRPr="00490C53">
        <w:t xml:space="preserve"> rather than activities that are likely to generate turnover. </w:t>
      </w:r>
    </w:p>
    <w:p w14:paraId="2587D813" w14:textId="1158BEE4" w:rsidR="001E5498" w:rsidRPr="00490C53" w:rsidRDefault="001E5498" w:rsidP="001E5498">
      <w:r w:rsidRPr="00490C53">
        <w:t>To assess whether the results vary geographically, by sector or according to protected characteristics of the ownership group the impacts of the Covid-19 Loan Guarantee Schemes were also estimated according to these characteristics.</w:t>
      </w:r>
      <w:r>
        <w:rPr>
          <w:rStyle w:val="FootnoteReference"/>
        </w:rPr>
        <w:footnoteReference w:id="62"/>
      </w:r>
      <w:r w:rsidRPr="00490C53">
        <w:t xml:space="preserve"> The estimated coefficients of interest remain largely insignificant (the Northern Ireland-specific coefficient in the CBILS/CLBILS model – positive and statistically significant – being an exception).</w:t>
      </w:r>
      <w:r w:rsidRPr="00490C53">
        <w:rPr>
          <w:rStyle w:val="FootnoteReference"/>
        </w:rPr>
        <w:footnoteReference w:id="63"/>
      </w:r>
      <w:r w:rsidRPr="00490C53">
        <w:t xml:space="preserve"> This suggests that the impact of the Covid-19 Loan Guarantee Schemes mostly did not differ according to these dimensions (see </w:t>
      </w:r>
      <w:r w:rsidRPr="00490C53">
        <w:fldChar w:fldCharType="begin"/>
      </w:r>
      <w:r w:rsidRPr="00490C53">
        <w:instrText xml:space="preserve"> REF _Ref90974632 \h </w:instrText>
      </w:r>
      <w:r w:rsidRPr="00490C53">
        <w:fldChar w:fldCharType="separate"/>
      </w:r>
      <w:r w:rsidR="00397D49" w:rsidRPr="00490C53">
        <w:t xml:space="preserve">Table </w:t>
      </w:r>
      <w:r w:rsidR="00397D49">
        <w:rPr>
          <w:noProof/>
        </w:rPr>
        <w:t>31</w:t>
      </w:r>
      <w:r w:rsidRPr="00490C53">
        <w:fldChar w:fldCharType="end"/>
      </w:r>
      <w:r w:rsidRPr="00490C53">
        <w:t xml:space="preserve">, </w:t>
      </w:r>
      <w:r w:rsidRPr="00490C53">
        <w:fldChar w:fldCharType="begin"/>
      </w:r>
      <w:r w:rsidRPr="00490C53">
        <w:instrText xml:space="preserve"> REF _Ref90974634 \h </w:instrText>
      </w:r>
      <w:r w:rsidRPr="00490C53">
        <w:fldChar w:fldCharType="separate"/>
      </w:r>
      <w:r w:rsidR="00397D49" w:rsidRPr="00490C53">
        <w:t xml:space="preserve">Table </w:t>
      </w:r>
      <w:r w:rsidR="00397D49">
        <w:rPr>
          <w:noProof/>
        </w:rPr>
        <w:t>33</w:t>
      </w:r>
      <w:r w:rsidRPr="00490C53">
        <w:fldChar w:fldCharType="end"/>
      </w:r>
      <w:r w:rsidRPr="00490C53">
        <w:t xml:space="preserve"> and </w:t>
      </w:r>
      <w:r w:rsidRPr="00490C53">
        <w:fldChar w:fldCharType="begin"/>
      </w:r>
      <w:r w:rsidRPr="00490C53">
        <w:instrText xml:space="preserve"> REF _Ref92817041 \h </w:instrText>
      </w:r>
      <w:r w:rsidRPr="00490C53">
        <w:fldChar w:fldCharType="separate"/>
      </w:r>
      <w:r w:rsidR="00397D49" w:rsidRPr="00490C53">
        <w:t xml:space="preserve">Table </w:t>
      </w:r>
      <w:r w:rsidR="00397D49">
        <w:rPr>
          <w:noProof/>
        </w:rPr>
        <w:t>35</w:t>
      </w:r>
      <w:r w:rsidRPr="00490C53">
        <w:fldChar w:fldCharType="end"/>
      </w:r>
      <w:r w:rsidRPr="00490C53">
        <w:t xml:space="preserve"> in </w:t>
      </w:r>
      <w:r>
        <w:fldChar w:fldCharType="begin"/>
      </w:r>
      <w:r>
        <w:instrText xml:space="preserve"> REF _Ref121909617 \h </w:instrText>
      </w:r>
      <w:r>
        <w:fldChar w:fldCharType="separate"/>
      </w:r>
      <w:r w:rsidR="00397D49" w:rsidRPr="00490C53">
        <w:t>Annex 3</w:t>
      </w:r>
      <w:r>
        <w:fldChar w:fldCharType="end"/>
      </w:r>
      <w:r w:rsidRPr="00490C53">
        <w:t xml:space="preserve">). </w:t>
      </w:r>
    </w:p>
    <w:p w14:paraId="47E672DD" w14:textId="77777777" w:rsidR="00FA5FD0" w:rsidRPr="005D5D23" w:rsidRDefault="00FA5FD0" w:rsidP="00236B73">
      <w:r w:rsidRPr="00236B73">
        <w:rPr>
          <w:color w:val="142855" w:themeColor="text2"/>
        </w:rPr>
        <w:t>Employment</w:t>
      </w:r>
    </w:p>
    <w:p w14:paraId="49F00DDA" w14:textId="33EE0AE7" w:rsidR="00FA5FD0" w:rsidRDefault="00FA5FD0" w:rsidP="00051ED5">
      <w:r w:rsidRPr="00490C53">
        <w:t>The econometric analysis</w:t>
      </w:r>
      <w:r w:rsidR="00F46DED" w:rsidRPr="00490C53">
        <w:t xml:space="preserve"> does not identify a sta</w:t>
      </w:r>
      <w:r w:rsidR="007D2B48" w:rsidRPr="00490C53">
        <w:t xml:space="preserve">tistically significant impact of </w:t>
      </w:r>
      <w:r w:rsidR="00D55530" w:rsidRPr="00490C53">
        <w:t xml:space="preserve">the Covid-19 Loan Guarantee Schemes on the number of people employed by borrowers in the second year </w:t>
      </w:r>
      <w:r w:rsidR="00D55530" w:rsidRPr="00490C53">
        <w:lastRenderedPageBreak/>
        <w:t>of the pandemic</w:t>
      </w:r>
      <w:r w:rsidR="00F1711A" w:rsidRPr="00490C53">
        <w:t xml:space="preserve"> (</w:t>
      </w:r>
      <w:r w:rsidR="00777D16">
        <w:rPr>
          <w:highlight w:val="yellow"/>
        </w:rPr>
        <w:fldChar w:fldCharType="begin"/>
      </w:r>
      <w:r w:rsidR="00777D16">
        <w:rPr>
          <w:highlight w:val="yellow"/>
        </w:rPr>
        <w:instrText xml:space="preserve"> REF _Ref138341329 \h </w:instrText>
      </w:r>
      <w:r w:rsidR="00777D16">
        <w:rPr>
          <w:highlight w:val="yellow"/>
        </w:rPr>
      </w:r>
      <w:r w:rsidR="00777D16">
        <w:rPr>
          <w:highlight w:val="yellow"/>
        </w:rPr>
        <w:fldChar w:fldCharType="separate"/>
      </w:r>
      <w:r w:rsidR="00397D49">
        <w:t xml:space="preserve">Table </w:t>
      </w:r>
      <w:r w:rsidR="00397D49">
        <w:rPr>
          <w:noProof/>
        </w:rPr>
        <w:t>9</w:t>
      </w:r>
      <w:r w:rsidR="00777D16">
        <w:rPr>
          <w:highlight w:val="yellow"/>
        </w:rPr>
        <w:fldChar w:fldCharType="end"/>
      </w:r>
      <w:r w:rsidR="00F1711A" w:rsidRPr="00490C53">
        <w:t xml:space="preserve">). </w:t>
      </w:r>
      <w:r w:rsidR="00D70307" w:rsidRPr="00490C53">
        <w:t xml:space="preserve">As above, it should be noted that this impact mostly excludes the impact on employment from surviving businesses that would have </w:t>
      </w:r>
      <w:r w:rsidR="00F21529" w:rsidRPr="00490C53">
        <w:t xml:space="preserve">ceased trading permanently in the absence of the Covid-19 Loan Guarantee Schemes. </w:t>
      </w:r>
    </w:p>
    <w:p w14:paraId="13F06BFB" w14:textId="77777777" w:rsidR="00FE059A" w:rsidRPr="00490C53" w:rsidRDefault="00FE059A" w:rsidP="00FE059A">
      <w:r w:rsidRPr="00490C53">
        <w:t>The inclusion of variables related to participation in other business support schemes such as the CJRS and VAT deferral do not change the statistical significance of the estimated impacts</w:t>
      </w:r>
      <w:r>
        <w:t xml:space="preserve">. </w:t>
      </w:r>
      <w:r w:rsidRPr="00490C53">
        <w:t xml:space="preserve"> </w:t>
      </w:r>
    </w:p>
    <w:p w14:paraId="23638F28" w14:textId="22122954" w:rsidR="00FE059A" w:rsidRPr="00490C53" w:rsidRDefault="00FE059A" w:rsidP="00051ED5">
      <w:r w:rsidRPr="00490C53">
        <w:t xml:space="preserve">For context, the UK employment rate (the proportion of </w:t>
      </w:r>
      <w:proofErr w:type="gramStart"/>
      <w:r w:rsidRPr="00490C53">
        <w:t>16-64 year olds</w:t>
      </w:r>
      <w:proofErr w:type="gramEnd"/>
      <w:r w:rsidRPr="00490C53">
        <w:t xml:space="preserve"> in work) sat at 76.6% before the onset of the pandemic in January 2020, before falling to 74.6% in November 2020 and then recovered to 75.6% in March 2022.</w:t>
      </w:r>
      <w:r w:rsidRPr="00490C53">
        <w:rPr>
          <w:rStyle w:val="FootnoteReference"/>
        </w:rPr>
        <w:footnoteReference w:id="64"/>
      </w:r>
      <w:r w:rsidRPr="00490C53">
        <w:t xml:space="preserve"> </w:t>
      </w:r>
    </w:p>
    <w:p w14:paraId="140A9E1A" w14:textId="4F87E85B" w:rsidR="0098060C" w:rsidRPr="00490C53" w:rsidRDefault="0098060C" w:rsidP="0098060C">
      <w:pPr>
        <w:pStyle w:val="Heading5"/>
      </w:pPr>
      <w:bookmarkStart w:id="133" w:name="_Ref138341329"/>
      <w:r>
        <w:t xml:space="preserve">Table </w:t>
      </w:r>
      <w:r>
        <w:fldChar w:fldCharType="begin"/>
      </w:r>
      <w:r>
        <w:instrText>SEQ Table \* ARABIC</w:instrText>
      </w:r>
      <w:r>
        <w:fldChar w:fldCharType="separate"/>
      </w:r>
      <w:r w:rsidR="00397D49">
        <w:rPr>
          <w:noProof/>
        </w:rPr>
        <w:t>9</w:t>
      </w:r>
      <w:r>
        <w:fldChar w:fldCharType="end"/>
      </w:r>
      <w:bookmarkEnd w:id="133"/>
      <w:r>
        <w:t>: Percentage difference in employment associated with borrowers’ use of the schemes</w:t>
      </w:r>
    </w:p>
    <w:tbl>
      <w:tblPr>
        <w:tblStyle w:val="TableGrid"/>
        <w:tblW w:w="5000" w:type="pct"/>
        <w:tblLook w:val="04A0" w:firstRow="1" w:lastRow="0" w:firstColumn="1" w:lastColumn="0" w:noHBand="0" w:noVBand="1"/>
      </w:tblPr>
      <w:tblGrid>
        <w:gridCol w:w="3403"/>
        <w:gridCol w:w="3376"/>
        <w:gridCol w:w="3375"/>
      </w:tblGrid>
      <w:tr w:rsidR="0098060C" w:rsidRPr="00490C53" w14:paraId="35F12BDA" w14:textId="77777777">
        <w:trPr>
          <w:cnfStyle w:val="100000000000" w:firstRow="1" w:lastRow="0" w:firstColumn="0" w:lastColumn="0" w:oddVBand="0" w:evenVBand="0" w:oddHBand="0" w:evenHBand="0" w:firstRowFirstColumn="0" w:firstRowLastColumn="0" w:lastRowFirstColumn="0" w:lastRowLastColumn="0"/>
          <w:tblHeader/>
        </w:trPr>
        <w:tc>
          <w:tcPr>
            <w:tcW w:w="0" w:type="pct"/>
          </w:tcPr>
          <w:p w14:paraId="76600703" w14:textId="77777777" w:rsidR="0098060C" w:rsidRPr="00490C53" w:rsidRDefault="0098060C">
            <w:pPr>
              <w:pStyle w:val="Tablecolumnheading-inkblue"/>
              <w:rPr>
                <w:b w:val="0"/>
                <w:color w:val="FFFFFF" w:themeColor="background1"/>
                <w:sz w:val="22"/>
                <w:szCs w:val="20"/>
              </w:rPr>
            </w:pPr>
            <w:r w:rsidRPr="00846F78">
              <w:rPr>
                <w:color w:val="FFFFFF" w:themeColor="background1"/>
              </w:rPr>
              <w:t>Scheme</w:t>
            </w:r>
          </w:p>
        </w:tc>
        <w:tc>
          <w:tcPr>
            <w:tcW w:w="0" w:type="pct"/>
          </w:tcPr>
          <w:p w14:paraId="5CF9E770" w14:textId="77777777" w:rsidR="0098060C" w:rsidRPr="00490C53" w:rsidRDefault="0098060C">
            <w:pPr>
              <w:pStyle w:val="Tablecolumnheading-inkblue"/>
              <w:jc w:val="right"/>
              <w:rPr>
                <w:bCs/>
                <w:color w:val="FFFFFF" w:themeColor="background1"/>
                <w:sz w:val="22"/>
                <w:szCs w:val="20"/>
              </w:rPr>
            </w:pPr>
            <w:r>
              <w:rPr>
                <w:bCs/>
                <w:color w:val="FFFFFF" w:themeColor="background1"/>
                <w:sz w:val="22"/>
                <w:szCs w:val="20"/>
              </w:rPr>
              <w:t>Without controls</w:t>
            </w:r>
          </w:p>
        </w:tc>
        <w:tc>
          <w:tcPr>
            <w:tcW w:w="0" w:type="pct"/>
          </w:tcPr>
          <w:p w14:paraId="7A309C82" w14:textId="77777777" w:rsidR="0098060C" w:rsidRPr="00490C53" w:rsidRDefault="0098060C">
            <w:pPr>
              <w:pStyle w:val="Tablecolumnheading-inkblue"/>
              <w:jc w:val="right"/>
              <w:rPr>
                <w:bCs/>
                <w:color w:val="FFFFFF" w:themeColor="background1"/>
                <w:sz w:val="22"/>
                <w:szCs w:val="20"/>
              </w:rPr>
            </w:pPr>
            <w:r>
              <w:rPr>
                <w:bCs/>
                <w:color w:val="FFFFFF" w:themeColor="background1"/>
                <w:sz w:val="22"/>
                <w:szCs w:val="20"/>
              </w:rPr>
              <w:t>With controls</w:t>
            </w:r>
          </w:p>
        </w:tc>
      </w:tr>
      <w:tr w:rsidR="0098060C" w:rsidRPr="00490C53" w14:paraId="337D131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75" w:type="pct"/>
          </w:tcPr>
          <w:p w14:paraId="002C1128" w14:textId="77777777" w:rsidR="0098060C" w:rsidRPr="00490C53" w:rsidDel="000A1204" w:rsidRDefault="0098060C">
            <w:pPr>
              <w:pStyle w:val="Tabletext"/>
            </w:pPr>
            <w:r w:rsidRPr="00490C53">
              <w:t>BBLS</w:t>
            </w:r>
          </w:p>
        </w:tc>
        <w:tc>
          <w:tcPr>
            <w:tcW w:w="1662" w:type="pct"/>
            <w:vAlign w:val="center"/>
          </w:tcPr>
          <w:p w14:paraId="359ADF88" w14:textId="62D19C88" w:rsidR="0098060C" w:rsidRPr="00490C53" w:rsidRDefault="0098060C">
            <w:pPr>
              <w:pStyle w:val="Tabletext"/>
              <w:spacing w:before="0"/>
              <w:jc w:val="right"/>
              <w:rPr>
                <w:rStyle w:val="Bold"/>
                <w:b w:val="0"/>
              </w:rPr>
            </w:pPr>
            <w:r>
              <w:rPr>
                <w:rStyle w:val="Bold"/>
                <w:b w:val="0"/>
              </w:rPr>
              <w:t>-</w:t>
            </w:r>
            <w:r w:rsidR="000A2234">
              <w:rPr>
                <w:rStyle w:val="Bold"/>
                <w:b w:val="0"/>
              </w:rPr>
              <w:t>4</w:t>
            </w:r>
            <w:r>
              <w:rPr>
                <w:rStyle w:val="Bold"/>
                <w:b w:val="0"/>
              </w:rPr>
              <w:t>%</w:t>
            </w:r>
          </w:p>
        </w:tc>
        <w:tc>
          <w:tcPr>
            <w:tcW w:w="1662" w:type="pct"/>
            <w:vAlign w:val="center"/>
          </w:tcPr>
          <w:p w14:paraId="117E407F" w14:textId="17CADE38" w:rsidR="0098060C" w:rsidRPr="00490C53" w:rsidRDefault="0098060C">
            <w:pPr>
              <w:pStyle w:val="Tabletext"/>
              <w:spacing w:before="0"/>
              <w:jc w:val="right"/>
              <w:rPr>
                <w:rStyle w:val="Bold"/>
                <w:b w:val="0"/>
              </w:rPr>
            </w:pPr>
            <w:r>
              <w:rPr>
                <w:rStyle w:val="Bold"/>
                <w:b w:val="0"/>
              </w:rPr>
              <w:t>-</w:t>
            </w:r>
            <w:r w:rsidR="000A2234">
              <w:rPr>
                <w:rStyle w:val="Bold"/>
                <w:b w:val="0"/>
              </w:rPr>
              <w:t>3</w:t>
            </w:r>
            <w:r>
              <w:rPr>
                <w:rStyle w:val="Bold"/>
                <w:b w:val="0"/>
              </w:rPr>
              <w:t>%</w:t>
            </w:r>
          </w:p>
        </w:tc>
      </w:tr>
      <w:tr w:rsidR="0098060C" w:rsidRPr="00490C53" w14:paraId="0761375F" w14:textId="77777777">
        <w:tblPrEx>
          <w:tblCellMar>
            <w:left w:w="108" w:type="dxa"/>
            <w:right w:w="108" w:type="dxa"/>
          </w:tblCellMar>
        </w:tblPrEx>
        <w:tc>
          <w:tcPr>
            <w:tcW w:w="1675" w:type="pct"/>
            <w:tcBorders>
              <w:bottom w:val="single" w:sz="4" w:space="0" w:color="0054BA" w:themeColor="accent2"/>
            </w:tcBorders>
          </w:tcPr>
          <w:p w14:paraId="60513F3A" w14:textId="77777777" w:rsidR="0098060C" w:rsidRPr="00490C53" w:rsidDel="000A1204" w:rsidRDefault="0098060C">
            <w:pPr>
              <w:pStyle w:val="Tabletext"/>
            </w:pPr>
            <w:r w:rsidRPr="00490C53">
              <w:t>CBILS/CLBILS</w:t>
            </w:r>
          </w:p>
        </w:tc>
        <w:tc>
          <w:tcPr>
            <w:tcW w:w="1662" w:type="pct"/>
            <w:tcBorders>
              <w:bottom w:val="single" w:sz="4" w:space="0" w:color="0054BA" w:themeColor="accent2"/>
            </w:tcBorders>
            <w:vAlign w:val="center"/>
          </w:tcPr>
          <w:p w14:paraId="27F37BEC" w14:textId="74868163" w:rsidR="0098060C" w:rsidRPr="00490C53" w:rsidRDefault="0098060C">
            <w:pPr>
              <w:pStyle w:val="Tabletext"/>
              <w:spacing w:before="0"/>
              <w:jc w:val="right"/>
              <w:rPr>
                <w:rStyle w:val="Bold"/>
                <w:b w:val="0"/>
              </w:rPr>
            </w:pPr>
            <w:r>
              <w:rPr>
                <w:rStyle w:val="Bold"/>
                <w:b w:val="0"/>
              </w:rPr>
              <w:t>-</w:t>
            </w:r>
            <w:r w:rsidR="000A2234">
              <w:rPr>
                <w:rStyle w:val="Bold"/>
                <w:b w:val="0"/>
              </w:rPr>
              <w:t>19</w:t>
            </w:r>
            <w:r>
              <w:rPr>
                <w:rStyle w:val="Bold"/>
                <w:b w:val="0"/>
              </w:rPr>
              <w:t>%</w:t>
            </w:r>
          </w:p>
        </w:tc>
        <w:tc>
          <w:tcPr>
            <w:tcW w:w="1662" w:type="pct"/>
            <w:tcBorders>
              <w:bottom w:val="single" w:sz="4" w:space="0" w:color="0054BA" w:themeColor="accent2"/>
            </w:tcBorders>
            <w:vAlign w:val="center"/>
          </w:tcPr>
          <w:p w14:paraId="42E5DD22" w14:textId="7688B6CB" w:rsidR="0098060C" w:rsidRPr="00490C53" w:rsidRDefault="0098060C">
            <w:pPr>
              <w:pStyle w:val="Tabletext"/>
              <w:spacing w:before="0"/>
              <w:jc w:val="right"/>
              <w:rPr>
                <w:rStyle w:val="Bold"/>
                <w:b w:val="0"/>
              </w:rPr>
            </w:pPr>
            <w:r>
              <w:rPr>
                <w:rStyle w:val="Bold"/>
                <w:b w:val="0"/>
              </w:rPr>
              <w:t>-17%</w:t>
            </w:r>
          </w:p>
        </w:tc>
      </w:tr>
    </w:tbl>
    <w:p w14:paraId="3795FF12" w14:textId="568D446B" w:rsidR="0098060C" w:rsidRPr="00490C53" w:rsidRDefault="0098060C" w:rsidP="0098060C">
      <w:pPr>
        <w:pStyle w:val="Caption"/>
      </w:pPr>
      <w:r>
        <w:t xml:space="preserve">Note: </w:t>
      </w:r>
      <w:r w:rsidRPr="00490C53">
        <w:rPr>
          <w:rStyle w:val="Emphasis"/>
          <w:b w:val="0"/>
          <w:iCs/>
          <w:color w:val="555674"/>
        </w:rPr>
        <w:t>*** p-value&lt;0.01, ** p-value&lt;0.05, * p-value&lt;0.1.</w:t>
      </w:r>
      <w:r>
        <w:rPr>
          <w:rStyle w:val="Emphasis"/>
          <w:b w:val="0"/>
          <w:iCs/>
          <w:color w:val="555674"/>
        </w:rPr>
        <w:t xml:space="preserve"> I</w:t>
      </w:r>
      <w:r w:rsidRPr="00490C53">
        <w:rPr>
          <w:rStyle w:val="Emphasis"/>
          <w:b w:val="0"/>
          <w:iCs/>
          <w:color w:val="555674"/>
        </w:rPr>
        <w:t xml:space="preserve">n the Year 2 survey, recontact businesses were asked to provide employment figures for their latest complete financial year. Newly contacted businesses were asked to provide employment figures for their latest complete financial year, their financial year between 2020 and 2021 and their financial year prior to 23 March 2020. </w:t>
      </w:r>
      <w:r>
        <w:rPr>
          <w:rStyle w:val="Emphasis"/>
          <w:b w:val="0"/>
          <w:iCs/>
          <w:color w:val="555674"/>
        </w:rPr>
        <w:t xml:space="preserve">Full results are provided in </w:t>
      </w:r>
      <w:r>
        <w:rPr>
          <w:rStyle w:val="Emphasis"/>
          <w:b w:val="0"/>
          <w:iCs/>
          <w:color w:val="555674"/>
        </w:rPr>
        <w:fldChar w:fldCharType="begin"/>
      </w:r>
      <w:r>
        <w:rPr>
          <w:rStyle w:val="Emphasis"/>
          <w:b w:val="0"/>
          <w:iCs/>
          <w:color w:val="555674"/>
        </w:rPr>
        <w:instrText xml:space="preserve"> REF _Ref138340013 \h </w:instrText>
      </w:r>
      <w:r>
        <w:rPr>
          <w:rStyle w:val="Emphasis"/>
          <w:b w:val="0"/>
          <w:iCs/>
          <w:color w:val="555674"/>
        </w:rPr>
      </w:r>
      <w:r>
        <w:rPr>
          <w:rStyle w:val="Emphasis"/>
          <w:b w:val="0"/>
          <w:iCs/>
          <w:color w:val="555674"/>
        </w:rPr>
        <w:fldChar w:fldCharType="separate"/>
      </w:r>
      <w:r w:rsidR="00397D49" w:rsidRPr="00490C53">
        <w:t xml:space="preserve">Table </w:t>
      </w:r>
      <w:r w:rsidR="00397D49">
        <w:rPr>
          <w:noProof/>
        </w:rPr>
        <w:t>29</w:t>
      </w:r>
      <w:r>
        <w:rPr>
          <w:rStyle w:val="Emphasis"/>
          <w:b w:val="0"/>
          <w:iCs/>
          <w:color w:val="555674"/>
        </w:rPr>
        <w:fldChar w:fldCharType="end"/>
      </w:r>
      <w:r>
        <w:t xml:space="preserve"> in </w:t>
      </w:r>
      <w:r>
        <w:fldChar w:fldCharType="begin"/>
      </w:r>
      <w:r>
        <w:instrText xml:space="preserve"> REF _Ref121909617 \h </w:instrText>
      </w:r>
      <w:r>
        <w:fldChar w:fldCharType="separate"/>
      </w:r>
      <w:r w:rsidR="00397D49" w:rsidRPr="00490C53">
        <w:t>Annex 3</w:t>
      </w:r>
      <w:r>
        <w:fldChar w:fldCharType="end"/>
      </w:r>
      <w:r>
        <w:t xml:space="preserve">. </w:t>
      </w:r>
      <w:r w:rsidR="00453DE7">
        <w:rPr>
          <w:lang w:val="en-US"/>
        </w:rPr>
        <w:t xml:space="preserve">Given that the dependent variable of the regression is expressed in logarithmic form, the percentage change in turnover associated with borrowers’ use of the Covid-19 Loan Guarantee Schemes (denoted by the variable “Borrower, post-intervention”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sidR="00453DE7">
        <w:rPr>
          <w:rFonts w:eastAsiaTheme="minorEastAsia"/>
          <w:lang w:val="en-US"/>
        </w:rPr>
        <w:t xml:space="preserve">, where </w:t>
      </w:r>
      <m:oMath>
        <m:r>
          <w:rPr>
            <w:rFonts w:ascii="Cambria Math" w:hAnsi="Cambria Math"/>
          </w:rPr>
          <m:t>λ</m:t>
        </m:r>
      </m:oMath>
      <w:r w:rsidR="00453DE7">
        <w:rPr>
          <w:rFonts w:eastAsiaTheme="minorEastAsia"/>
          <w:lang w:val="en-US"/>
        </w:rPr>
        <w:t xml:space="preserve"> is the regression coefficient of that variable. </w:t>
      </w:r>
      <w:r w:rsidRPr="00490C53">
        <w:rPr>
          <w:rStyle w:val="Emphasis"/>
          <w:b w:val="0"/>
          <w:iCs/>
          <w:color w:val="555674"/>
        </w:rPr>
        <w:t>Source: London Economics’ analysis of survey data.</w:t>
      </w:r>
    </w:p>
    <w:p w14:paraId="3FD5F016" w14:textId="67D5D758" w:rsidR="001E5498" w:rsidRPr="00490C53" w:rsidRDefault="001E5498" w:rsidP="001E5498">
      <w:r w:rsidRPr="00490C53">
        <w:t xml:space="preserve">As with turnover, the additional models providing estimates for the impact of the Covid-19 Loan Guarantee Schemes by sector, region and protected characteristics generally do not yield statistically significant results for the coefficients of interest. This suggests that the impacts of the Covid-19 Loan Guarantee Schemes mostly did not differ across these groups (see </w:t>
      </w:r>
      <w:r w:rsidRPr="00490C53">
        <w:fldChar w:fldCharType="begin"/>
      </w:r>
      <w:r w:rsidRPr="00490C53">
        <w:instrText xml:space="preserve"> REF _Ref124159750 \h </w:instrText>
      </w:r>
      <w:r w:rsidRPr="00490C53">
        <w:fldChar w:fldCharType="separate"/>
      </w:r>
      <w:r w:rsidR="00397D49" w:rsidRPr="00490C53">
        <w:t xml:space="preserve">Table </w:t>
      </w:r>
      <w:r w:rsidR="00397D49">
        <w:rPr>
          <w:noProof/>
        </w:rPr>
        <w:lastRenderedPageBreak/>
        <w:t>32</w:t>
      </w:r>
      <w:r w:rsidRPr="00490C53">
        <w:fldChar w:fldCharType="end"/>
      </w:r>
      <w:r w:rsidRPr="00490C53">
        <w:t xml:space="preserve">, </w:t>
      </w:r>
      <w:r w:rsidRPr="00490C53">
        <w:fldChar w:fldCharType="begin"/>
      </w:r>
      <w:r w:rsidRPr="00490C53">
        <w:instrText xml:space="preserve"> REF _Ref124159755 \h </w:instrText>
      </w:r>
      <w:r w:rsidRPr="00490C53">
        <w:fldChar w:fldCharType="separate"/>
      </w:r>
      <w:r w:rsidR="00397D49" w:rsidRPr="00490C53">
        <w:t xml:space="preserve">Table </w:t>
      </w:r>
      <w:r w:rsidR="00397D49">
        <w:rPr>
          <w:noProof/>
        </w:rPr>
        <w:t>34</w:t>
      </w:r>
      <w:r w:rsidRPr="00490C53">
        <w:fldChar w:fldCharType="end"/>
      </w:r>
      <w:r w:rsidRPr="00490C53">
        <w:t xml:space="preserve"> and </w:t>
      </w:r>
      <w:r w:rsidRPr="00490C53">
        <w:fldChar w:fldCharType="begin"/>
      </w:r>
      <w:r w:rsidRPr="00490C53">
        <w:instrText xml:space="preserve"> REF _Ref124159760 \h </w:instrText>
      </w:r>
      <w:r w:rsidRPr="00490C53">
        <w:fldChar w:fldCharType="separate"/>
      </w:r>
      <w:r w:rsidR="00397D49" w:rsidRPr="00490C53">
        <w:t xml:space="preserve">Table </w:t>
      </w:r>
      <w:r w:rsidR="00397D49">
        <w:rPr>
          <w:noProof/>
        </w:rPr>
        <w:t>36</w:t>
      </w:r>
      <w:r w:rsidRPr="00490C53">
        <w:fldChar w:fldCharType="end"/>
      </w:r>
      <w:r>
        <w:t xml:space="preserve"> </w:t>
      </w:r>
      <w:r w:rsidRPr="00490C53">
        <w:t xml:space="preserve">in </w:t>
      </w:r>
      <w:r>
        <w:fldChar w:fldCharType="begin"/>
      </w:r>
      <w:r>
        <w:instrText xml:space="preserve"> REF _Ref121909617 \h </w:instrText>
      </w:r>
      <w:r>
        <w:fldChar w:fldCharType="separate"/>
      </w:r>
      <w:r w:rsidR="00397D49" w:rsidRPr="00490C53">
        <w:t>Annex 3</w:t>
      </w:r>
      <w:r>
        <w:fldChar w:fldCharType="end"/>
      </w:r>
      <w:r w:rsidRPr="00490C53">
        <w:t>). The exceptions to this were the estimates related to the impact of the scheme on Northern Irish BBLS recipients and the additional impact of the CBILS/CLBILS schemes on businesses with at least 50% ownership by ethnic minorities (both positive and statistically significant).</w:t>
      </w:r>
      <w:r w:rsidRPr="00490C53">
        <w:rPr>
          <w:rStyle w:val="FootnoteReference"/>
        </w:rPr>
        <w:footnoteReference w:id="65"/>
      </w:r>
      <w:r w:rsidRPr="00490C53">
        <w:t xml:space="preserve"> </w:t>
      </w:r>
    </w:p>
    <w:p w14:paraId="10FF1C1C" w14:textId="77777777" w:rsidR="00051ED5" w:rsidRPr="00490C53" w:rsidRDefault="00051ED5" w:rsidP="00051ED5">
      <w:pPr>
        <w:pStyle w:val="Heading2"/>
      </w:pPr>
      <w:bookmarkStart w:id="134" w:name="_Toc151549890"/>
      <w:r w:rsidRPr="00490C53">
        <w:t>Wider impacts</w:t>
      </w:r>
      <w:bookmarkEnd w:id="134"/>
    </w:p>
    <w:p w14:paraId="3F60E0EC" w14:textId="7BF63B63" w:rsidR="00D2304B" w:rsidRDefault="00034C38" w:rsidP="0053762E">
      <w:r w:rsidRPr="00490C53">
        <w:t>Econometric models are used to estimate the impacts of the Covid-19 Loan Guarantee Schemes on businesses’ (borrowers and non-borrowers) turnover and employment. More specifically, the analysis explores whether</w:t>
      </w:r>
      <w:r w:rsidR="00E046A5" w:rsidRPr="00490C53">
        <w:t xml:space="preserve"> businesses in</w:t>
      </w:r>
      <w:r w:rsidRPr="00490C53">
        <w:t xml:space="preserve"> sectors receiving more funding under </w:t>
      </w:r>
      <w:r w:rsidR="0053762E" w:rsidRPr="00490C53">
        <w:t xml:space="preserve">the Covid-19 Loan Guarantee Schemes </w:t>
      </w:r>
      <w:r w:rsidR="00357CE4" w:rsidRPr="00490C53">
        <w:t xml:space="preserve">experienced any </w:t>
      </w:r>
      <w:r w:rsidR="00456B17" w:rsidRPr="00490C53">
        <w:t xml:space="preserve">additional benefits. </w:t>
      </w:r>
      <w:r w:rsidR="00355A9E">
        <w:t>For instance, t</w:t>
      </w:r>
      <w:r w:rsidR="00456B17" w:rsidRPr="00490C53">
        <w:t xml:space="preserve">his </w:t>
      </w:r>
      <w:r w:rsidR="000774F2">
        <w:t>may be expected if funding from the Covid-19 Loan Guarantee Schemes</w:t>
      </w:r>
      <w:r w:rsidR="00D2304B">
        <w:t xml:space="preserve"> increases survival and therefore leads to the avoidance of </w:t>
      </w:r>
      <w:r w:rsidR="0009144B">
        <w:t xml:space="preserve">demand </w:t>
      </w:r>
      <w:r w:rsidR="00FF7727">
        <w:t xml:space="preserve">interruption </w:t>
      </w:r>
      <w:r w:rsidR="0009144B">
        <w:t xml:space="preserve">or </w:t>
      </w:r>
      <w:r w:rsidR="00D2304B">
        <w:t>supply chain disruption</w:t>
      </w:r>
      <w:r w:rsidR="00456B17" w:rsidRPr="00490C53">
        <w:t xml:space="preserve"> </w:t>
      </w:r>
      <w:r w:rsidR="00891022" w:rsidRPr="00490C53">
        <w:t xml:space="preserve">in the case of businesses that </w:t>
      </w:r>
      <w:r w:rsidR="0009144B">
        <w:t xml:space="preserve">sell </w:t>
      </w:r>
      <w:r w:rsidR="00FF7727">
        <w:t xml:space="preserve">their output </w:t>
      </w:r>
      <w:r w:rsidR="0009144B">
        <w:t xml:space="preserve">or </w:t>
      </w:r>
      <w:r w:rsidR="00891022" w:rsidRPr="00490C53">
        <w:t xml:space="preserve">source their inputs from within the same sector. </w:t>
      </w:r>
      <w:r w:rsidR="00D2304B">
        <w:t>Alternatively, businesses may benefit from increased funding to other sectors if that funding increases demand from those sectors</w:t>
      </w:r>
      <w:r w:rsidR="00355A9E">
        <w:t xml:space="preserve"> (or limits supply disruptions if these sectors are a source of inputs)</w:t>
      </w:r>
      <w:r w:rsidR="00D2304B">
        <w:t xml:space="preserve">. </w:t>
      </w:r>
    </w:p>
    <w:p w14:paraId="1A39F7BA" w14:textId="31C352D9" w:rsidR="009B1438" w:rsidRPr="00490C53" w:rsidRDefault="00D2304B" w:rsidP="0053762E">
      <w:r>
        <w:t>T</w:t>
      </w:r>
      <w:r w:rsidR="00CD2615" w:rsidRPr="00490C53">
        <w:t xml:space="preserve">here were a wide range of support schemes available at the time </w:t>
      </w:r>
      <w:r w:rsidR="000E214F" w:rsidRPr="00490C53">
        <w:t>of the Loan Guarantee Schemes, many of which are likely to have been used more intensely by the same sectors (</w:t>
      </w:r>
      <w:proofErr w:type="gramStart"/>
      <w:r w:rsidR="000E214F" w:rsidRPr="00490C53">
        <w:t>i.e.</w:t>
      </w:r>
      <w:proofErr w:type="gramEnd"/>
      <w:r w:rsidR="000E214F" w:rsidRPr="00490C53">
        <w:t xml:space="preserve"> those which struggled the most during the pandemic).</w:t>
      </w:r>
      <w:r>
        <w:t xml:space="preserve"> The key challenge of this strand of analysis is that there is a very high correlation at the sector level between the amount of funding under each of the three Covid-19 Loan Guarantee Schemes and the CJRS, and so attributing any wider impacts to a particular scheme is challenging.</w:t>
      </w:r>
      <w:r w:rsidR="000E214F" w:rsidRPr="00490C53">
        <w:t xml:space="preserve"> </w:t>
      </w:r>
      <w:proofErr w:type="gramStart"/>
      <w:r w:rsidR="000E214F" w:rsidRPr="00490C53">
        <w:t>With this in mind, the</w:t>
      </w:r>
      <w:proofErr w:type="gramEnd"/>
      <w:r w:rsidR="000E214F" w:rsidRPr="00490C53">
        <w:t xml:space="preserve"> results presented in this section should be interpreted with caution. </w:t>
      </w:r>
    </w:p>
    <w:p w14:paraId="535950F0" w14:textId="4A7492CF" w:rsidR="00777D16" w:rsidRDefault="008C565A">
      <w:r w:rsidRPr="00490C53">
        <w:t>The outcomes of businesses are compared against one another before and in the years after the introduction of the Covid-19 Loan Guarantee Schemes. A fixed effects estimation framework is used to estimate the wider impacts of the schemes on turnover and employment.</w:t>
      </w:r>
      <w:r w:rsidR="004F239C">
        <w:t xml:space="preserve"> Details on the variables used and econometric specification can be found in </w:t>
      </w:r>
      <w:r w:rsidR="004F239C">
        <w:fldChar w:fldCharType="begin"/>
      </w:r>
      <w:r w:rsidR="004F239C">
        <w:instrText xml:space="preserve"> REF _Ref121909617 \h </w:instrText>
      </w:r>
      <w:r w:rsidR="004F239C">
        <w:fldChar w:fldCharType="separate"/>
      </w:r>
      <w:r w:rsidR="00397D49" w:rsidRPr="00490C53">
        <w:t>Annex 3</w:t>
      </w:r>
      <w:r w:rsidR="004F239C">
        <w:fldChar w:fldCharType="end"/>
      </w:r>
      <w:r w:rsidR="004F239C">
        <w:t>.</w:t>
      </w:r>
      <w:r w:rsidR="00777D16">
        <w:t xml:space="preserve"> </w:t>
      </w:r>
    </w:p>
    <w:p w14:paraId="6E0E7982" w14:textId="4ED5E4A2" w:rsidR="00777D16" w:rsidRPr="00490C53" w:rsidRDefault="00777D16" w:rsidP="00777D16">
      <w:r>
        <w:lastRenderedPageBreak/>
        <w:t xml:space="preserve">When </w:t>
      </w:r>
      <w:r w:rsidRPr="00490C53">
        <w:t>considering a possible impact on turnover, the coefficient of interest is insignificant in the baseline model but becomes positive and significant when sector-level CJRS support is included. The coefficient is 0.016, which would imply that an additional £1</w:t>
      </w:r>
      <w:r>
        <w:t>,</w:t>
      </w:r>
      <w:r w:rsidRPr="00490C53">
        <w:t xml:space="preserve">000 per business of </w:t>
      </w:r>
      <w:r w:rsidR="00FF7727">
        <w:t>Covid-19 Loan Guarantee Scheme</w:t>
      </w:r>
      <w:r w:rsidRPr="00490C53">
        <w:t xml:space="preserve"> loans into the sector a business operates in is associated with a 1.6% uplift in turnover in that sector. </w:t>
      </w:r>
      <w:r>
        <w:t xml:space="preserve">This may suggest that the omission of CJRS may downward bias the wider impacts of the </w:t>
      </w:r>
      <w:r w:rsidR="00FF7727">
        <w:t>Covid-19 Loan Guarantee Schemes</w:t>
      </w:r>
      <w:r>
        <w:t xml:space="preserve"> and that the wider impacts of the schemes and the CJRS collectively cancel each other out. </w:t>
      </w:r>
      <w:r w:rsidRPr="00490C53">
        <w:t>However, this result should be interpreted with caution</w:t>
      </w:r>
      <w:r w:rsidRPr="00490C53">
        <w:rPr>
          <w:rStyle w:val="FootnoteReference"/>
        </w:rPr>
        <w:footnoteReference w:id="66"/>
      </w:r>
      <w:r w:rsidRPr="00490C53">
        <w:t xml:space="preserve"> given the high degree of correlation between sector-level funding under the </w:t>
      </w:r>
      <w:r w:rsidR="00FF7727">
        <w:t>Covid-19 Loan Guarantee S</w:t>
      </w:r>
      <w:r w:rsidRPr="00490C53">
        <w:t xml:space="preserve">chemes and sector-level CJRS funding. </w:t>
      </w:r>
    </w:p>
    <w:p w14:paraId="3C586F88" w14:textId="77777777" w:rsidR="00777D16" w:rsidRDefault="00777D16" w:rsidP="00777D16">
      <w:r w:rsidRPr="00490C53">
        <w:t>When considering possible wider impacts on employment, the coefficient of interest is significant (but only at the 10% level) both when sector-level CJRS funding is included as a control and when it is not. The size of the coefficient of interest is 0.003, which would suggest that an additional £1</w:t>
      </w:r>
      <w:r>
        <w:t>,</w:t>
      </w:r>
      <w:r w:rsidRPr="00490C53">
        <w:t xml:space="preserve">000 of scheme loans per business into the sector is associated with a 0.3% increase in employment. </w:t>
      </w:r>
    </w:p>
    <w:p w14:paraId="68DF511F" w14:textId="4F116022" w:rsidR="00777D16" w:rsidRPr="00490C53" w:rsidRDefault="00777D16" w:rsidP="00777D16">
      <w:pPr>
        <w:pStyle w:val="Heading5"/>
      </w:pPr>
      <w:r>
        <w:t xml:space="preserve">Table </w:t>
      </w:r>
      <w:r>
        <w:fldChar w:fldCharType="begin"/>
      </w:r>
      <w:r>
        <w:instrText>SEQ Table \* ARABIC</w:instrText>
      </w:r>
      <w:r>
        <w:fldChar w:fldCharType="separate"/>
      </w:r>
      <w:r w:rsidR="00397D49">
        <w:rPr>
          <w:noProof/>
        </w:rPr>
        <w:t>10</w:t>
      </w:r>
      <w:r>
        <w:fldChar w:fldCharType="end"/>
      </w:r>
      <w:r>
        <w:t xml:space="preserve">: Percentage difference in </w:t>
      </w:r>
      <w:r w:rsidR="000A2234">
        <w:t>turnover and employment</w:t>
      </w:r>
      <w:r>
        <w:t xml:space="preserve"> associated with </w:t>
      </w:r>
      <w:r w:rsidR="006E5CA3">
        <w:t>an additional £1,000 per business of scheme loans into the sector</w:t>
      </w:r>
    </w:p>
    <w:tbl>
      <w:tblPr>
        <w:tblStyle w:val="TableGrid"/>
        <w:tblW w:w="5000" w:type="pct"/>
        <w:tblLook w:val="04A0" w:firstRow="1" w:lastRow="0" w:firstColumn="1" w:lastColumn="0" w:noHBand="0" w:noVBand="1"/>
      </w:tblPr>
      <w:tblGrid>
        <w:gridCol w:w="3403"/>
        <w:gridCol w:w="3376"/>
        <w:gridCol w:w="3375"/>
      </w:tblGrid>
      <w:tr w:rsidR="00777D16" w:rsidRPr="00490C53" w14:paraId="467C39FD" w14:textId="77777777">
        <w:trPr>
          <w:cnfStyle w:val="100000000000" w:firstRow="1" w:lastRow="0" w:firstColumn="0" w:lastColumn="0" w:oddVBand="0" w:evenVBand="0" w:oddHBand="0" w:evenHBand="0" w:firstRowFirstColumn="0" w:firstRowLastColumn="0" w:lastRowFirstColumn="0" w:lastRowLastColumn="0"/>
          <w:tblHeader/>
        </w:trPr>
        <w:tc>
          <w:tcPr>
            <w:tcW w:w="0" w:type="pct"/>
          </w:tcPr>
          <w:p w14:paraId="5A37FE88" w14:textId="77777777" w:rsidR="00777D16" w:rsidRPr="00490C53" w:rsidRDefault="00777D16">
            <w:pPr>
              <w:pStyle w:val="Tablecolumnheading-inkblue"/>
              <w:rPr>
                <w:b w:val="0"/>
                <w:color w:val="FFFFFF" w:themeColor="background1"/>
                <w:sz w:val="22"/>
                <w:szCs w:val="20"/>
              </w:rPr>
            </w:pPr>
            <w:r w:rsidRPr="00846F78">
              <w:rPr>
                <w:color w:val="FFFFFF" w:themeColor="background1"/>
              </w:rPr>
              <w:t>Scheme</w:t>
            </w:r>
          </w:p>
        </w:tc>
        <w:tc>
          <w:tcPr>
            <w:tcW w:w="0" w:type="pct"/>
          </w:tcPr>
          <w:p w14:paraId="312C934E" w14:textId="77777777" w:rsidR="00777D16" w:rsidRPr="00490C53" w:rsidRDefault="00777D16">
            <w:pPr>
              <w:pStyle w:val="Tablecolumnheading-inkblue"/>
              <w:jc w:val="right"/>
              <w:rPr>
                <w:bCs/>
                <w:color w:val="FFFFFF" w:themeColor="background1"/>
                <w:sz w:val="22"/>
                <w:szCs w:val="20"/>
              </w:rPr>
            </w:pPr>
            <w:r>
              <w:rPr>
                <w:bCs/>
                <w:color w:val="FFFFFF" w:themeColor="background1"/>
                <w:sz w:val="22"/>
                <w:szCs w:val="20"/>
              </w:rPr>
              <w:t>Without CJRS control</w:t>
            </w:r>
          </w:p>
        </w:tc>
        <w:tc>
          <w:tcPr>
            <w:tcW w:w="0" w:type="pct"/>
          </w:tcPr>
          <w:p w14:paraId="161BE065" w14:textId="77777777" w:rsidR="00777D16" w:rsidRPr="00490C53" w:rsidRDefault="00777D16">
            <w:pPr>
              <w:pStyle w:val="Tablecolumnheading-inkblue"/>
              <w:jc w:val="right"/>
              <w:rPr>
                <w:bCs/>
                <w:color w:val="FFFFFF" w:themeColor="background1"/>
                <w:sz w:val="22"/>
                <w:szCs w:val="20"/>
              </w:rPr>
            </w:pPr>
            <w:r>
              <w:rPr>
                <w:bCs/>
                <w:color w:val="FFFFFF" w:themeColor="background1"/>
                <w:sz w:val="22"/>
                <w:szCs w:val="20"/>
              </w:rPr>
              <w:t>With CJRS control</w:t>
            </w:r>
          </w:p>
        </w:tc>
      </w:tr>
      <w:tr w:rsidR="00777D16" w:rsidRPr="00490C53" w14:paraId="5A72BC9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75" w:type="pct"/>
          </w:tcPr>
          <w:p w14:paraId="26C97AB3" w14:textId="77777777" w:rsidR="00777D16" w:rsidRPr="00490C53" w:rsidDel="000A1204" w:rsidRDefault="00777D16">
            <w:pPr>
              <w:pStyle w:val="Tabletext"/>
            </w:pPr>
            <w:r>
              <w:t>Turnover</w:t>
            </w:r>
          </w:p>
        </w:tc>
        <w:tc>
          <w:tcPr>
            <w:tcW w:w="1662" w:type="pct"/>
            <w:vAlign w:val="center"/>
          </w:tcPr>
          <w:p w14:paraId="1A74EC10" w14:textId="77777777" w:rsidR="00777D16" w:rsidRPr="00490C53" w:rsidRDefault="00777D16">
            <w:pPr>
              <w:pStyle w:val="Tabletext"/>
              <w:spacing w:before="0"/>
              <w:jc w:val="right"/>
              <w:rPr>
                <w:rStyle w:val="Bold"/>
                <w:b w:val="0"/>
              </w:rPr>
            </w:pPr>
            <w:r>
              <w:rPr>
                <w:rStyle w:val="Bold"/>
                <w:b w:val="0"/>
              </w:rPr>
              <w:t>0.4%</w:t>
            </w:r>
          </w:p>
        </w:tc>
        <w:tc>
          <w:tcPr>
            <w:tcW w:w="1662" w:type="pct"/>
            <w:vAlign w:val="center"/>
          </w:tcPr>
          <w:p w14:paraId="1290DCC9" w14:textId="77777777" w:rsidR="00777D16" w:rsidRPr="00490C53" w:rsidRDefault="00777D16">
            <w:pPr>
              <w:pStyle w:val="Tabletext"/>
              <w:spacing w:before="0"/>
              <w:jc w:val="right"/>
              <w:rPr>
                <w:rStyle w:val="Bold"/>
                <w:b w:val="0"/>
              </w:rPr>
            </w:pPr>
            <w:r>
              <w:rPr>
                <w:rStyle w:val="Bold"/>
                <w:b w:val="0"/>
              </w:rPr>
              <w:t>1.6%***</w:t>
            </w:r>
          </w:p>
        </w:tc>
      </w:tr>
      <w:tr w:rsidR="00777D16" w:rsidRPr="00490C53" w14:paraId="7451E527" w14:textId="77777777">
        <w:tblPrEx>
          <w:tblCellMar>
            <w:left w:w="108" w:type="dxa"/>
            <w:right w:w="108" w:type="dxa"/>
          </w:tblCellMar>
        </w:tblPrEx>
        <w:tc>
          <w:tcPr>
            <w:tcW w:w="1675" w:type="pct"/>
            <w:tcBorders>
              <w:bottom w:val="single" w:sz="4" w:space="0" w:color="0054BA" w:themeColor="accent2"/>
            </w:tcBorders>
          </w:tcPr>
          <w:p w14:paraId="7EBB030A" w14:textId="77777777" w:rsidR="00777D16" w:rsidRPr="00490C53" w:rsidDel="000A1204" w:rsidRDefault="00777D16">
            <w:pPr>
              <w:pStyle w:val="Tabletext"/>
            </w:pPr>
            <w:r>
              <w:t>Employment</w:t>
            </w:r>
          </w:p>
        </w:tc>
        <w:tc>
          <w:tcPr>
            <w:tcW w:w="1662" w:type="pct"/>
            <w:tcBorders>
              <w:bottom w:val="single" w:sz="4" w:space="0" w:color="0054BA" w:themeColor="accent2"/>
            </w:tcBorders>
            <w:vAlign w:val="center"/>
          </w:tcPr>
          <w:p w14:paraId="67708A52" w14:textId="77777777" w:rsidR="00777D16" w:rsidRPr="00490C53" w:rsidRDefault="00777D16">
            <w:pPr>
              <w:pStyle w:val="Tabletext"/>
              <w:spacing w:before="0"/>
              <w:jc w:val="right"/>
              <w:rPr>
                <w:rStyle w:val="Bold"/>
                <w:b w:val="0"/>
              </w:rPr>
            </w:pPr>
            <w:r>
              <w:rPr>
                <w:rStyle w:val="Bold"/>
                <w:b w:val="0"/>
              </w:rPr>
              <w:t>0.3%*</w:t>
            </w:r>
          </w:p>
        </w:tc>
        <w:tc>
          <w:tcPr>
            <w:tcW w:w="1662" w:type="pct"/>
            <w:tcBorders>
              <w:bottom w:val="single" w:sz="4" w:space="0" w:color="0054BA" w:themeColor="accent2"/>
            </w:tcBorders>
            <w:vAlign w:val="center"/>
          </w:tcPr>
          <w:p w14:paraId="63775702" w14:textId="77777777" w:rsidR="00777D16" w:rsidRPr="00490C53" w:rsidRDefault="00777D16">
            <w:pPr>
              <w:pStyle w:val="Tabletext"/>
              <w:spacing w:before="0"/>
              <w:jc w:val="right"/>
              <w:rPr>
                <w:rStyle w:val="Bold"/>
                <w:b w:val="0"/>
              </w:rPr>
            </w:pPr>
            <w:r>
              <w:rPr>
                <w:rStyle w:val="Bold"/>
                <w:b w:val="0"/>
              </w:rPr>
              <w:t>0.3%*</w:t>
            </w:r>
          </w:p>
        </w:tc>
      </w:tr>
    </w:tbl>
    <w:p w14:paraId="04D10BEC" w14:textId="3B8541AA" w:rsidR="00777D16" w:rsidRPr="00490C53" w:rsidRDefault="00777D16" w:rsidP="00777D16">
      <w:pPr>
        <w:pStyle w:val="Caption"/>
      </w:pPr>
      <w:r>
        <w:t xml:space="preserve">Note: </w:t>
      </w:r>
      <w:r w:rsidRPr="00490C53">
        <w:rPr>
          <w:rStyle w:val="Emphasis"/>
          <w:b w:val="0"/>
          <w:color w:val="555674"/>
        </w:rPr>
        <w:t xml:space="preserve">*** p-value&lt;0.01, ** p-value&lt;0.05, * p-value&lt;0.1. In the Year 2 survey, recontact businesses were asked to provide employment figures for their latest complete financial year. Newly contacted businesses were asked to provide employment figures for their latest complete financial year, their financial year between 2020 and 2021 and their financial year prior to 23 March 2020. </w:t>
      </w:r>
      <w:r w:rsidR="000A2234">
        <w:rPr>
          <w:rStyle w:val="Emphasis"/>
          <w:b w:val="0"/>
          <w:iCs/>
          <w:color w:val="555674"/>
        </w:rPr>
        <w:t xml:space="preserve">Full results are provided in </w:t>
      </w:r>
      <w:r w:rsidR="000A2234">
        <w:rPr>
          <w:rStyle w:val="Emphasis"/>
          <w:b w:val="0"/>
          <w:iCs/>
          <w:color w:val="555674"/>
        </w:rPr>
        <w:fldChar w:fldCharType="begin"/>
      </w:r>
      <w:r w:rsidR="000A2234">
        <w:rPr>
          <w:rStyle w:val="Emphasis"/>
          <w:b w:val="0"/>
          <w:iCs/>
          <w:color w:val="555674"/>
        </w:rPr>
        <w:instrText xml:space="preserve"> REF _Ref138341084 \h </w:instrText>
      </w:r>
      <w:r w:rsidR="000A2234">
        <w:rPr>
          <w:rStyle w:val="Emphasis"/>
          <w:b w:val="0"/>
          <w:iCs/>
          <w:color w:val="555674"/>
        </w:rPr>
      </w:r>
      <w:r w:rsidR="000A2234">
        <w:rPr>
          <w:rStyle w:val="Emphasis"/>
          <w:b w:val="0"/>
          <w:iCs/>
          <w:color w:val="555674"/>
        </w:rPr>
        <w:fldChar w:fldCharType="separate"/>
      </w:r>
      <w:r w:rsidR="00397D49" w:rsidRPr="00490C53">
        <w:t xml:space="preserve">Table </w:t>
      </w:r>
      <w:r w:rsidR="00397D49">
        <w:rPr>
          <w:noProof/>
        </w:rPr>
        <w:t>30</w:t>
      </w:r>
      <w:r w:rsidR="000A2234">
        <w:rPr>
          <w:rStyle w:val="Emphasis"/>
          <w:b w:val="0"/>
          <w:iCs/>
          <w:color w:val="555674"/>
        </w:rPr>
        <w:fldChar w:fldCharType="end"/>
      </w:r>
      <w:r w:rsidR="000A2234">
        <w:t xml:space="preserve"> in </w:t>
      </w:r>
      <w:r w:rsidR="000A2234">
        <w:fldChar w:fldCharType="begin"/>
      </w:r>
      <w:r w:rsidR="000A2234">
        <w:instrText xml:space="preserve"> REF _Ref121909617 \h </w:instrText>
      </w:r>
      <w:r w:rsidR="000A2234">
        <w:fldChar w:fldCharType="separate"/>
      </w:r>
      <w:r w:rsidR="00397D49" w:rsidRPr="00490C53">
        <w:t>Annex 3</w:t>
      </w:r>
      <w:r w:rsidR="000A2234">
        <w:fldChar w:fldCharType="end"/>
      </w:r>
      <w:r w:rsidR="000A2234">
        <w:t xml:space="preserve">. </w:t>
      </w:r>
      <w:r w:rsidRPr="00490C53">
        <w:rPr>
          <w:rStyle w:val="Emphasis"/>
          <w:b w:val="0"/>
          <w:color w:val="555674"/>
        </w:rPr>
        <w:t>Source: London Economics’ analysis of survey data</w:t>
      </w:r>
      <w:r w:rsidR="004138AE">
        <w:rPr>
          <w:rStyle w:val="Emphasis"/>
          <w:b w:val="0"/>
          <w:color w:val="555674"/>
        </w:rPr>
        <w:t>, BBB Management Information, BEIS Business Population Estimates and HMRC CJRS data</w:t>
      </w:r>
      <w:r>
        <w:rPr>
          <w:rStyle w:val="Emphasis"/>
          <w:b w:val="0"/>
          <w:color w:val="555674"/>
        </w:rPr>
        <w:t>.</w:t>
      </w:r>
    </w:p>
    <w:p w14:paraId="5DBC540F" w14:textId="7A1E6804" w:rsidR="003914DA" w:rsidRPr="00490C53" w:rsidRDefault="00777D16">
      <w:r>
        <w:lastRenderedPageBreak/>
        <w:t>Overall, t</w:t>
      </w:r>
      <w:r w:rsidRPr="00490C53">
        <w:t>he evidence of additional benefits of the schemes</w:t>
      </w:r>
      <w:r w:rsidRPr="00490C53">
        <w:rPr>
          <w:rStyle w:val="FootnoteReference"/>
        </w:rPr>
        <w:footnoteReference w:id="67"/>
      </w:r>
      <w:r w:rsidRPr="00490C53">
        <w:t xml:space="preserve"> for businesses in sectors receiving larger amounts of support under the schemes is inconclusive. </w:t>
      </w:r>
      <w:r>
        <w:t>This is primarily because of the high correlation</w:t>
      </w:r>
      <w:r>
        <w:rPr>
          <w:rStyle w:val="FootnoteReference"/>
        </w:rPr>
        <w:footnoteReference w:id="68"/>
      </w:r>
      <w:r>
        <w:t xml:space="preserve"> between the use of the schemes and the CJRS across sectors, which makes it difficult to attribute variations in outcomes at the sector level to a specific scheme.</w:t>
      </w:r>
      <w:r>
        <w:rPr>
          <w:lang w:eastAsia="en-GB"/>
        </w:rPr>
        <w:t xml:space="preserve"> </w:t>
      </w:r>
    </w:p>
    <w:p w14:paraId="5A38EBBC" w14:textId="612D34CD" w:rsidR="00EC0454" w:rsidRPr="00490C53" w:rsidRDefault="00EC0454">
      <w:pPr>
        <w:spacing w:after="160" w:line="259" w:lineRule="auto"/>
      </w:pPr>
      <w:r w:rsidRPr="00490C53">
        <w:br w:type="page"/>
      </w:r>
    </w:p>
    <w:p w14:paraId="63D474C7" w14:textId="69706086" w:rsidR="00176547" w:rsidRPr="00490C53" w:rsidRDefault="00ED3BF4" w:rsidP="00176547">
      <w:pPr>
        <w:pStyle w:val="Heading1"/>
      </w:pPr>
      <w:bookmarkStart w:id="135" w:name="_Toc151549891"/>
      <w:r>
        <w:lastRenderedPageBreak/>
        <w:t>Secondary analysis</w:t>
      </w:r>
      <w:r w:rsidRPr="00490C53">
        <w:t xml:space="preserve"> </w:t>
      </w:r>
      <w:r w:rsidR="00176547" w:rsidRPr="00490C53">
        <w:t>of early impact evaluation</w:t>
      </w:r>
      <w:bookmarkEnd w:id="135"/>
    </w:p>
    <w:p w14:paraId="6890E7F5" w14:textId="77777777" w:rsidR="00176547" w:rsidRPr="00490C53" w:rsidRDefault="00176547" w:rsidP="00176547">
      <w:pPr>
        <w:pStyle w:val="Heading2"/>
      </w:pPr>
      <w:bookmarkStart w:id="136" w:name="_Toc151549892"/>
      <w:r w:rsidRPr="00490C53">
        <w:t>Introduction</w:t>
      </w:r>
      <w:bookmarkEnd w:id="136"/>
    </w:p>
    <w:p w14:paraId="1A1F90E7" w14:textId="0234EFC7" w:rsidR="00176547" w:rsidRDefault="00F604F1" w:rsidP="00176547">
      <w:r w:rsidRPr="00490C53">
        <w:t>Th</w:t>
      </w:r>
      <w:r w:rsidR="00AB0357" w:rsidRPr="00490C53">
        <w:t xml:space="preserve">is chapter presents the results of the </w:t>
      </w:r>
      <w:r w:rsidR="00B50CD5">
        <w:t>secondary analysis</w:t>
      </w:r>
      <w:r w:rsidR="00B50CD5" w:rsidRPr="00490C53">
        <w:t xml:space="preserve"> </w:t>
      </w:r>
      <w:r w:rsidR="00AB0357" w:rsidRPr="00490C53">
        <w:t xml:space="preserve">of the </w:t>
      </w:r>
      <w:r w:rsidR="00EC2C66">
        <w:t xml:space="preserve">Year 1 </w:t>
      </w:r>
      <w:r w:rsidR="00AB0357" w:rsidRPr="00490C53">
        <w:t xml:space="preserve">early impact evaluation. </w:t>
      </w:r>
      <w:r w:rsidR="008A1CDB" w:rsidRPr="00490C53">
        <w:t>The exercise</w:t>
      </w:r>
      <w:r w:rsidR="002C72E6" w:rsidRPr="00490C53">
        <w:t xml:space="preserve"> </w:t>
      </w:r>
      <w:r w:rsidR="00C354E4">
        <w:t>utilises</w:t>
      </w:r>
      <w:r w:rsidR="009E0707" w:rsidRPr="00490C53">
        <w:t xml:space="preserve"> </w:t>
      </w:r>
      <w:r w:rsidR="002C72E6" w:rsidRPr="00490C53">
        <w:t xml:space="preserve">secondary data sources to explore the impact of the Covid-19 Loan Guarantee Schemes </w:t>
      </w:r>
      <w:r w:rsidR="009E0707" w:rsidRPr="00490C53">
        <w:t xml:space="preserve">on businesses </w:t>
      </w:r>
      <w:r w:rsidR="00B424E2" w:rsidRPr="00490C53">
        <w:t xml:space="preserve">rather than </w:t>
      </w:r>
      <w:r w:rsidR="00BE7B36" w:rsidRPr="00490C53">
        <w:t>a</w:t>
      </w:r>
      <w:r w:rsidR="00B424E2" w:rsidRPr="00490C53">
        <w:t xml:space="preserve"> quantitative survey. This allows for a much larger </w:t>
      </w:r>
      <w:r w:rsidR="00EF356E" w:rsidRPr="00490C53">
        <w:t>number</w:t>
      </w:r>
      <w:r w:rsidR="009D0B4B" w:rsidRPr="00490C53">
        <w:t xml:space="preserve"> of businesses </w:t>
      </w:r>
      <w:r w:rsidR="00EF356E" w:rsidRPr="00490C53">
        <w:t>to be included in the analysis</w:t>
      </w:r>
      <w:r w:rsidR="00F9382D" w:rsidRPr="00490C53">
        <w:t xml:space="preserve"> relative to the </w:t>
      </w:r>
      <w:r w:rsidR="005D2823" w:rsidRPr="00490C53">
        <w:t>early impact evaluation</w:t>
      </w:r>
      <w:r w:rsidR="00B26A98">
        <w:t>, and for triangulation of self-reported data (</w:t>
      </w:r>
      <w:r w:rsidR="00994BE7">
        <w:t xml:space="preserve">for example </w:t>
      </w:r>
      <w:r w:rsidR="00B26A98">
        <w:t>in the business survival analysis)</w:t>
      </w:r>
      <w:r w:rsidR="005D2823" w:rsidRPr="00490C53">
        <w:t>.</w:t>
      </w:r>
      <w:r w:rsidR="00F04B20">
        <w:t xml:space="preserve"> For context, the findings of the Year 1 early impact evaluation are presented in </w:t>
      </w:r>
      <w:r w:rsidR="00F04B20">
        <w:fldChar w:fldCharType="begin"/>
      </w:r>
      <w:r w:rsidR="00F04B20">
        <w:instrText xml:space="preserve"> REF _Ref131163463 \h </w:instrText>
      </w:r>
      <w:r w:rsidR="00F04B20">
        <w:fldChar w:fldCharType="separate"/>
      </w:r>
      <w:r w:rsidR="00397D49">
        <w:t xml:space="preserve">Table </w:t>
      </w:r>
      <w:r w:rsidR="00397D49">
        <w:rPr>
          <w:noProof/>
        </w:rPr>
        <w:t>11</w:t>
      </w:r>
      <w:r w:rsidR="00F04B20">
        <w:fldChar w:fldCharType="end"/>
      </w:r>
      <w:r w:rsidR="00F04B20">
        <w:t>.</w:t>
      </w:r>
    </w:p>
    <w:p w14:paraId="5456E5F4" w14:textId="091561FC" w:rsidR="00FC33B2" w:rsidRDefault="00FC33B2" w:rsidP="002D323B">
      <w:pPr>
        <w:pStyle w:val="Heading5"/>
      </w:pPr>
      <w:bookmarkStart w:id="137" w:name="_Ref131163463"/>
      <w:r>
        <w:t xml:space="preserve">Table </w:t>
      </w:r>
      <w:r>
        <w:fldChar w:fldCharType="begin"/>
      </w:r>
      <w:r>
        <w:instrText>SEQ Table \* ARABIC</w:instrText>
      </w:r>
      <w:r>
        <w:fldChar w:fldCharType="separate"/>
      </w:r>
      <w:r w:rsidR="00397D49">
        <w:rPr>
          <w:noProof/>
        </w:rPr>
        <w:t>11</w:t>
      </w:r>
      <w:r>
        <w:fldChar w:fldCharType="end"/>
      </w:r>
      <w:bookmarkEnd w:id="137"/>
      <w:r w:rsidR="0035505B">
        <w:rPr>
          <w:noProof/>
        </w:rPr>
        <w:t>:</w:t>
      </w:r>
      <w:r w:rsidR="00F04B20">
        <w:t xml:space="preserve"> Results of the Year 1 Early Impact Evaluation</w:t>
      </w:r>
    </w:p>
    <w:tbl>
      <w:tblPr>
        <w:tblStyle w:val="TableGrid"/>
        <w:tblW w:w="4957" w:type="pct"/>
        <w:tblLook w:val="04A0" w:firstRow="1" w:lastRow="0" w:firstColumn="1" w:lastColumn="0" w:noHBand="0" w:noVBand="1"/>
      </w:tblPr>
      <w:tblGrid>
        <w:gridCol w:w="2348"/>
        <w:gridCol w:w="3968"/>
        <w:gridCol w:w="3751"/>
      </w:tblGrid>
      <w:tr w:rsidR="00FC33B2" w:rsidRPr="00490C53" w14:paraId="46B5B7C8" w14:textId="77777777" w:rsidTr="00A36500">
        <w:trPr>
          <w:cnfStyle w:val="100000000000" w:firstRow="1" w:lastRow="0" w:firstColumn="0" w:lastColumn="0" w:oddVBand="0" w:evenVBand="0" w:oddHBand="0" w:evenHBand="0" w:firstRowFirstColumn="0" w:firstRowLastColumn="0" w:lastRowFirstColumn="0" w:lastRowLastColumn="0"/>
          <w:trHeight w:val="290"/>
          <w:tblHeader/>
        </w:trPr>
        <w:tc>
          <w:tcPr>
            <w:tcW w:w="1056" w:type="pct"/>
            <w:noWrap/>
            <w:vAlign w:val="center"/>
          </w:tcPr>
          <w:p w14:paraId="5EB90B90" w14:textId="2DB31BEE" w:rsidR="00FC33B2" w:rsidRPr="00490C53" w:rsidRDefault="00FC33B2" w:rsidP="002D323B">
            <w:pPr>
              <w:pStyle w:val="Tablecolumnheading-white"/>
              <w:rPr>
                <w:bCs/>
              </w:rPr>
            </w:pPr>
            <w:r>
              <w:rPr>
                <w:bCs/>
              </w:rPr>
              <w:t>Measure assessed</w:t>
            </w:r>
          </w:p>
        </w:tc>
        <w:tc>
          <w:tcPr>
            <w:tcW w:w="2026" w:type="pct"/>
            <w:vAlign w:val="center"/>
          </w:tcPr>
          <w:p w14:paraId="7BFD85BA" w14:textId="7F6675B4" w:rsidR="00FC33B2" w:rsidRPr="00490C53" w:rsidRDefault="00FC33B2" w:rsidP="002D323B">
            <w:pPr>
              <w:pStyle w:val="Tablecolumnheading-white"/>
              <w:rPr>
                <w:bCs/>
              </w:rPr>
            </w:pPr>
            <w:r>
              <w:rPr>
                <w:bCs/>
              </w:rPr>
              <w:t>BBLS</w:t>
            </w:r>
          </w:p>
        </w:tc>
        <w:tc>
          <w:tcPr>
            <w:tcW w:w="0" w:type="pct"/>
            <w:vAlign w:val="center"/>
          </w:tcPr>
          <w:p w14:paraId="4800186C" w14:textId="447BE179" w:rsidR="00FC33B2" w:rsidRPr="00490C53" w:rsidRDefault="00FC33B2" w:rsidP="002D323B">
            <w:pPr>
              <w:pStyle w:val="Tablecolumnheading-white"/>
              <w:rPr>
                <w:bCs/>
              </w:rPr>
            </w:pPr>
            <w:r>
              <w:rPr>
                <w:bCs/>
              </w:rPr>
              <w:t>CBILS/CLBILS</w:t>
            </w:r>
          </w:p>
        </w:tc>
      </w:tr>
      <w:tr w:rsidR="00FC33B2" w:rsidRPr="00490C53" w14:paraId="15443FF4"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1056" w:type="pct"/>
            <w:vAlign w:val="center"/>
          </w:tcPr>
          <w:p w14:paraId="2442FFD5" w14:textId="1E89D36E" w:rsidR="00FC33B2" w:rsidRPr="00490C53" w:rsidRDefault="00FC33B2" w:rsidP="002D323B">
            <w:pPr>
              <w:pStyle w:val="Tabletext"/>
            </w:pPr>
            <w:r>
              <w:t>Business survival</w:t>
            </w:r>
          </w:p>
        </w:tc>
        <w:tc>
          <w:tcPr>
            <w:tcW w:w="2026" w:type="pct"/>
            <w:vAlign w:val="center"/>
          </w:tcPr>
          <w:p w14:paraId="395D4274" w14:textId="45E946AD" w:rsidR="00FC33B2" w:rsidRPr="00490C53" w:rsidRDefault="00FC33B2" w:rsidP="002D323B">
            <w:pPr>
              <w:pStyle w:val="Tabletext"/>
            </w:pPr>
            <w:r w:rsidRPr="00FC33B2">
              <w:t xml:space="preserve">The scheme avoided the closure of </w:t>
            </w:r>
            <w:r w:rsidR="00844621">
              <w:t>10%-34</w:t>
            </w:r>
            <w:r w:rsidR="00844621" w:rsidRPr="00490C53">
              <w:t>%</w:t>
            </w:r>
            <w:r w:rsidR="00844621">
              <w:t xml:space="preserve"> of all BBLS borrowers (</w:t>
            </w:r>
            <w:r w:rsidRPr="00FC33B2">
              <w:t>146</w:t>
            </w:r>
            <w:r w:rsidR="00F04B20">
              <w:t>k</w:t>
            </w:r>
            <w:r w:rsidRPr="00FC33B2">
              <w:t>-505k businesses</w:t>
            </w:r>
            <w:r w:rsidR="00844621">
              <w:t>)</w:t>
            </w:r>
            <w:r w:rsidRPr="00FC33B2">
              <w:t>.</w:t>
            </w:r>
          </w:p>
        </w:tc>
        <w:tc>
          <w:tcPr>
            <w:tcW w:w="0" w:type="pct"/>
            <w:vAlign w:val="center"/>
          </w:tcPr>
          <w:p w14:paraId="49CB3F32" w14:textId="20EF4F21" w:rsidR="00FC33B2" w:rsidRPr="00490C53" w:rsidRDefault="00FC33B2" w:rsidP="002D323B">
            <w:pPr>
              <w:pStyle w:val="Tabletext"/>
            </w:pPr>
            <w:r w:rsidRPr="002D323B">
              <w:t xml:space="preserve">The scheme avoided the closure of </w:t>
            </w:r>
            <w:r w:rsidR="00844621">
              <w:t>7%-28% of all CBILS/CLBILS borrowers (</w:t>
            </w:r>
            <w:r w:rsidRPr="002D323B">
              <w:t>5</w:t>
            </w:r>
            <w:r w:rsidR="00F04B20">
              <w:t>k</w:t>
            </w:r>
            <w:r w:rsidRPr="002D323B">
              <w:t>-21k businesses</w:t>
            </w:r>
            <w:r w:rsidR="00844621">
              <w:t>)</w:t>
            </w:r>
            <w:r w:rsidRPr="002D323B">
              <w:t>.</w:t>
            </w:r>
          </w:p>
        </w:tc>
      </w:tr>
      <w:tr w:rsidR="00B52312" w:rsidRPr="00490C53" w14:paraId="1767AE25" w14:textId="77777777" w:rsidTr="00A36500">
        <w:tblPrEx>
          <w:tblCellMar>
            <w:left w:w="108" w:type="dxa"/>
            <w:right w:w="108" w:type="dxa"/>
          </w:tblCellMar>
        </w:tblPrEx>
        <w:trPr>
          <w:trHeight w:val="870"/>
        </w:trPr>
        <w:tc>
          <w:tcPr>
            <w:tcW w:w="1056" w:type="pct"/>
            <w:vAlign w:val="center"/>
          </w:tcPr>
          <w:p w14:paraId="6F088A92" w14:textId="2C220894" w:rsidR="00B52312" w:rsidRDefault="00EB1ED1">
            <w:pPr>
              <w:pStyle w:val="Tabletext"/>
            </w:pPr>
            <w:r>
              <w:t xml:space="preserve">Jobs </w:t>
            </w:r>
            <w:r w:rsidR="00B26A98">
              <w:t xml:space="preserve">in businesses </w:t>
            </w:r>
            <w:r>
              <w:t>saved</w:t>
            </w:r>
            <w:r w:rsidR="00B26A98">
              <w:t xml:space="preserve"> by the schemes</w:t>
            </w:r>
          </w:p>
        </w:tc>
        <w:tc>
          <w:tcPr>
            <w:tcW w:w="3944" w:type="pct"/>
            <w:gridSpan w:val="2"/>
            <w:vAlign w:val="center"/>
          </w:tcPr>
          <w:p w14:paraId="155C77AC" w14:textId="6FE42D05" w:rsidR="00B52312" w:rsidRPr="00B52312" w:rsidRDefault="00B52312" w:rsidP="002D323B">
            <w:pPr>
              <w:pStyle w:val="Tabletext"/>
              <w:jc w:val="center"/>
            </w:pPr>
            <w:r>
              <w:t xml:space="preserve">0.5 million – 2.9 million </w:t>
            </w:r>
            <w:r w:rsidR="00B26A98">
              <w:t>jobs</w:t>
            </w:r>
          </w:p>
        </w:tc>
      </w:tr>
      <w:tr w:rsidR="00FC33B2" w:rsidRPr="00490C53" w14:paraId="619875BD"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1056" w:type="pct"/>
            <w:vAlign w:val="center"/>
          </w:tcPr>
          <w:p w14:paraId="161AD814" w14:textId="059A2B14" w:rsidR="00FC33B2" w:rsidRPr="00490C53" w:rsidRDefault="00FC33B2" w:rsidP="002D323B">
            <w:pPr>
              <w:pStyle w:val="Tabletext"/>
            </w:pPr>
            <w:r>
              <w:t>Turnover</w:t>
            </w:r>
          </w:p>
        </w:tc>
        <w:tc>
          <w:tcPr>
            <w:tcW w:w="2026" w:type="pct"/>
            <w:vAlign w:val="center"/>
          </w:tcPr>
          <w:p w14:paraId="1EE047BE" w14:textId="5A5F3DE5" w:rsidR="00FC33B2" w:rsidRPr="00490C53" w:rsidRDefault="00FC33B2" w:rsidP="002D323B">
            <w:pPr>
              <w:pStyle w:val="Tabletext"/>
            </w:pPr>
            <w:r w:rsidRPr="002D323B">
              <w:t>No statistically significant impact</w:t>
            </w:r>
            <w:r>
              <w:t>.</w:t>
            </w:r>
          </w:p>
        </w:tc>
        <w:tc>
          <w:tcPr>
            <w:tcW w:w="0" w:type="pct"/>
            <w:vAlign w:val="center"/>
          </w:tcPr>
          <w:p w14:paraId="1D2CFAA6" w14:textId="5964CC0C" w:rsidR="00FC33B2" w:rsidRPr="00490C53" w:rsidRDefault="00FC33B2" w:rsidP="002D323B">
            <w:pPr>
              <w:pStyle w:val="Tabletext"/>
            </w:pPr>
            <w:r w:rsidRPr="002D323B">
              <w:t>No statistically significant impact</w:t>
            </w:r>
            <w:r>
              <w:t>.</w:t>
            </w:r>
          </w:p>
        </w:tc>
      </w:tr>
      <w:tr w:rsidR="00FC33B2" w:rsidRPr="00490C53" w14:paraId="2F9359C1" w14:textId="77777777" w:rsidTr="00A36500">
        <w:tblPrEx>
          <w:tblCellMar>
            <w:left w:w="108" w:type="dxa"/>
            <w:right w:w="108" w:type="dxa"/>
          </w:tblCellMar>
        </w:tblPrEx>
        <w:trPr>
          <w:trHeight w:val="870"/>
        </w:trPr>
        <w:tc>
          <w:tcPr>
            <w:tcW w:w="1056" w:type="pct"/>
            <w:vAlign w:val="center"/>
          </w:tcPr>
          <w:p w14:paraId="500233B2" w14:textId="4C897A7B" w:rsidR="00FC33B2" w:rsidRPr="00490C53" w:rsidRDefault="00FC33B2" w:rsidP="002D323B">
            <w:pPr>
              <w:pStyle w:val="Tabletext"/>
            </w:pPr>
            <w:r>
              <w:t>Employment</w:t>
            </w:r>
          </w:p>
        </w:tc>
        <w:tc>
          <w:tcPr>
            <w:tcW w:w="2026" w:type="pct"/>
            <w:vAlign w:val="center"/>
          </w:tcPr>
          <w:p w14:paraId="7F861092" w14:textId="150D1647" w:rsidR="00FC33B2" w:rsidRPr="00490C53" w:rsidRDefault="00FC33B2" w:rsidP="002D323B">
            <w:pPr>
              <w:pStyle w:val="Tabletext"/>
            </w:pPr>
            <w:r w:rsidRPr="002D323B">
              <w:t>No statistically significant impact</w:t>
            </w:r>
            <w:r>
              <w:t>.</w:t>
            </w:r>
          </w:p>
        </w:tc>
        <w:tc>
          <w:tcPr>
            <w:tcW w:w="0" w:type="pct"/>
            <w:vAlign w:val="center"/>
          </w:tcPr>
          <w:p w14:paraId="5536BA3B" w14:textId="55E8AC05" w:rsidR="00FC33B2" w:rsidRPr="00490C53" w:rsidRDefault="00FC33B2" w:rsidP="002D323B">
            <w:pPr>
              <w:pStyle w:val="Tabletext"/>
            </w:pPr>
            <w:r w:rsidRPr="002D323B">
              <w:t>No statistically significant impact</w:t>
            </w:r>
            <w:r>
              <w:t>.</w:t>
            </w:r>
          </w:p>
        </w:tc>
      </w:tr>
      <w:tr w:rsidR="00FC33B2" w:rsidRPr="00490C53" w14:paraId="6F8CA86B"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43"/>
        </w:trPr>
        <w:tc>
          <w:tcPr>
            <w:tcW w:w="1056" w:type="pct"/>
            <w:tcBorders>
              <w:bottom w:val="single" w:sz="4" w:space="0" w:color="0054BA" w:themeColor="accent2"/>
            </w:tcBorders>
            <w:vAlign w:val="center"/>
          </w:tcPr>
          <w:p w14:paraId="68BC38CC" w14:textId="4BAE2BA8" w:rsidR="00FC33B2" w:rsidRPr="00490C53" w:rsidRDefault="00FC33B2" w:rsidP="002D323B">
            <w:pPr>
              <w:pStyle w:val="Tabletext"/>
            </w:pPr>
            <w:r>
              <w:t>Product market displacement</w:t>
            </w:r>
          </w:p>
        </w:tc>
        <w:tc>
          <w:tcPr>
            <w:tcW w:w="2026" w:type="pct"/>
            <w:tcBorders>
              <w:bottom w:val="single" w:sz="4" w:space="0" w:color="0054BA" w:themeColor="accent2"/>
            </w:tcBorders>
            <w:vAlign w:val="center"/>
          </w:tcPr>
          <w:p w14:paraId="17DBC78C" w14:textId="3F98AD13" w:rsidR="00FC33B2" w:rsidRPr="00490C53" w:rsidRDefault="00FC33B2" w:rsidP="002D323B">
            <w:pPr>
              <w:pStyle w:val="Tabletext"/>
            </w:pPr>
            <w:r w:rsidRPr="002D323B">
              <w:t xml:space="preserve">Average </w:t>
            </w:r>
            <w:r w:rsidR="00EB1ED1">
              <w:t xml:space="preserve">product </w:t>
            </w:r>
            <w:r w:rsidRPr="002D323B">
              <w:t>market displacement of 43%</w:t>
            </w:r>
            <w:r>
              <w:t>.</w:t>
            </w:r>
          </w:p>
        </w:tc>
        <w:tc>
          <w:tcPr>
            <w:tcW w:w="0" w:type="pct"/>
            <w:tcBorders>
              <w:bottom w:val="single" w:sz="4" w:space="0" w:color="0054BA" w:themeColor="accent2"/>
            </w:tcBorders>
            <w:vAlign w:val="center"/>
          </w:tcPr>
          <w:p w14:paraId="65830CBD" w14:textId="06FCB24F" w:rsidR="00FC33B2" w:rsidRPr="00490C53" w:rsidRDefault="00FC33B2" w:rsidP="002D323B">
            <w:pPr>
              <w:pStyle w:val="Tabletext"/>
            </w:pPr>
            <w:r w:rsidRPr="002D323B">
              <w:t xml:space="preserve">Average </w:t>
            </w:r>
            <w:r w:rsidR="00EB1ED1">
              <w:t xml:space="preserve">product </w:t>
            </w:r>
            <w:r w:rsidRPr="002D323B">
              <w:t>market displacement of 46%</w:t>
            </w:r>
            <w:r>
              <w:t>.</w:t>
            </w:r>
          </w:p>
        </w:tc>
      </w:tr>
    </w:tbl>
    <w:p w14:paraId="7EA1907C" w14:textId="59319E08" w:rsidR="003A1D4A" w:rsidRPr="002D323B" w:rsidRDefault="00F04B20" w:rsidP="00176547">
      <w:pPr>
        <w:rPr>
          <w:rStyle w:val="Emphasis"/>
          <w:b w:val="0"/>
          <w:bCs/>
          <w:color w:val="555674"/>
        </w:rPr>
      </w:pPr>
      <w:r>
        <w:rPr>
          <w:rStyle w:val="Emphasis"/>
          <w:b w:val="0"/>
          <w:bCs/>
          <w:color w:val="555674"/>
        </w:rPr>
        <w:t xml:space="preserve">Source: </w:t>
      </w:r>
      <w:r w:rsidRPr="002D323B">
        <w:rPr>
          <w:rStyle w:val="Emphasis"/>
          <w:b w:val="0"/>
          <w:bCs/>
          <w:color w:val="555674"/>
        </w:rPr>
        <w:t>London Economics’ analysis of survey data</w:t>
      </w:r>
      <w:r w:rsidR="00FA05E2">
        <w:rPr>
          <w:rStyle w:val="Emphasis"/>
          <w:b w:val="0"/>
          <w:bCs/>
          <w:color w:val="555674"/>
        </w:rPr>
        <w:t>, BBB Management Information and BBB Portal Data</w:t>
      </w:r>
    </w:p>
    <w:p w14:paraId="406D7CBF" w14:textId="7C102545" w:rsidR="00176547" w:rsidRPr="00490C53" w:rsidRDefault="00967F71" w:rsidP="00176547">
      <w:pPr>
        <w:pStyle w:val="Heading2"/>
      </w:pPr>
      <w:bookmarkStart w:id="138" w:name="_Ref126238929"/>
      <w:bookmarkStart w:id="139" w:name="_Toc151549893"/>
      <w:r w:rsidRPr="00490C53">
        <w:lastRenderedPageBreak/>
        <w:t>Impact on business survival</w:t>
      </w:r>
      <w:bookmarkEnd w:id="138"/>
      <w:bookmarkEnd w:id="139"/>
    </w:p>
    <w:p w14:paraId="46328C15" w14:textId="11E5F502" w:rsidR="00EC0454" w:rsidRPr="00490C53" w:rsidRDefault="00EC0454" w:rsidP="00EC0454">
      <w:r w:rsidRPr="00490C53">
        <w:t>The liquidity that was made available as part of the Covid-19 Loan Guarantee Schemes aimed to provide borrowers with a lifeline enabling them to honour their immediate obligations despite lower revenue. Analysis conducted in Year 1 of the evaluation suggested that the schemes avoided the permanent closure of 146</w:t>
      </w:r>
      <w:r w:rsidR="003162A6">
        <w:t>k</w:t>
      </w:r>
      <w:r w:rsidRPr="00490C53">
        <w:t>-505</w:t>
      </w:r>
      <w:r w:rsidR="003162A6">
        <w:t>k</w:t>
      </w:r>
      <w:r w:rsidRPr="00490C53">
        <w:t xml:space="preserve"> BBLS borrowers and 5</w:t>
      </w:r>
      <w:r w:rsidR="003162A6">
        <w:t>k</w:t>
      </w:r>
      <w:r w:rsidRPr="00490C53">
        <w:t>-21</w:t>
      </w:r>
      <w:r w:rsidR="003162A6">
        <w:t>k</w:t>
      </w:r>
      <w:r w:rsidRPr="00490C53">
        <w:t xml:space="preserve"> CBILS/CLBILS borrowers. This section aims to </w:t>
      </w:r>
      <w:r w:rsidR="00090368">
        <w:t>assess</w:t>
      </w:r>
      <w:r w:rsidR="00090368" w:rsidRPr="00490C53">
        <w:t xml:space="preserve"> </w:t>
      </w:r>
      <w:r w:rsidRPr="00490C53">
        <w:t>the Year 1 survey-based estimates of the impact of the Covid-19 Loan Guarantee Schemes on businesses’ short-term survival.</w:t>
      </w:r>
    </w:p>
    <w:p w14:paraId="1C34D3E7" w14:textId="43DF50AD" w:rsidR="00EC0454" w:rsidRPr="00490C53" w:rsidRDefault="00EC0454" w:rsidP="00EC0454">
      <w:r w:rsidRPr="00490C53">
        <w:t xml:space="preserve">To estimate the Covid-19 Loan Guarantee Schemes’ impact on business survival, this </w:t>
      </w:r>
      <w:r w:rsidR="00C83B72">
        <w:t xml:space="preserve">secondary </w:t>
      </w:r>
      <w:r w:rsidRPr="00490C53">
        <w:t xml:space="preserve">exercise estimated the observed </w:t>
      </w:r>
      <w:r w:rsidR="004550ED">
        <w:t>closure</w:t>
      </w:r>
      <w:r w:rsidR="004550ED" w:rsidRPr="00490C53">
        <w:t xml:space="preserve"> </w:t>
      </w:r>
      <w:r w:rsidRPr="00490C53">
        <w:t>rate of borrowers (</w:t>
      </w:r>
      <w:proofErr w:type="gramStart"/>
      <w:r w:rsidRPr="00490C53">
        <w:t>i.e.</w:t>
      </w:r>
      <w:proofErr w:type="gramEnd"/>
      <w:r w:rsidRPr="00490C53">
        <w:t xml:space="preserve"> those businesses that received a loan under one of the three Covid-19 Loan Guarantee Schemes) based on a sample within the Inter-Departmental Business Register (IDBR)</w:t>
      </w:r>
      <w:r w:rsidR="00A36500">
        <w:t>,</w:t>
      </w:r>
      <w:r w:rsidR="00A36500">
        <w:rPr>
          <w:rStyle w:val="FootnoteReference"/>
        </w:rPr>
        <w:footnoteReference w:id="69"/>
      </w:r>
      <w:r w:rsidRPr="00490C53">
        <w:t xml:space="preserve"> and compared this with an estimate of their counterfactual </w:t>
      </w:r>
      <w:r w:rsidR="004550ED">
        <w:t>closure</w:t>
      </w:r>
      <w:r w:rsidR="004550ED" w:rsidRPr="00490C53">
        <w:t xml:space="preserve"> </w:t>
      </w:r>
      <w:r w:rsidRPr="00490C53">
        <w:t xml:space="preserve">rate. The counterfactual </w:t>
      </w:r>
      <w:r w:rsidR="004550ED">
        <w:t>closure</w:t>
      </w:r>
      <w:r w:rsidR="004550ED" w:rsidRPr="00490C53">
        <w:t xml:space="preserve"> </w:t>
      </w:r>
      <w:r w:rsidRPr="00490C53">
        <w:t xml:space="preserve">rate is estimated as the </w:t>
      </w:r>
      <w:r w:rsidR="004550ED">
        <w:t>closure</w:t>
      </w:r>
      <w:r w:rsidR="004550ED" w:rsidRPr="00490C53">
        <w:t xml:space="preserve"> </w:t>
      </w:r>
      <w:r w:rsidRPr="00490C53">
        <w:t>rate among a ‘control’ group of non-borrowers (</w:t>
      </w:r>
      <w:proofErr w:type="gramStart"/>
      <w:r w:rsidRPr="00490C53">
        <w:t>i.e</w:t>
      </w:r>
      <w:r w:rsidR="00C354E4">
        <w:t>.</w:t>
      </w:r>
      <w:proofErr w:type="gramEnd"/>
      <w:r w:rsidRPr="00490C53">
        <w:t xml:space="preserve"> a comparison group) selected based on their similarity to borrowers with respect to pre-pandemic firm characteristics (</w:t>
      </w:r>
      <w:r w:rsidR="00994BE7">
        <w:t xml:space="preserve">for example </w:t>
      </w:r>
      <w:r w:rsidRPr="00490C53">
        <w:t>turnover, sector, etc.). This exercise was implemented through propensity score matching (PSM).</w:t>
      </w:r>
      <w:r w:rsidRPr="00490C53">
        <w:rPr>
          <w:rStyle w:val="FootnoteReference"/>
        </w:rPr>
        <w:footnoteReference w:id="70"/>
      </w:r>
      <w:r w:rsidRPr="00490C53">
        <w:t xml:space="preserve"> The difference between the </w:t>
      </w:r>
      <w:r w:rsidR="004550ED">
        <w:t>closure</w:t>
      </w:r>
      <w:r w:rsidR="004550ED" w:rsidRPr="00490C53">
        <w:t xml:space="preserve"> </w:t>
      </w:r>
      <w:r w:rsidRPr="00490C53">
        <w:t xml:space="preserve">rates of the borrower group and the control group of non-borrowers is the estimated impact of the Covid-19 Loan Guarantee Schemes on business survival. Hereafter, the groups of non-borrowers matched to BBLS and CBILS/CLBILS borrowers are referred to as ‘BBLS non-borrowers’ and ‘CBILS/CLBILS non-borrowers’. </w:t>
      </w:r>
    </w:p>
    <w:p w14:paraId="31B20954" w14:textId="25249D5D" w:rsidR="00EC0454" w:rsidRPr="00490C53" w:rsidRDefault="00EC0454" w:rsidP="00EC0454">
      <w:r w:rsidRPr="00490C53">
        <w:t xml:space="preserve">Whereas the Year 1 survey estimated the counterfactual </w:t>
      </w:r>
      <w:r w:rsidR="004550ED">
        <w:t>closure</w:t>
      </w:r>
      <w:r w:rsidR="004550ED" w:rsidRPr="00490C53">
        <w:t xml:space="preserve"> </w:t>
      </w:r>
      <w:r w:rsidRPr="00490C53">
        <w:t xml:space="preserve">rate as the proportion of borrowers who self-reported that they would likely or </w:t>
      </w:r>
      <w:proofErr w:type="gramStart"/>
      <w:r w:rsidRPr="00490C53">
        <w:t>definitely have</w:t>
      </w:r>
      <w:proofErr w:type="gramEnd"/>
      <w:r w:rsidRPr="00490C53">
        <w:t xml:space="preserve"> permanently closed in the absence of the schemes, th</w:t>
      </w:r>
      <w:r w:rsidR="00C83B72">
        <w:t>is</w:t>
      </w:r>
      <w:r w:rsidRPr="00490C53">
        <w:t xml:space="preserve"> exercise used secondary data from the IDBR and other data sources including BBB Management Information </w:t>
      </w:r>
      <w:r w:rsidR="00F2416B">
        <w:t>and Portal D</w:t>
      </w:r>
      <w:r w:rsidRPr="00490C53">
        <w:t>ata.</w:t>
      </w:r>
      <w:r w:rsidRPr="00490C53">
        <w:rPr>
          <w:rStyle w:val="FootnoteReference"/>
        </w:rPr>
        <w:footnoteReference w:id="71"/>
      </w:r>
    </w:p>
    <w:p w14:paraId="5EEFE0A8" w14:textId="40D72763" w:rsidR="00EC0454" w:rsidRPr="005D5D23" w:rsidRDefault="00EC0454" w:rsidP="00236B73">
      <w:r w:rsidRPr="00236B73">
        <w:rPr>
          <w:color w:val="142855" w:themeColor="text2"/>
        </w:rPr>
        <w:t xml:space="preserve">Results of the </w:t>
      </w:r>
      <w:r w:rsidR="00411ED4" w:rsidRPr="00236B73">
        <w:rPr>
          <w:color w:val="142855" w:themeColor="text2"/>
        </w:rPr>
        <w:t>secondary analysis</w:t>
      </w:r>
    </w:p>
    <w:p w14:paraId="338A7795" w14:textId="37770744" w:rsidR="00EC0454" w:rsidRDefault="00EC0454" w:rsidP="00EC0454">
      <w:r w:rsidRPr="00490C53">
        <w:lastRenderedPageBreak/>
        <w:t xml:space="preserve">Across both the BBLS and CBILS/CLBILS, it was found that the estimated counterfactual </w:t>
      </w:r>
      <w:r w:rsidR="004550ED">
        <w:t>closure</w:t>
      </w:r>
      <w:r w:rsidR="004550ED" w:rsidRPr="00490C53">
        <w:t xml:space="preserve"> </w:t>
      </w:r>
      <w:r w:rsidRPr="00490C53">
        <w:t xml:space="preserve">rates (i.e. the </w:t>
      </w:r>
      <w:r w:rsidR="004550ED">
        <w:t>closure</w:t>
      </w:r>
      <w:r w:rsidR="004550ED" w:rsidRPr="00490C53">
        <w:t xml:space="preserve"> </w:t>
      </w:r>
      <w:r w:rsidRPr="00490C53">
        <w:t>rates of BBLS and CBILS/CLBILS non-borrowers) broadly decrease with size</w:t>
      </w:r>
      <w:r w:rsidR="00435221">
        <w:t xml:space="preserve">, i.e. large firms who did not take a loan under the Covid-19 Loan Guarantee Schemes were less likely to experience a business </w:t>
      </w:r>
      <w:r w:rsidR="004550ED">
        <w:t xml:space="preserve">closure </w:t>
      </w:r>
      <w:r w:rsidR="00435221">
        <w:t>than small firms who did not take a loan under the schemes</w:t>
      </w:r>
      <w:r w:rsidR="00C47D0C">
        <w:t>.</w:t>
      </w:r>
      <w:r w:rsidRPr="00490C53">
        <w:rPr>
          <w:rStyle w:val="FootnoteReference"/>
        </w:rPr>
        <w:footnoteReference w:id="72"/>
      </w:r>
      <w:r w:rsidRPr="00490C53">
        <w:t xml:space="preserve"> </w:t>
      </w:r>
      <w:r w:rsidR="00C47D0C">
        <w:t>This</w:t>
      </w:r>
      <w:r w:rsidRPr="00490C53">
        <w:t xml:space="preserve"> </w:t>
      </w:r>
      <w:r w:rsidR="009708FA">
        <w:t xml:space="preserve">finding </w:t>
      </w:r>
      <w:r w:rsidRPr="00490C53">
        <w:t xml:space="preserve">could </w:t>
      </w:r>
      <w:r w:rsidR="00435221">
        <w:t>be interpreted as larger businesses being more</w:t>
      </w:r>
      <w:r w:rsidRPr="00490C53">
        <w:t xml:space="preserve"> resilien</w:t>
      </w:r>
      <w:r w:rsidR="00435221">
        <w:t>t than smaller</w:t>
      </w:r>
      <w:r w:rsidRPr="00490C53">
        <w:t xml:space="preserve"> businesses</w:t>
      </w:r>
      <w:r w:rsidR="00435221">
        <w:t>,</w:t>
      </w:r>
      <w:r w:rsidRPr="00490C53">
        <w:t xml:space="preserve"> </w:t>
      </w:r>
      <w:r w:rsidR="00435221">
        <w:t>since larger businesses have</w:t>
      </w:r>
      <w:r w:rsidRPr="00490C53">
        <w:t xml:space="preserve"> a higher likelihood of survival even in the absence of the Covid-19 Loan Guarantee Schemes. The average </w:t>
      </w:r>
      <w:r w:rsidR="004550ED">
        <w:t>closure</w:t>
      </w:r>
      <w:r w:rsidR="004550ED" w:rsidRPr="00490C53">
        <w:t xml:space="preserve"> </w:t>
      </w:r>
      <w:r w:rsidRPr="00490C53">
        <w:t>rate was 9.</w:t>
      </w:r>
      <w:r w:rsidR="00017895">
        <w:t>9</w:t>
      </w:r>
      <w:r w:rsidRPr="00490C53">
        <w:t>% among BBLS non-borrowers, and 4.9% among CBILS/CLBILS non-borrowers</w:t>
      </w:r>
      <w:r w:rsidR="009D5C73">
        <w:t xml:space="preserve"> (</w:t>
      </w:r>
      <w:r w:rsidR="009D5C73">
        <w:fldChar w:fldCharType="begin"/>
      </w:r>
      <w:r w:rsidR="009D5C73">
        <w:instrText xml:space="preserve"> REF _Ref131165615 \h </w:instrText>
      </w:r>
      <w:r w:rsidR="009D5C73">
        <w:fldChar w:fldCharType="separate"/>
      </w:r>
      <w:r w:rsidR="00397D49">
        <w:t xml:space="preserve">Table </w:t>
      </w:r>
      <w:r w:rsidR="00397D49">
        <w:rPr>
          <w:noProof/>
        </w:rPr>
        <w:t>12</w:t>
      </w:r>
      <w:r w:rsidR="009D5C73">
        <w:fldChar w:fldCharType="end"/>
      </w:r>
      <w:r w:rsidR="009D5C73">
        <w:t>)</w:t>
      </w:r>
      <w:r w:rsidRPr="00490C53">
        <w:t>.</w:t>
      </w:r>
      <w:r w:rsidRPr="00490C53">
        <w:rPr>
          <w:rStyle w:val="FootnoteReference"/>
        </w:rPr>
        <w:footnoteReference w:id="73"/>
      </w:r>
    </w:p>
    <w:p w14:paraId="621A4DD8" w14:textId="2DD598A9" w:rsidR="00EC0454" w:rsidRDefault="00C47D0C" w:rsidP="00EC0454">
      <w:r>
        <w:t xml:space="preserve">The </w:t>
      </w:r>
      <w:r w:rsidR="004550ED">
        <w:t xml:space="preserve">closure </w:t>
      </w:r>
      <w:r>
        <w:t xml:space="preserve">rates among BBLS and CBILS/CLBILS borrowers were 4.2% and 0.6% respectively, </w:t>
      </w:r>
      <w:r w:rsidR="009708FA">
        <w:t>in both cases</w:t>
      </w:r>
      <w:r>
        <w:t xml:space="preserve"> </w:t>
      </w:r>
      <w:r w:rsidR="009708FA">
        <w:t>lower</w:t>
      </w:r>
      <w:r>
        <w:t xml:space="preserve"> than the estimated counterfactual </w:t>
      </w:r>
      <w:r w:rsidR="004550ED">
        <w:t xml:space="preserve">closure </w:t>
      </w:r>
      <w:r>
        <w:t>rates</w:t>
      </w:r>
      <w:r w:rsidR="009708FA">
        <w:t xml:space="preserve"> (</w:t>
      </w:r>
      <w:proofErr w:type="gramStart"/>
      <w:r w:rsidR="009708FA">
        <w:t>i.e.</w:t>
      </w:r>
      <w:proofErr w:type="gramEnd"/>
      <w:r w:rsidR="009708FA">
        <w:t xml:space="preserve"> the </w:t>
      </w:r>
      <w:r w:rsidR="004550ED">
        <w:t xml:space="preserve">closure </w:t>
      </w:r>
      <w:r w:rsidR="009708FA">
        <w:t xml:space="preserve">rates of non-borrowers) </w:t>
      </w:r>
      <w:r>
        <w:t xml:space="preserve">outlined </w:t>
      </w:r>
      <w:r w:rsidR="009D5C73">
        <w:t xml:space="preserve">in </w:t>
      </w:r>
      <w:r w:rsidR="009D5C73">
        <w:fldChar w:fldCharType="begin"/>
      </w:r>
      <w:r w:rsidR="009D5C73">
        <w:instrText xml:space="preserve"> REF _Ref131165615 \h </w:instrText>
      </w:r>
      <w:r w:rsidR="009D5C73">
        <w:fldChar w:fldCharType="separate"/>
      </w:r>
      <w:r w:rsidR="00397D49">
        <w:t xml:space="preserve">Table </w:t>
      </w:r>
      <w:r w:rsidR="00397D49">
        <w:rPr>
          <w:noProof/>
        </w:rPr>
        <w:t>12</w:t>
      </w:r>
      <w:r w:rsidR="009D5C73">
        <w:fldChar w:fldCharType="end"/>
      </w:r>
      <w:r>
        <w:t xml:space="preserve">. </w:t>
      </w:r>
      <w:r w:rsidR="00EC0454" w:rsidRPr="00490C53">
        <w:t xml:space="preserve">The </w:t>
      </w:r>
      <w:r w:rsidR="004550ED">
        <w:t>closure</w:t>
      </w:r>
      <w:r w:rsidR="004550ED" w:rsidRPr="00490C53">
        <w:t xml:space="preserve"> </w:t>
      </w:r>
      <w:r w:rsidR="00EC0454" w:rsidRPr="00490C53">
        <w:t>rate among borrower firms also broadly decreases with size.</w:t>
      </w:r>
      <w:r w:rsidR="00EC0454" w:rsidRPr="00490C53">
        <w:rPr>
          <w:rStyle w:val="FootnoteReference"/>
        </w:rPr>
        <w:footnoteReference w:id="74"/>
      </w:r>
    </w:p>
    <w:p w14:paraId="5A20B601" w14:textId="53F2967B" w:rsidR="009D5C73" w:rsidRDefault="009D5C73" w:rsidP="002D323B">
      <w:pPr>
        <w:pStyle w:val="Heading5"/>
      </w:pPr>
      <w:bookmarkStart w:id="140" w:name="_Ref131165615"/>
      <w:r>
        <w:lastRenderedPageBreak/>
        <w:t xml:space="preserve">Table </w:t>
      </w:r>
      <w:r>
        <w:fldChar w:fldCharType="begin"/>
      </w:r>
      <w:r>
        <w:instrText>SEQ Table \* ARABIC</w:instrText>
      </w:r>
      <w:r>
        <w:fldChar w:fldCharType="separate"/>
      </w:r>
      <w:r w:rsidR="00397D49">
        <w:rPr>
          <w:noProof/>
        </w:rPr>
        <w:t>12</w:t>
      </w:r>
      <w:r>
        <w:fldChar w:fldCharType="end"/>
      </w:r>
      <w:bookmarkEnd w:id="140"/>
      <w:r w:rsidR="000D7806">
        <w:t>:</w:t>
      </w:r>
      <w:r>
        <w:t xml:space="preserve"> </w:t>
      </w:r>
      <w:r w:rsidRPr="00490C53">
        <w:t xml:space="preserve">Impact </w:t>
      </w:r>
      <w:r w:rsidRPr="00846F78">
        <w:t xml:space="preserve">on business survival: </w:t>
      </w:r>
      <w:r>
        <w:t xml:space="preserve">Estimated </w:t>
      </w:r>
      <w:r w:rsidR="004550ED">
        <w:t xml:space="preserve">closure </w:t>
      </w:r>
      <w:r>
        <w:t>rates</w:t>
      </w:r>
      <w:r w:rsidR="009708FA">
        <w:t xml:space="preserve"> among borrowers and non-borrowers (BBLS and CBILS/CLBILS)</w:t>
      </w:r>
    </w:p>
    <w:tbl>
      <w:tblPr>
        <w:tblStyle w:val="TableGrid"/>
        <w:tblW w:w="5000" w:type="pct"/>
        <w:tblLook w:val="04A0" w:firstRow="1" w:lastRow="0" w:firstColumn="1" w:lastColumn="0" w:noHBand="0" w:noVBand="1"/>
      </w:tblPr>
      <w:tblGrid>
        <w:gridCol w:w="1804"/>
        <w:gridCol w:w="4629"/>
        <w:gridCol w:w="3721"/>
      </w:tblGrid>
      <w:tr w:rsidR="00C354E4" w:rsidRPr="00490C53" w14:paraId="21AB0CEA" w14:textId="77777777" w:rsidTr="002D323B">
        <w:trPr>
          <w:cnfStyle w:val="100000000000" w:firstRow="1" w:lastRow="0" w:firstColumn="0" w:lastColumn="0" w:oddVBand="0" w:evenVBand="0" w:oddHBand="0" w:evenHBand="0" w:firstRowFirstColumn="0" w:firstRowLastColumn="0" w:lastRowFirstColumn="0" w:lastRowLastColumn="0"/>
          <w:trHeight w:val="300"/>
          <w:tblHeader/>
        </w:trPr>
        <w:tc>
          <w:tcPr>
            <w:tcW w:w="977" w:type="pct"/>
            <w:noWrap/>
            <w:vAlign w:val="center"/>
          </w:tcPr>
          <w:p w14:paraId="5363943F" w14:textId="220CC6D5" w:rsidR="009D5C73" w:rsidRPr="00490C53" w:rsidRDefault="009D5C73" w:rsidP="00C354E4">
            <w:pPr>
              <w:pStyle w:val="Tablecolumnheading-white"/>
            </w:pPr>
            <w:r>
              <w:t>Scheme</w:t>
            </w:r>
          </w:p>
        </w:tc>
        <w:tc>
          <w:tcPr>
            <w:tcW w:w="2081" w:type="pct"/>
            <w:noWrap/>
            <w:vAlign w:val="center"/>
          </w:tcPr>
          <w:p w14:paraId="2E3B0AD5" w14:textId="44084134" w:rsidR="009D5C73" w:rsidRPr="00490C53" w:rsidRDefault="004550ED" w:rsidP="00C354E4">
            <w:pPr>
              <w:pStyle w:val="Tablecolumnheading-white"/>
              <w:jc w:val="center"/>
              <w:rPr>
                <w:bCs/>
              </w:rPr>
            </w:pPr>
            <w:r>
              <w:rPr>
                <w:bCs/>
              </w:rPr>
              <w:t xml:space="preserve">Closure </w:t>
            </w:r>
            <w:r w:rsidR="009708FA">
              <w:rPr>
                <w:bCs/>
              </w:rPr>
              <w:t xml:space="preserve">rate among non-borrowers </w:t>
            </w:r>
          </w:p>
        </w:tc>
        <w:tc>
          <w:tcPr>
            <w:tcW w:w="0" w:type="pct"/>
            <w:noWrap/>
            <w:vAlign w:val="center"/>
          </w:tcPr>
          <w:p w14:paraId="2A1B4DF8" w14:textId="0BBA38D1" w:rsidR="009D5C73" w:rsidRPr="00490C53" w:rsidRDefault="004550ED" w:rsidP="00C354E4">
            <w:pPr>
              <w:pStyle w:val="Tablecolumnheading-white"/>
              <w:jc w:val="center"/>
              <w:rPr>
                <w:bCs/>
              </w:rPr>
            </w:pPr>
            <w:r>
              <w:rPr>
                <w:bCs/>
              </w:rPr>
              <w:t xml:space="preserve">Closure </w:t>
            </w:r>
            <w:r w:rsidR="009708FA">
              <w:rPr>
                <w:bCs/>
              </w:rPr>
              <w:t xml:space="preserve">rate among borrowers </w:t>
            </w:r>
          </w:p>
        </w:tc>
      </w:tr>
      <w:tr w:rsidR="00C354E4" w:rsidRPr="00490C53" w14:paraId="69C75FAA" w14:textId="77777777" w:rsidTr="002D323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02"/>
        </w:trPr>
        <w:tc>
          <w:tcPr>
            <w:tcW w:w="977" w:type="pct"/>
            <w:noWrap/>
            <w:vAlign w:val="center"/>
          </w:tcPr>
          <w:p w14:paraId="107F9811" w14:textId="221C668A" w:rsidR="009D5C73" w:rsidRPr="00490C53" w:rsidRDefault="009D5C73" w:rsidP="00C354E4">
            <w:pPr>
              <w:pStyle w:val="Tabletext"/>
            </w:pPr>
            <w:r>
              <w:t>BBLS</w:t>
            </w:r>
          </w:p>
        </w:tc>
        <w:tc>
          <w:tcPr>
            <w:tcW w:w="2081" w:type="pct"/>
            <w:vAlign w:val="center"/>
          </w:tcPr>
          <w:p w14:paraId="09F99088" w14:textId="2E8D79EA" w:rsidR="009D5C73" w:rsidRPr="00490C53" w:rsidRDefault="00267D1C" w:rsidP="00C354E4">
            <w:pPr>
              <w:pStyle w:val="Tabletext"/>
              <w:spacing w:before="0"/>
              <w:jc w:val="center"/>
            </w:pPr>
            <w:r>
              <w:t>9.9</w:t>
            </w:r>
            <w:r w:rsidR="009D5C73">
              <w:t>%</w:t>
            </w:r>
          </w:p>
        </w:tc>
        <w:tc>
          <w:tcPr>
            <w:tcW w:w="0" w:type="pct"/>
            <w:vAlign w:val="center"/>
          </w:tcPr>
          <w:p w14:paraId="462A6867" w14:textId="6BFC8760" w:rsidR="009D5C73" w:rsidRPr="00490C53" w:rsidRDefault="009D5C73" w:rsidP="00C354E4">
            <w:pPr>
              <w:pStyle w:val="Tabletext"/>
              <w:spacing w:before="0"/>
              <w:jc w:val="center"/>
            </w:pPr>
            <w:r>
              <w:t>4</w:t>
            </w:r>
            <w:r w:rsidR="00267D1C">
              <w:t>.2</w:t>
            </w:r>
            <w:r>
              <w:t>%</w:t>
            </w:r>
          </w:p>
        </w:tc>
      </w:tr>
      <w:tr w:rsidR="00C354E4" w:rsidRPr="00490C53" w14:paraId="527DA3A1" w14:textId="77777777" w:rsidTr="002D323B">
        <w:tblPrEx>
          <w:tblCellMar>
            <w:left w:w="108" w:type="dxa"/>
            <w:right w:w="108" w:type="dxa"/>
          </w:tblCellMar>
        </w:tblPrEx>
        <w:trPr>
          <w:trHeight w:val="902"/>
        </w:trPr>
        <w:tc>
          <w:tcPr>
            <w:tcW w:w="977" w:type="pct"/>
            <w:tcBorders>
              <w:bottom w:val="single" w:sz="4" w:space="0" w:color="0054BA" w:themeColor="accent2"/>
            </w:tcBorders>
            <w:noWrap/>
            <w:vAlign w:val="center"/>
          </w:tcPr>
          <w:p w14:paraId="6C4F238C" w14:textId="33B44827" w:rsidR="009D5C73" w:rsidRPr="00490C53" w:rsidRDefault="009D5C73" w:rsidP="00C354E4">
            <w:pPr>
              <w:pStyle w:val="Tabletext"/>
            </w:pPr>
            <w:r>
              <w:t>CBILS/CLBILS</w:t>
            </w:r>
          </w:p>
        </w:tc>
        <w:tc>
          <w:tcPr>
            <w:tcW w:w="2081" w:type="pct"/>
            <w:tcBorders>
              <w:bottom w:val="single" w:sz="4" w:space="0" w:color="0054BA" w:themeColor="accent2"/>
            </w:tcBorders>
            <w:vAlign w:val="center"/>
          </w:tcPr>
          <w:p w14:paraId="33139AD6" w14:textId="048ACB05" w:rsidR="009D5C73" w:rsidRPr="00490C53" w:rsidRDefault="00267D1C" w:rsidP="00C354E4">
            <w:pPr>
              <w:pStyle w:val="Tabletext"/>
              <w:spacing w:before="0"/>
              <w:jc w:val="center"/>
            </w:pPr>
            <w:r>
              <w:t>4.9</w:t>
            </w:r>
            <w:r w:rsidR="009D5C73">
              <w:t>%</w:t>
            </w:r>
          </w:p>
        </w:tc>
        <w:tc>
          <w:tcPr>
            <w:tcW w:w="0" w:type="pct"/>
            <w:tcBorders>
              <w:bottom w:val="single" w:sz="4" w:space="0" w:color="0054BA" w:themeColor="accent2"/>
            </w:tcBorders>
            <w:vAlign w:val="center"/>
          </w:tcPr>
          <w:p w14:paraId="1227C9A7" w14:textId="5B9B3D75" w:rsidR="009D5C73" w:rsidRPr="00490C53" w:rsidRDefault="00267D1C" w:rsidP="00C354E4">
            <w:pPr>
              <w:pStyle w:val="Tabletext"/>
              <w:spacing w:before="0"/>
              <w:jc w:val="center"/>
            </w:pPr>
            <w:r>
              <w:t>0.6</w:t>
            </w:r>
            <w:r w:rsidR="009D5C73">
              <w:t>%</w:t>
            </w:r>
          </w:p>
        </w:tc>
      </w:tr>
    </w:tbl>
    <w:p w14:paraId="1D51DD15" w14:textId="38F00101" w:rsidR="009D5C73" w:rsidRPr="00490C53" w:rsidRDefault="009D5C73" w:rsidP="009D5C73">
      <w:pPr>
        <w:pStyle w:val="Caption"/>
      </w:pPr>
      <w:r w:rsidRPr="00490C53">
        <w:t>Source: London Economics’ analysis of IDBR data</w:t>
      </w:r>
      <w:r w:rsidR="00D56101">
        <w:t xml:space="preserve">, BBB Management Information and BBB Portal Data. </w:t>
      </w:r>
    </w:p>
    <w:p w14:paraId="26293295" w14:textId="75ADDF28" w:rsidR="00EC0454" w:rsidRPr="00490C53" w:rsidRDefault="00EC0454" w:rsidP="00EC0454">
      <w:r w:rsidRPr="00490C53">
        <w:t xml:space="preserve">Comparing the counterfactual </w:t>
      </w:r>
      <w:r w:rsidR="004550ED">
        <w:t>closure</w:t>
      </w:r>
      <w:r w:rsidR="004550ED" w:rsidRPr="00490C53">
        <w:t xml:space="preserve"> </w:t>
      </w:r>
      <w:r w:rsidRPr="00490C53">
        <w:t xml:space="preserve">rate with the </w:t>
      </w:r>
      <w:r w:rsidR="004550ED">
        <w:t>closure</w:t>
      </w:r>
      <w:r w:rsidR="004550ED" w:rsidRPr="00490C53">
        <w:t xml:space="preserve"> </w:t>
      </w:r>
      <w:r w:rsidRPr="00490C53">
        <w:t xml:space="preserve">rates among borrowers, it is estimated that an additional </w:t>
      </w:r>
      <w:r w:rsidR="00C23DBD">
        <w:t>5.0%-</w:t>
      </w:r>
      <w:r w:rsidR="00B2046B">
        <w:t>6</w:t>
      </w:r>
      <w:r w:rsidR="00C23DBD">
        <w:t>.5</w:t>
      </w:r>
      <w:r w:rsidRPr="00490C53">
        <w:t>%</w:t>
      </w:r>
      <w:r w:rsidR="008917C5">
        <w:rPr>
          <w:rStyle w:val="FootnoteReference"/>
        </w:rPr>
        <w:footnoteReference w:id="75"/>
      </w:r>
      <w:r w:rsidRPr="00490C53">
        <w:t xml:space="preserve"> of all BBLS borrowers (i.e. around </w:t>
      </w:r>
      <w:r w:rsidR="00C23DBD">
        <w:t>74,000-</w:t>
      </w:r>
      <w:proofErr w:type="gramStart"/>
      <w:r w:rsidR="00C23DBD">
        <w:t xml:space="preserve">96,000 </w:t>
      </w:r>
      <w:r w:rsidRPr="00490C53">
        <w:t xml:space="preserve"> businesses</w:t>
      </w:r>
      <w:proofErr w:type="gramEnd"/>
      <w:r w:rsidR="00C23DBD">
        <w:rPr>
          <w:rStyle w:val="FootnoteReference"/>
        </w:rPr>
        <w:footnoteReference w:id="76"/>
      </w:r>
      <w:r w:rsidR="00E83C16">
        <w:t xml:space="preserve"> </w:t>
      </w:r>
      <w:r w:rsidRPr="00490C53">
        <w:rPr>
          <w:rStyle w:val="FootnoteReference"/>
        </w:rPr>
        <w:footnoteReference w:id="77"/>
      </w:r>
      <w:r w:rsidRPr="00490C53">
        <w:t>) and 4</w:t>
      </w:r>
      <w:r w:rsidR="00C23DBD">
        <w:t>.0</w:t>
      </w:r>
      <w:r w:rsidRPr="00490C53">
        <w:t>%</w:t>
      </w:r>
      <w:r w:rsidR="00C23DBD">
        <w:t>-4.7%</w:t>
      </w:r>
      <w:r w:rsidR="008917C5">
        <w:rPr>
          <w:rStyle w:val="FootnoteReference"/>
        </w:rPr>
        <w:footnoteReference w:id="78"/>
      </w:r>
      <w:r w:rsidRPr="00490C53">
        <w:t xml:space="preserve"> of CBILS/CLBILS borrowers (i.e. around 3</w:t>
      </w:r>
      <w:r w:rsidR="00C354E4">
        <w:t>,000</w:t>
      </w:r>
      <w:r w:rsidR="00C23DBD">
        <w:t>-3,500</w:t>
      </w:r>
      <w:r w:rsidRPr="00490C53">
        <w:t xml:space="preserve"> businesses</w:t>
      </w:r>
      <w:r w:rsidR="00C23DBD">
        <w:rPr>
          <w:rStyle w:val="FootnoteReference"/>
        </w:rPr>
        <w:footnoteReference w:id="79"/>
      </w:r>
      <w:r w:rsidR="00B04754">
        <w:t xml:space="preserve"> </w:t>
      </w:r>
      <w:r w:rsidRPr="00490C53">
        <w:rPr>
          <w:rStyle w:val="FootnoteReference"/>
        </w:rPr>
        <w:footnoteReference w:id="80"/>
      </w:r>
      <w:r w:rsidRPr="00490C53">
        <w:t xml:space="preserve">) could have ceased trading between April 2020 and March 2021 had the Covid-19 Loan Guarantee Schemes not been in place. </w:t>
      </w:r>
      <w:r w:rsidR="00F94F6B">
        <w:t>I</w:t>
      </w:r>
      <w:r w:rsidRPr="00490C53">
        <w:t>t is estimated that the</w:t>
      </w:r>
      <w:r w:rsidR="00F94F6B">
        <w:t xml:space="preserve">se borrowers account for approximately </w:t>
      </w:r>
      <w:r w:rsidR="00C23DBD">
        <w:t xml:space="preserve">256,000-326,000 pre-pandemic </w:t>
      </w:r>
      <w:r w:rsidR="00C23DBD" w:rsidRPr="00490C53">
        <w:t>jobs</w:t>
      </w:r>
      <w:r w:rsidR="00C23DBD">
        <w:t>.</w:t>
      </w:r>
      <w:r w:rsidR="00C23DBD">
        <w:rPr>
          <w:rStyle w:val="FootnoteReference"/>
        </w:rPr>
        <w:footnoteReference w:id="81"/>
      </w:r>
      <w:r w:rsidR="00E83C16">
        <w:t xml:space="preserve"> </w:t>
      </w:r>
      <w:r w:rsidRPr="00490C53">
        <w:rPr>
          <w:rStyle w:val="FootnoteReference"/>
        </w:rPr>
        <w:footnoteReference w:id="82"/>
      </w:r>
      <w:r w:rsidR="00C72C65">
        <w:t xml:space="preserve"> This analysis includes business </w:t>
      </w:r>
      <w:r w:rsidR="004550ED">
        <w:t xml:space="preserve">closures </w:t>
      </w:r>
      <w:r w:rsidR="00C72C65">
        <w:t xml:space="preserve">up until March 2021, so it may be that these estimates will change with additional instances of business </w:t>
      </w:r>
      <w:r w:rsidR="004550ED">
        <w:t>closure</w:t>
      </w:r>
      <w:r w:rsidR="00C72C65">
        <w:t xml:space="preserve">. Further analysis, covering business </w:t>
      </w:r>
      <w:r w:rsidR="004550ED">
        <w:t xml:space="preserve">closure </w:t>
      </w:r>
      <w:r w:rsidR="00C72C65">
        <w:t xml:space="preserve">up until March 2022 and using the same data source, will be presented in the Year 3 report. </w:t>
      </w:r>
    </w:p>
    <w:p w14:paraId="1586532D" w14:textId="6F777C0E" w:rsidR="00EC0454" w:rsidRDefault="00EC0454" w:rsidP="00EC0454">
      <w:proofErr w:type="gramStart"/>
      <w:r w:rsidRPr="00490C53">
        <w:lastRenderedPageBreak/>
        <w:t>In order to</w:t>
      </w:r>
      <w:proofErr w:type="gramEnd"/>
      <w:r w:rsidRPr="00490C53">
        <w:t xml:space="preserve"> explore whether results vary across sectors or geographically, the survival impact in terms of business </w:t>
      </w:r>
      <w:r w:rsidR="004550ED">
        <w:t>closure</w:t>
      </w:r>
      <w:r w:rsidR="004550ED" w:rsidRPr="00490C53">
        <w:t xml:space="preserve"> </w:t>
      </w:r>
      <w:r w:rsidRPr="00490C53">
        <w:t>rates was also estimated separately across these dimensions. Across regions, the impact (</w:t>
      </w:r>
      <w:proofErr w:type="gramStart"/>
      <w:r w:rsidRPr="00490C53">
        <w:t>i.e.</w:t>
      </w:r>
      <w:proofErr w:type="gramEnd"/>
      <w:r w:rsidRPr="00490C53">
        <w:t xml:space="preserve"> the difference between </w:t>
      </w:r>
      <w:r w:rsidR="004550ED">
        <w:t>closure</w:t>
      </w:r>
      <w:r w:rsidR="004550ED" w:rsidRPr="00490C53">
        <w:t xml:space="preserve"> </w:t>
      </w:r>
      <w:r w:rsidRPr="00490C53">
        <w:t xml:space="preserve">rates among borrowers and non-borrowers) is broadly comparable, although lower in Northern Ireland in the case of both the BBLS and CBILS/CLBILS. Across sectors, the impact is somewhat higher in the Construction sector </w:t>
      </w:r>
      <w:r w:rsidR="00DC6E31">
        <w:t xml:space="preserve">in the case of CBILS/CLBILS, </w:t>
      </w:r>
      <w:r w:rsidRPr="00490C53">
        <w:t>and lower in “Other Services” in the case of the BBLS.</w:t>
      </w:r>
      <w:r w:rsidRPr="00490C53">
        <w:rPr>
          <w:rStyle w:val="FootnoteReference"/>
        </w:rPr>
        <w:footnoteReference w:id="83"/>
      </w:r>
    </w:p>
    <w:p w14:paraId="471254DF" w14:textId="55DF1421" w:rsidR="00050102" w:rsidRDefault="00AF64C5" w:rsidP="00EC0454">
      <w:r>
        <w:t xml:space="preserve">The estimated survival impact of the Covid-19 Loan Guarantee Schemes decreases with size. </w:t>
      </w:r>
      <w:r w:rsidR="007D450A">
        <w:t xml:space="preserve">In all sectors </w:t>
      </w:r>
      <w:r w:rsidR="007D450A" w:rsidRPr="007D450A">
        <w:t>and for both BBLS and CBILS/CLBILS</w:t>
      </w:r>
      <w:r w:rsidR="007D450A">
        <w:t>, t</w:t>
      </w:r>
      <w:r>
        <w:t xml:space="preserve">he largest difference between the counterfactual and observed </w:t>
      </w:r>
      <w:r w:rsidR="004550ED">
        <w:t xml:space="preserve">closure </w:t>
      </w:r>
      <w:r>
        <w:t xml:space="preserve">rates is seen among either businesses with turnover of less than £50,000 or businesses with turnover between £50,000 and £100,000. </w:t>
      </w:r>
      <w:r w:rsidR="00050102">
        <w:t xml:space="preserve">The relatively </w:t>
      </w:r>
      <w:proofErr w:type="gramStart"/>
      <w:r w:rsidR="00050102">
        <w:t>large estimated</w:t>
      </w:r>
      <w:proofErr w:type="gramEnd"/>
      <w:r w:rsidR="00050102">
        <w:t xml:space="preserve"> survival impacts (approximately 10%) for smaller CBILS/CLBILS borrowers (with turnover under £100,000) may suggest that CBILS was effective in supporting </w:t>
      </w:r>
      <w:r w:rsidR="006935DF">
        <w:t xml:space="preserve">small </w:t>
      </w:r>
      <w:r w:rsidR="00050102">
        <w:t>business</w:t>
      </w:r>
      <w:r w:rsidR="006935DF">
        <w:t>es’</w:t>
      </w:r>
      <w:r w:rsidR="00050102">
        <w:t xml:space="preserve"> survival in its first few weeks, prior to the launch of the BBLS. </w:t>
      </w:r>
    </w:p>
    <w:p w14:paraId="40EB0F8B" w14:textId="1FCF7CC2" w:rsidR="00BD0987" w:rsidRPr="00490C53" w:rsidRDefault="00AF64C5" w:rsidP="00EC0454">
      <w:r>
        <w:t xml:space="preserve">In contrast, the differences between the counterfactual and observed </w:t>
      </w:r>
      <w:r w:rsidR="004550ED">
        <w:t xml:space="preserve">closure </w:t>
      </w:r>
      <w:r>
        <w:t>rates for CBILS/CLBILS borrowers are very low when turnover is greater than £5 million</w:t>
      </w:r>
      <w:r w:rsidR="007D450A">
        <w:t>, which is consistent across all sectors</w:t>
      </w:r>
      <w:r>
        <w:t xml:space="preserve">. Looking at BBLS, </w:t>
      </w:r>
      <w:r w:rsidRPr="00D94DE8">
        <w:t xml:space="preserve">the </w:t>
      </w:r>
      <w:r>
        <w:t>smallest</w:t>
      </w:r>
      <w:r w:rsidRPr="00D94DE8">
        <w:t xml:space="preserve"> difference between the counterfactual and observed </w:t>
      </w:r>
      <w:r w:rsidR="004550ED">
        <w:t>closure</w:t>
      </w:r>
      <w:r w:rsidR="004550ED" w:rsidRPr="00D94DE8">
        <w:t xml:space="preserve"> </w:t>
      </w:r>
      <w:r w:rsidRPr="00D94DE8">
        <w:t>rates is seen for businesses with</w:t>
      </w:r>
      <w:r>
        <w:t xml:space="preserve"> turnover</w:t>
      </w:r>
      <w:r w:rsidRPr="00D94DE8">
        <w:t xml:space="preserve"> between £1 million and £5 million, which is the largest turnover band included in the BBLS analy</w:t>
      </w:r>
      <w:r>
        <w:t>sis</w:t>
      </w:r>
      <w:r w:rsidR="007D450A" w:rsidRPr="007D450A">
        <w:t>, for businesses in the Business Services</w:t>
      </w:r>
      <w:r w:rsidR="007D450A">
        <w:t xml:space="preserve">, </w:t>
      </w:r>
      <w:r w:rsidR="007D450A" w:rsidRPr="007D450A">
        <w:t>Primary/Manufacturing and Other Services sectors</w:t>
      </w:r>
      <w:r>
        <w:t>. These findings suggest that the Covid-19 Loan Guarantee Schemes tended to have the greatest impact on survival for the smallest businesses.</w:t>
      </w:r>
    </w:p>
    <w:p w14:paraId="130009A5" w14:textId="2CA27A3B" w:rsidR="00EC0454" w:rsidRPr="005D5D23" w:rsidRDefault="00EC0454" w:rsidP="00236B73">
      <w:bookmarkStart w:id="141" w:name="_Ref138336201"/>
      <w:r w:rsidRPr="00236B73">
        <w:rPr>
          <w:color w:val="142855" w:themeColor="text2"/>
        </w:rPr>
        <w:t>Comparison with Year 1 survey-based results</w:t>
      </w:r>
      <w:bookmarkEnd w:id="141"/>
    </w:p>
    <w:p w14:paraId="037EC335" w14:textId="679CBD26" w:rsidR="00EC0454" w:rsidRPr="00490C53" w:rsidRDefault="00EC0454" w:rsidP="00EC0454">
      <w:bookmarkStart w:id="142" w:name="_Hlk139317652"/>
      <w:r w:rsidRPr="00490C53">
        <w:t xml:space="preserve">The Year 1 survey-based analysis estimated that an additional </w:t>
      </w:r>
      <w:r w:rsidR="00B2046B">
        <w:t>10</w:t>
      </w:r>
      <w:r w:rsidRPr="00490C53">
        <w:t>%-34% of BBLS borrowers (i.e. 146</w:t>
      </w:r>
      <w:r w:rsidR="00C354E4">
        <w:t>,000</w:t>
      </w:r>
      <w:r w:rsidRPr="00490C53">
        <w:t xml:space="preserve"> to 505</w:t>
      </w:r>
      <w:r w:rsidR="00C354E4">
        <w:t>,000</w:t>
      </w:r>
      <w:r w:rsidRPr="00490C53">
        <w:t xml:space="preserve"> businesses) and </w:t>
      </w:r>
      <w:r w:rsidR="00B2046B">
        <w:t>7</w:t>
      </w:r>
      <w:r w:rsidRPr="00490C53">
        <w:t>%-28% of CBILS/CLBILS borrowers (i.e. 5</w:t>
      </w:r>
      <w:r w:rsidR="00C354E4">
        <w:t>,000</w:t>
      </w:r>
      <w:r w:rsidRPr="00490C53">
        <w:t xml:space="preserve"> to </w:t>
      </w:r>
      <w:r w:rsidR="00184D97">
        <w:t>21</w:t>
      </w:r>
      <w:r w:rsidR="00C354E4">
        <w:t>,000</w:t>
      </w:r>
      <w:r w:rsidRPr="00490C53">
        <w:t xml:space="preserve"> businesses) could have </w:t>
      </w:r>
      <w:r w:rsidR="00915104">
        <w:t>permanently closed</w:t>
      </w:r>
      <w:r w:rsidRPr="00490C53">
        <w:t xml:space="preserve"> </w:t>
      </w:r>
      <w:r w:rsidR="00D748F4">
        <w:t>by December</w:t>
      </w:r>
      <w:r w:rsidR="00D748F4" w:rsidRPr="00490C53">
        <w:t xml:space="preserve"> </w:t>
      </w:r>
      <w:r w:rsidRPr="00490C53">
        <w:t>2020 had the Covid-19 Loan Guarantee Schemes not been in place</w:t>
      </w:r>
      <w:r w:rsidR="00675D91">
        <w:t xml:space="preserve">, accounting for </w:t>
      </w:r>
      <w:r w:rsidRPr="00490C53">
        <w:t>0.5 million to 2.9 million jobs.</w:t>
      </w:r>
      <w:r w:rsidRPr="00490C53">
        <w:rPr>
          <w:rStyle w:val="FootnoteReference"/>
        </w:rPr>
        <w:footnoteReference w:id="84"/>
      </w:r>
      <w:r w:rsidRPr="00490C53">
        <w:t xml:space="preserve"> The results </w:t>
      </w:r>
      <w:r w:rsidR="002F60FA">
        <w:t xml:space="preserve">of the secondary analysis </w:t>
      </w:r>
      <w:r w:rsidRPr="00490C53">
        <w:t xml:space="preserve">therefore suggest a lower impact of the Covid-19 Loan </w:t>
      </w:r>
      <w:r w:rsidRPr="00490C53">
        <w:lastRenderedPageBreak/>
        <w:t>Guarantee Schemes</w:t>
      </w:r>
      <w:r w:rsidR="00915104">
        <w:t xml:space="preserve"> on business survival than the survey-based analysis presented in the Year 1 report</w:t>
      </w:r>
      <w:r w:rsidRPr="00490C53">
        <w:t>.</w:t>
      </w:r>
    </w:p>
    <w:p w14:paraId="31136793" w14:textId="03113925" w:rsidR="00EC0454" w:rsidRPr="00846F78" w:rsidRDefault="00EC0454" w:rsidP="00EC0454">
      <w:pPr>
        <w:rPr>
          <w:rFonts w:cstheme="minorHAnsi"/>
        </w:rPr>
      </w:pPr>
      <w:r w:rsidRPr="00490C53">
        <w:t xml:space="preserve">There could be </w:t>
      </w:r>
      <w:proofErr w:type="gramStart"/>
      <w:r w:rsidRPr="00490C53">
        <w:t>a number of</w:t>
      </w:r>
      <w:proofErr w:type="gramEnd"/>
      <w:r w:rsidRPr="00490C53">
        <w:t xml:space="preserve"> reasons that </w:t>
      </w:r>
      <w:r w:rsidRPr="00846F78">
        <w:rPr>
          <w:rFonts w:cstheme="minorHAnsi"/>
        </w:rPr>
        <w:t xml:space="preserve">the estimates from the </w:t>
      </w:r>
      <w:r w:rsidR="002F60FA">
        <w:rPr>
          <w:rFonts w:cstheme="minorHAnsi"/>
        </w:rPr>
        <w:t>secondary analysis</w:t>
      </w:r>
      <w:r w:rsidR="002F60FA" w:rsidRPr="00846F78">
        <w:rPr>
          <w:rFonts w:cstheme="minorHAnsi"/>
        </w:rPr>
        <w:t xml:space="preserve"> </w:t>
      </w:r>
      <w:r w:rsidRPr="00846F78">
        <w:rPr>
          <w:rFonts w:cstheme="minorHAnsi"/>
        </w:rPr>
        <w:t xml:space="preserve">are lower than those from the Year 1 </w:t>
      </w:r>
      <w:r w:rsidR="002F60FA">
        <w:rPr>
          <w:rFonts w:cstheme="minorHAnsi"/>
        </w:rPr>
        <w:t xml:space="preserve">survey </w:t>
      </w:r>
      <w:r w:rsidRPr="00846F78">
        <w:rPr>
          <w:rFonts w:cstheme="minorHAnsi"/>
        </w:rPr>
        <w:t xml:space="preserve">analysis. Indeed, these exercises are based on different datasets and approaches. The Year 1 analysis relied on primary data and borrowers’ self-reported likelihood of closing in the absence of Covid-19 Loan Guarantee Schemes. However, this assessment of a hypothetical scenario carries some difficulties – for instance, businesses may not perfectly recall their financial situation during the pandemic, or what actions they may have taken in the absence of the Covid-19 Loan Guarantee Schemes, all of which would have affected their ‘counterfactual’ likelihood of closure. Moreover, the upper-bound estimate of the Year 1 findings also includes businesses that reported that they would have been ‘very likely’ or ‘fairly likely’ to close, not just those that reported that they would ‘definitely’ have closed. </w:t>
      </w:r>
    </w:p>
    <w:p w14:paraId="50794965" w14:textId="46C9E7DB" w:rsidR="00EC0454" w:rsidRDefault="00EC0454" w:rsidP="00EC0454">
      <w:pPr>
        <w:rPr>
          <w:rFonts w:cstheme="minorHAnsi"/>
        </w:rPr>
      </w:pPr>
      <w:r w:rsidRPr="00846F78">
        <w:rPr>
          <w:rFonts w:cstheme="minorHAnsi"/>
        </w:rPr>
        <w:t xml:space="preserve">In contrast, the </w:t>
      </w:r>
      <w:r w:rsidR="00D50EC9">
        <w:rPr>
          <w:rFonts w:cstheme="minorHAnsi"/>
        </w:rPr>
        <w:t xml:space="preserve">secondary analysis </w:t>
      </w:r>
      <w:r w:rsidRPr="00846F78">
        <w:rPr>
          <w:rFonts w:cstheme="minorHAnsi"/>
        </w:rPr>
        <w:t xml:space="preserve">estimated borrowers’ counterfactual likelihood of closure in the absence of the Covid-19 Loan Guarantee Schemes based on a matched control group of non-borrowers, and relied on observed, secondary data (i.e. IDBR, BBB Portal data </w:t>
      </w:r>
      <w:r w:rsidR="00915104">
        <w:rPr>
          <w:rFonts w:cstheme="minorHAnsi"/>
        </w:rPr>
        <w:t>and BBB Management Information</w:t>
      </w:r>
      <w:r w:rsidRPr="00846F78">
        <w:rPr>
          <w:rFonts w:cstheme="minorHAnsi"/>
        </w:rPr>
        <w:t>) rather than self-reported information.</w:t>
      </w:r>
      <w:r w:rsidRPr="00846F78">
        <w:rPr>
          <w:rStyle w:val="FootnoteReference"/>
          <w:rFonts w:cstheme="minorHAnsi"/>
        </w:rPr>
        <w:footnoteReference w:id="85"/>
      </w:r>
      <w:r w:rsidRPr="00846F78">
        <w:rPr>
          <w:rFonts w:cstheme="minorHAnsi"/>
        </w:rPr>
        <w:t xml:space="preserve"> In addition, </w:t>
      </w:r>
      <w:r w:rsidR="009D22F5">
        <w:rPr>
          <w:rFonts w:cstheme="minorHAnsi"/>
        </w:rPr>
        <w:t>t</w:t>
      </w:r>
      <w:r w:rsidRPr="00846F78">
        <w:rPr>
          <w:rFonts w:cstheme="minorHAnsi"/>
        </w:rPr>
        <w:t xml:space="preserve">he matched sample of IDBR data has a sample size of the order of tens of thousands to hundreds of thousands of businesses, whereas the survey was based on analysis of a sample of the order of hundreds </w:t>
      </w:r>
      <w:r w:rsidR="004E022A">
        <w:rPr>
          <w:rFonts w:cstheme="minorHAnsi"/>
        </w:rPr>
        <w:t>of</w:t>
      </w:r>
      <w:r w:rsidRPr="00846F78">
        <w:rPr>
          <w:rFonts w:cstheme="minorHAnsi"/>
        </w:rPr>
        <w:t xml:space="preserve"> businesses.</w:t>
      </w:r>
    </w:p>
    <w:p w14:paraId="767D5C3A" w14:textId="2141FE0D" w:rsidR="004426D5" w:rsidRPr="00846F78" w:rsidRDefault="004426D5" w:rsidP="00EC0454">
      <w:r w:rsidRPr="004426D5">
        <w:t xml:space="preserve">Furthermore, it is possible that </w:t>
      </w:r>
      <w:r w:rsidR="00D74829">
        <w:t xml:space="preserve">fraud investigations or </w:t>
      </w:r>
      <w:r w:rsidRPr="004426D5">
        <w:t xml:space="preserve">the temporary measures that were put in place as part of the Corporate Insolvency and Governance Act 2020 </w:t>
      </w:r>
      <w:r w:rsidR="00D74829">
        <w:t xml:space="preserve">(CIGA 2020) </w:t>
      </w:r>
      <w:r w:rsidRPr="004426D5">
        <w:t xml:space="preserve">may have delayed the </w:t>
      </w:r>
      <w:r w:rsidR="004550ED">
        <w:t>closure</w:t>
      </w:r>
      <w:r w:rsidR="004550ED" w:rsidRPr="004426D5">
        <w:t xml:space="preserve">s </w:t>
      </w:r>
      <w:r w:rsidRPr="004426D5">
        <w:t xml:space="preserve">of certain businesses. In that sense, the cut-off for counting businesses as having </w:t>
      </w:r>
      <w:r w:rsidR="004550ED">
        <w:t>permanently closed</w:t>
      </w:r>
      <w:r w:rsidR="004550ED" w:rsidRPr="004426D5">
        <w:t xml:space="preserve"> </w:t>
      </w:r>
      <w:r w:rsidRPr="004426D5">
        <w:t xml:space="preserve">(up to March 2021) may be too early for delayed business </w:t>
      </w:r>
      <w:r w:rsidR="004550ED">
        <w:t>closure</w:t>
      </w:r>
      <w:r w:rsidR="004550ED" w:rsidRPr="004426D5">
        <w:t xml:space="preserve">s </w:t>
      </w:r>
      <w:r w:rsidRPr="004426D5">
        <w:t>(if any) to be accounted for, given</w:t>
      </w:r>
      <w:r w:rsidR="00D74829">
        <w:t xml:space="preserve"> ongoing fraud investigations and the fact</w:t>
      </w:r>
      <w:r w:rsidRPr="004426D5">
        <w:t xml:space="preserve"> that the temporary measures </w:t>
      </w:r>
      <w:r w:rsidR="00D74829">
        <w:t xml:space="preserve">as part of CIGA 2020 </w:t>
      </w:r>
      <w:r w:rsidRPr="004426D5">
        <w:t xml:space="preserve">were not fully removed until March 2022. </w:t>
      </w:r>
      <w:r w:rsidR="00D74829">
        <w:t xml:space="preserve">The net impact of these two types of delayed closures could be to either increase or decrease the </w:t>
      </w:r>
      <w:r w:rsidRPr="004426D5">
        <w:t xml:space="preserve">estimated impacts of the Covid-19 Loan Guarantee Schemes on business </w:t>
      </w:r>
      <w:r w:rsidR="004550ED">
        <w:t>closure</w:t>
      </w:r>
      <w:r w:rsidR="004550ED" w:rsidRPr="004426D5">
        <w:t>s</w:t>
      </w:r>
      <w:r w:rsidRPr="004426D5">
        <w:t>.</w:t>
      </w:r>
      <w:r w:rsidR="00D74829">
        <w:t xml:space="preserve"> Indeed, on one hand, closures held up by fraud investigations are likely to lower the estimated impact of the BBLS scheme (as that would increase the closure rate of borrowers). On the other hand, if temporary measures under CIGA 2020 predominantly delayed closures of non-borrowers, this could </w:t>
      </w:r>
      <w:r w:rsidR="00D74829">
        <w:lastRenderedPageBreak/>
        <w:t xml:space="preserve">increase the estimated impact of the Covid-19 Loan Guarantee Schemes (as that would increase the closure rate of non-borrowers). </w:t>
      </w:r>
    </w:p>
    <w:bookmarkEnd w:id="142"/>
    <w:p w14:paraId="58017D1C" w14:textId="0ECFDC01" w:rsidR="00EC0454" w:rsidRPr="00490C53" w:rsidRDefault="00EC0454" w:rsidP="003A3444">
      <w:pPr>
        <w:pStyle w:val="Heading5"/>
      </w:pPr>
      <w:r w:rsidRPr="00490C53">
        <w:t xml:space="preserve">Table </w:t>
      </w:r>
      <w:r w:rsidRPr="00846F78">
        <w:fldChar w:fldCharType="begin"/>
      </w:r>
      <w:r w:rsidRPr="00490C53">
        <w:instrText xml:space="preserve"> SEQ Table \* ARABIC </w:instrText>
      </w:r>
      <w:r w:rsidRPr="00846F78">
        <w:fldChar w:fldCharType="separate"/>
      </w:r>
      <w:r w:rsidR="00397D49">
        <w:rPr>
          <w:noProof/>
        </w:rPr>
        <w:t>13</w:t>
      </w:r>
      <w:r w:rsidRPr="00846F78">
        <w:fldChar w:fldCharType="end"/>
      </w:r>
      <w:r w:rsidRPr="00490C53">
        <w:t xml:space="preserve"> : Impact </w:t>
      </w:r>
      <w:r w:rsidRPr="00846F78">
        <w:t>on business survival: Year 1 survey-based estimate</w:t>
      </w:r>
      <w:r w:rsidR="008C65FD">
        <w:t>s</w:t>
      </w:r>
      <w:r w:rsidRPr="00846F78">
        <w:t xml:space="preserve"> compared to </w:t>
      </w:r>
      <w:r w:rsidR="009D7D5A">
        <w:t>secondary analysis</w:t>
      </w:r>
      <w:r w:rsidR="009D7D5A" w:rsidRPr="00846F78">
        <w:t xml:space="preserve"> </w:t>
      </w:r>
      <w:r w:rsidRPr="00846F78">
        <w:t>estimate</w:t>
      </w:r>
      <w:r w:rsidR="008C65FD">
        <w:t>s</w:t>
      </w:r>
    </w:p>
    <w:tbl>
      <w:tblPr>
        <w:tblStyle w:val="TableGrid"/>
        <w:tblW w:w="5000" w:type="pct"/>
        <w:tblLayout w:type="fixed"/>
        <w:tblLook w:val="04A0" w:firstRow="1" w:lastRow="0" w:firstColumn="1" w:lastColumn="0" w:noHBand="0" w:noVBand="1"/>
      </w:tblPr>
      <w:tblGrid>
        <w:gridCol w:w="2788"/>
        <w:gridCol w:w="3682"/>
        <w:gridCol w:w="3684"/>
      </w:tblGrid>
      <w:tr w:rsidR="00EC0454" w:rsidRPr="00490C53" w14:paraId="429B2409" w14:textId="77777777" w:rsidTr="00BD366D">
        <w:trPr>
          <w:cnfStyle w:val="100000000000" w:firstRow="1" w:lastRow="0" w:firstColumn="0" w:lastColumn="0" w:oddVBand="0" w:evenVBand="0" w:oddHBand="0" w:evenHBand="0" w:firstRowFirstColumn="0" w:firstRowLastColumn="0" w:lastRowFirstColumn="0" w:lastRowLastColumn="0"/>
          <w:tblHeader/>
        </w:trPr>
        <w:tc>
          <w:tcPr>
            <w:tcW w:w="1373" w:type="pct"/>
          </w:tcPr>
          <w:p w14:paraId="4C2977B5" w14:textId="77777777" w:rsidR="00EC0454" w:rsidRPr="00490C53" w:rsidRDefault="00EC0454" w:rsidP="003A3444">
            <w:pPr>
              <w:pStyle w:val="Tablecolumnheading-inkblue"/>
              <w:rPr>
                <w:b w:val="0"/>
                <w:color w:val="FFFFFF" w:themeColor="background1"/>
                <w:sz w:val="22"/>
                <w:szCs w:val="20"/>
              </w:rPr>
            </w:pPr>
            <w:r w:rsidRPr="00846F78">
              <w:rPr>
                <w:color w:val="FFFFFF" w:themeColor="background1"/>
              </w:rPr>
              <w:t>Scheme</w:t>
            </w:r>
          </w:p>
        </w:tc>
        <w:tc>
          <w:tcPr>
            <w:tcW w:w="1813" w:type="pct"/>
            <w:vAlign w:val="center"/>
          </w:tcPr>
          <w:p w14:paraId="6DE2411A" w14:textId="07AD33B0" w:rsidR="00EC0454" w:rsidRPr="00490C53" w:rsidRDefault="00EC0454" w:rsidP="003A3444">
            <w:pPr>
              <w:pStyle w:val="Tablecolumnheading-inkblue"/>
              <w:jc w:val="center"/>
              <w:rPr>
                <w:bCs/>
                <w:color w:val="FFFFFF" w:themeColor="background1"/>
                <w:sz w:val="22"/>
                <w:szCs w:val="20"/>
              </w:rPr>
            </w:pPr>
            <w:r w:rsidRPr="00846F78">
              <w:rPr>
                <w:color w:val="FFFFFF" w:themeColor="background1"/>
              </w:rPr>
              <w:t xml:space="preserve">Estimated impact in </w:t>
            </w:r>
            <w:r w:rsidR="00BD075E">
              <w:rPr>
                <w:color w:val="FFFFFF" w:themeColor="background1"/>
              </w:rPr>
              <w:t>Y</w:t>
            </w:r>
            <w:r w:rsidRPr="00846F78">
              <w:rPr>
                <w:color w:val="FFFFFF" w:themeColor="background1"/>
              </w:rPr>
              <w:t>ear 1 survey-based analysis</w:t>
            </w:r>
          </w:p>
        </w:tc>
        <w:tc>
          <w:tcPr>
            <w:tcW w:w="1814" w:type="pct"/>
            <w:vAlign w:val="center"/>
          </w:tcPr>
          <w:p w14:paraId="1BE8874C" w14:textId="4F486605" w:rsidR="00EC0454" w:rsidRPr="00490C53" w:rsidRDefault="00EC0454" w:rsidP="003A3444">
            <w:pPr>
              <w:pStyle w:val="Tablecolumnheading-inkblue"/>
              <w:jc w:val="center"/>
              <w:rPr>
                <w:bCs/>
                <w:color w:val="FFFFFF" w:themeColor="background1"/>
                <w:sz w:val="22"/>
                <w:szCs w:val="20"/>
              </w:rPr>
            </w:pPr>
            <w:r w:rsidRPr="00846F78">
              <w:rPr>
                <w:color w:val="FFFFFF" w:themeColor="background1"/>
              </w:rPr>
              <w:t xml:space="preserve">Estimated impact in </w:t>
            </w:r>
            <w:r w:rsidR="008C65FD">
              <w:rPr>
                <w:color w:val="FFFFFF" w:themeColor="background1"/>
              </w:rPr>
              <w:t>secondary</w:t>
            </w:r>
            <w:r w:rsidR="008C65FD" w:rsidRPr="00846F78">
              <w:rPr>
                <w:color w:val="FFFFFF" w:themeColor="background1"/>
              </w:rPr>
              <w:t xml:space="preserve"> </w:t>
            </w:r>
            <w:r w:rsidRPr="00846F78">
              <w:rPr>
                <w:color w:val="FFFFFF" w:themeColor="background1"/>
              </w:rPr>
              <w:t>analysis</w:t>
            </w:r>
          </w:p>
        </w:tc>
      </w:tr>
      <w:tr w:rsidR="00EC0454" w:rsidRPr="00490C53" w14:paraId="75C7DC40" w14:textId="77777777" w:rsidTr="00BD366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73" w:type="pct"/>
          </w:tcPr>
          <w:p w14:paraId="54C2344D" w14:textId="77777777" w:rsidR="00EC0454" w:rsidRPr="00490C53" w:rsidDel="000A1204" w:rsidRDefault="00EC0454" w:rsidP="001C295D">
            <w:pPr>
              <w:pStyle w:val="Tabletext"/>
              <w:keepNext/>
            </w:pPr>
            <w:r w:rsidRPr="00490C53">
              <w:t>BBLS</w:t>
            </w:r>
          </w:p>
        </w:tc>
        <w:tc>
          <w:tcPr>
            <w:tcW w:w="1813" w:type="pct"/>
            <w:vAlign w:val="center"/>
          </w:tcPr>
          <w:p w14:paraId="395D4F4E" w14:textId="5B931479" w:rsidR="00EC0454" w:rsidRPr="00490C53" w:rsidRDefault="00B2046B" w:rsidP="001C295D">
            <w:pPr>
              <w:pStyle w:val="Tabletext"/>
              <w:keepNext/>
              <w:spacing w:before="0"/>
              <w:jc w:val="center"/>
              <w:rPr>
                <w:rStyle w:val="Bold"/>
                <w:b w:val="0"/>
              </w:rPr>
            </w:pPr>
            <w:r>
              <w:t>10</w:t>
            </w:r>
            <w:r w:rsidR="00EC0454" w:rsidRPr="00846F78">
              <w:t>%-34%</w:t>
            </w:r>
          </w:p>
        </w:tc>
        <w:tc>
          <w:tcPr>
            <w:tcW w:w="1814" w:type="pct"/>
            <w:vAlign w:val="center"/>
          </w:tcPr>
          <w:p w14:paraId="4BB83B4D" w14:textId="5C20D09F" w:rsidR="00EC0454" w:rsidRPr="00490C53" w:rsidRDefault="00F955BC" w:rsidP="001C295D">
            <w:pPr>
              <w:pStyle w:val="Tabletext"/>
              <w:keepNext/>
              <w:spacing w:before="0"/>
              <w:jc w:val="center"/>
              <w:rPr>
                <w:rStyle w:val="Bold"/>
                <w:b w:val="0"/>
              </w:rPr>
            </w:pPr>
            <w:r>
              <w:t>5.0%-6.5%</w:t>
            </w:r>
          </w:p>
        </w:tc>
      </w:tr>
      <w:tr w:rsidR="00EC0454" w:rsidRPr="00490C53" w14:paraId="33731B28" w14:textId="77777777" w:rsidTr="00BD366D">
        <w:tblPrEx>
          <w:tblCellMar>
            <w:left w:w="108" w:type="dxa"/>
            <w:right w:w="108" w:type="dxa"/>
          </w:tblCellMar>
        </w:tblPrEx>
        <w:tc>
          <w:tcPr>
            <w:tcW w:w="1373" w:type="pct"/>
            <w:tcBorders>
              <w:bottom w:val="single" w:sz="4" w:space="0" w:color="0054BA" w:themeColor="accent2"/>
            </w:tcBorders>
          </w:tcPr>
          <w:p w14:paraId="0F5976F1" w14:textId="77777777" w:rsidR="00EC0454" w:rsidRPr="00490C53" w:rsidDel="000A1204" w:rsidRDefault="00EC0454" w:rsidP="001C295D">
            <w:pPr>
              <w:pStyle w:val="Tabletext"/>
              <w:keepNext/>
            </w:pPr>
            <w:r w:rsidRPr="00490C53">
              <w:t>CBILS/CLBILS</w:t>
            </w:r>
          </w:p>
        </w:tc>
        <w:tc>
          <w:tcPr>
            <w:tcW w:w="1813" w:type="pct"/>
            <w:tcBorders>
              <w:bottom w:val="single" w:sz="4" w:space="0" w:color="0054BA" w:themeColor="accent2"/>
            </w:tcBorders>
            <w:vAlign w:val="center"/>
          </w:tcPr>
          <w:p w14:paraId="7634C068" w14:textId="2ED8F842" w:rsidR="00EC0454" w:rsidRPr="00490C53" w:rsidRDefault="00B2046B" w:rsidP="001C295D">
            <w:pPr>
              <w:pStyle w:val="Tabletext"/>
              <w:keepNext/>
              <w:spacing w:before="0"/>
              <w:jc w:val="center"/>
              <w:rPr>
                <w:rStyle w:val="Bold"/>
                <w:b w:val="0"/>
              </w:rPr>
            </w:pPr>
            <w:r>
              <w:t>7</w:t>
            </w:r>
            <w:r w:rsidR="00EC0454" w:rsidRPr="00846F78">
              <w:t>%-28%</w:t>
            </w:r>
          </w:p>
        </w:tc>
        <w:tc>
          <w:tcPr>
            <w:tcW w:w="1814" w:type="pct"/>
            <w:tcBorders>
              <w:bottom w:val="single" w:sz="4" w:space="0" w:color="0054BA" w:themeColor="accent2"/>
            </w:tcBorders>
            <w:vAlign w:val="center"/>
          </w:tcPr>
          <w:p w14:paraId="60C65336" w14:textId="1C084259" w:rsidR="00EC0454" w:rsidRPr="00490C53" w:rsidRDefault="00EC0454" w:rsidP="001C295D">
            <w:pPr>
              <w:pStyle w:val="Tabletext"/>
              <w:keepNext/>
              <w:spacing w:before="0"/>
              <w:jc w:val="center"/>
              <w:rPr>
                <w:rStyle w:val="Bold"/>
                <w:b w:val="0"/>
              </w:rPr>
            </w:pPr>
            <w:r w:rsidRPr="00846F78">
              <w:t>4</w:t>
            </w:r>
            <w:r w:rsidR="00F955BC">
              <w:t>.0</w:t>
            </w:r>
            <w:r w:rsidRPr="00846F78">
              <w:t>%</w:t>
            </w:r>
            <w:r w:rsidR="00F955BC">
              <w:t>-4.7%</w:t>
            </w:r>
          </w:p>
        </w:tc>
      </w:tr>
    </w:tbl>
    <w:p w14:paraId="61E58D85" w14:textId="0E5B53EE" w:rsidR="00EC0454" w:rsidRDefault="00EC0454" w:rsidP="001C295D">
      <w:pPr>
        <w:pStyle w:val="Caption"/>
        <w:keepNext/>
      </w:pPr>
      <w:r w:rsidRPr="00490C53">
        <w:t xml:space="preserve">Source: London Economics’ analysis of </w:t>
      </w:r>
      <w:r w:rsidR="004E4BC5">
        <w:t xml:space="preserve">survey data, </w:t>
      </w:r>
      <w:r w:rsidRPr="00490C53">
        <w:t>IDBR data</w:t>
      </w:r>
      <w:r w:rsidR="004E4BC5">
        <w:t xml:space="preserve">, BBB Management Information and BBB Portal Data. </w:t>
      </w:r>
    </w:p>
    <w:p w14:paraId="5A16F62D" w14:textId="734DC516" w:rsidR="000B3EA0" w:rsidRPr="005D5D23" w:rsidRDefault="000244D3" w:rsidP="00236B73">
      <w:r w:rsidRPr="00236B73">
        <w:rPr>
          <w:color w:val="142855" w:themeColor="text2"/>
        </w:rPr>
        <w:t>Insights for the Year 2 analysis</w:t>
      </w:r>
    </w:p>
    <w:p w14:paraId="1507E89C" w14:textId="510E582F" w:rsidR="000B3EA0" w:rsidRPr="000B3EA0" w:rsidRDefault="000B3EA0" w:rsidP="002D323B">
      <w:bookmarkStart w:id="143" w:name="_Hlk139316671"/>
      <w:r w:rsidRPr="000B3EA0">
        <w:rPr>
          <w:rFonts w:cstheme="minorHAnsi"/>
        </w:rPr>
        <w:t>Estimates of the impact of the Covid-19 Loan Guarantee Schemes on borrowers’ survival prospects are outside the range calculated in the Year 1 analysis: they are substantially lower than the upper bound of the range estimated in the Year 1 analysis, and lower than the lower bound of the range</w:t>
      </w:r>
      <w:r w:rsidR="008357AD">
        <w:rPr>
          <w:rFonts w:cstheme="minorHAnsi"/>
        </w:rPr>
        <w:t xml:space="preserve"> (</w:t>
      </w:r>
      <w:r w:rsidR="008357AD" w:rsidRPr="000B3EA0">
        <w:rPr>
          <w:rFonts w:cstheme="minorHAnsi"/>
        </w:rPr>
        <w:t>albeit of a similar order of magnitude</w:t>
      </w:r>
      <w:r w:rsidR="008357AD">
        <w:rPr>
          <w:rFonts w:cstheme="minorHAnsi"/>
        </w:rPr>
        <w:t>)</w:t>
      </w:r>
      <w:r w:rsidRPr="000B3EA0">
        <w:rPr>
          <w:rFonts w:cstheme="minorHAnsi"/>
        </w:rPr>
        <w:t>. This suggest</w:t>
      </w:r>
      <w:r w:rsidR="00FB1F3D">
        <w:rPr>
          <w:rFonts w:cstheme="minorHAnsi"/>
        </w:rPr>
        <w:t>s</w:t>
      </w:r>
      <w:r w:rsidRPr="000B3EA0">
        <w:rPr>
          <w:rFonts w:cstheme="minorHAnsi"/>
        </w:rPr>
        <w:t xml:space="preserve"> that survey respondents may have overestimated their likelihood of closing in the absence of the Covid-19 Loan Guarantee Schemes – particularly those which answered that they would have been very likely or </w:t>
      </w:r>
      <w:proofErr w:type="gramStart"/>
      <w:r w:rsidRPr="000B3EA0">
        <w:rPr>
          <w:rFonts w:cstheme="minorHAnsi"/>
        </w:rPr>
        <w:t>fairly likely</w:t>
      </w:r>
      <w:proofErr w:type="gramEnd"/>
      <w:r w:rsidRPr="000B3EA0">
        <w:rPr>
          <w:rFonts w:cstheme="minorHAnsi"/>
        </w:rPr>
        <w:t xml:space="preserve"> to close (indeed, the latter responses were included in the upper bound estimate in the Year 1 analysis). This suggests that the lower bound</w:t>
      </w:r>
      <w:r w:rsidR="008357AD">
        <w:rPr>
          <w:rFonts w:cstheme="minorHAnsi"/>
        </w:rPr>
        <w:t>s</w:t>
      </w:r>
      <w:r w:rsidRPr="000B3EA0">
        <w:rPr>
          <w:rFonts w:cstheme="minorHAnsi"/>
        </w:rPr>
        <w:t xml:space="preserve"> of the estimated range</w:t>
      </w:r>
      <w:r w:rsidR="008357AD">
        <w:rPr>
          <w:rFonts w:cstheme="minorHAnsi"/>
        </w:rPr>
        <w:t>s</w:t>
      </w:r>
      <w:r w:rsidRPr="000B3EA0">
        <w:rPr>
          <w:rFonts w:cstheme="minorHAnsi"/>
        </w:rPr>
        <w:t xml:space="preserve"> in the Year 1 and Year 2 survey-based business survival analyses may be more reliable estimate</w:t>
      </w:r>
      <w:r w:rsidR="008357AD">
        <w:rPr>
          <w:rFonts w:cstheme="minorHAnsi"/>
        </w:rPr>
        <w:t>s</w:t>
      </w:r>
      <w:r w:rsidRPr="000B3EA0">
        <w:rPr>
          <w:rFonts w:cstheme="minorHAnsi"/>
        </w:rPr>
        <w:t xml:space="preserve"> than the upper bound</w:t>
      </w:r>
      <w:r w:rsidR="008357AD">
        <w:rPr>
          <w:rFonts w:cstheme="minorHAnsi"/>
        </w:rPr>
        <w:t>s</w:t>
      </w:r>
      <w:r w:rsidRPr="000B3EA0">
        <w:rPr>
          <w:rFonts w:cstheme="minorHAnsi"/>
        </w:rPr>
        <w:t xml:space="preserve">, though even the </w:t>
      </w:r>
      <w:r w:rsidR="008357AD">
        <w:rPr>
          <w:rFonts w:cstheme="minorHAnsi"/>
        </w:rPr>
        <w:t xml:space="preserve">former </w:t>
      </w:r>
      <w:r w:rsidRPr="000B3EA0">
        <w:rPr>
          <w:rFonts w:cstheme="minorHAnsi"/>
        </w:rPr>
        <w:t xml:space="preserve">may overestimate the impact of the Covid-19 Loan Guarantee Schemes to a certain degree. </w:t>
      </w:r>
    </w:p>
    <w:p w14:paraId="24A9D440" w14:textId="5FF8D950" w:rsidR="00967F71" w:rsidRPr="00490C53" w:rsidRDefault="00967F71" w:rsidP="00967F71">
      <w:pPr>
        <w:pStyle w:val="Heading2"/>
      </w:pPr>
      <w:bookmarkStart w:id="144" w:name="_Toc151549894"/>
      <w:bookmarkEnd w:id="143"/>
      <w:r w:rsidRPr="00490C53">
        <w:t>Impact on turnover and employment</w:t>
      </w:r>
      <w:bookmarkEnd w:id="144"/>
    </w:p>
    <w:p w14:paraId="243C8028" w14:textId="23B84D2D" w:rsidR="00C146E8" w:rsidRPr="00490C53" w:rsidRDefault="00B53FDF" w:rsidP="00C146E8">
      <w:r w:rsidRPr="00490C53">
        <w:t>T</w:t>
      </w:r>
      <w:r w:rsidR="00E9484A" w:rsidRPr="00490C53">
        <w:t xml:space="preserve">he </w:t>
      </w:r>
      <w:r w:rsidR="00EC0454" w:rsidRPr="00490C53">
        <w:t>Y</w:t>
      </w:r>
      <w:r w:rsidR="00E9484A" w:rsidRPr="00490C53">
        <w:t>ear 1 survey analysis</w:t>
      </w:r>
      <w:r w:rsidRPr="00490C53">
        <w:t xml:space="preserve"> used</w:t>
      </w:r>
      <w:r w:rsidR="00E9484A" w:rsidRPr="00490C53">
        <w:t xml:space="preserve"> e</w:t>
      </w:r>
      <w:r w:rsidR="00C146E8" w:rsidRPr="00490C53">
        <w:t xml:space="preserve">conometric models to quantify the impacts of the Covid-19 Loan Guarantee Schemes on businesses’ turnover and employment. </w:t>
      </w:r>
      <w:r w:rsidR="0032676F" w:rsidRPr="00490C53">
        <w:t xml:space="preserve">A similar approach is used in the </w:t>
      </w:r>
      <w:r w:rsidR="0082456E">
        <w:t xml:space="preserve">secondary analysis </w:t>
      </w:r>
      <w:r w:rsidR="00DA509A" w:rsidRPr="00490C53">
        <w:t>in the sense that it is</w:t>
      </w:r>
      <w:r w:rsidR="000D7B24" w:rsidRPr="00490C53">
        <w:t xml:space="preserve"> also</w:t>
      </w:r>
      <w:r w:rsidR="00BF294F" w:rsidRPr="00490C53">
        <w:t xml:space="preserve"> </w:t>
      </w:r>
      <w:r w:rsidR="00C146E8" w:rsidRPr="00490C53">
        <w:t xml:space="preserve">based on the comparison of business outcomes of borrowers and a group of non-borrowers before and after the introduction of the </w:t>
      </w:r>
      <w:r w:rsidR="00C146E8" w:rsidRPr="00490C53">
        <w:lastRenderedPageBreak/>
        <w:t>Covid-19 Loan Guarantee Schemes (</w:t>
      </w:r>
      <w:proofErr w:type="gramStart"/>
      <w:r w:rsidR="00C146E8" w:rsidRPr="00490C53">
        <w:t>i.e.</w:t>
      </w:r>
      <w:proofErr w:type="gramEnd"/>
      <w:r w:rsidR="00C146E8" w:rsidRPr="00490C53">
        <w:t xml:space="preserve"> the policy intervention). </w:t>
      </w:r>
      <w:r w:rsidR="00A84B13">
        <w:t>The main difference between both analyses is the use of distinct data sources – namely primary survey data in the case of the Year 1 analysis, and secondary data in the case of th</w:t>
      </w:r>
      <w:r w:rsidR="0082456E">
        <w:t>is</w:t>
      </w:r>
      <w:r w:rsidR="00A84B13">
        <w:t xml:space="preserve"> exercise. </w:t>
      </w:r>
    </w:p>
    <w:p w14:paraId="400D469D" w14:textId="02FC48DF" w:rsidR="00C146E8" w:rsidRPr="00490C53" w:rsidRDefault="003D59D4" w:rsidP="0026240C">
      <w:r w:rsidRPr="00490C53">
        <w:t>To maximi</w:t>
      </w:r>
      <w:r w:rsidR="00EC0454" w:rsidRPr="00490C53">
        <w:t>s</w:t>
      </w:r>
      <w:r w:rsidRPr="00490C53">
        <w:t xml:space="preserve">e the </w:t>
      </w:r>
      <w:r w:rsidR="007153CD" w:rsidRPr="00490C53">
        <w:t xml:space="preserve">likelihood that any differences </w:t>
      </w:r>
      <w:r w:rsidR="007574C1" w:rsidRPr="00490C53">
        <w:t xml:space="preserve">in outcomes </w:t>
      </w:r>
      <w:r w:rsidR="007153CD" w:rsidRPr="00490C53">
        <w:t xml:space="preserve">between </w:t>
      </w:r>
      <w:r w:rsidR="00BA2373" w:rsidRPr="00490C53">
        <w:t>the samples of borrowers and non-borrowers are due to the Covid-19 Loan Guarantee Schemes</w:t>
      </w:r>
      <w:r w:rsidR="006D1976" w:rsidRPr="00490C53">
        <w:t xml:space="preserve"> rather than other factors</w:t>
      </w:r>
      <w:r w:rsidR="00BA2373" w:rsidRPr="00490C53">
        <w:t xml:space="preserve">, </w:t>
      </w:r>
      <w:r w:rsidR="00C146E8" w:rsidRPr="00490C53">
        <w:t>a control group of non-borrowers (</w:t>
      </w:r>
      <w:proofErr w:type="gramStart"/>
      <w:r w:rsidR="00C146E8" w:rsidRPr="00490C53">
        <w:t>i.e.</w:t>
      </w:r>
      <w:proofErr w:type="gramEnd"/>
      <w:r w:rsidR="00C146E8" w:rsidRPr="00490C53">
        <w:t xml:space="preserve"> a comparison group) was constructed based on their similarity to borrowers with respect to their pre-pandemic characteristics (</w:t>
      </w:r>
      <w:r w:rsidR="00994BE7">
        <w:t xml:space="preserve">for example </w:t>
      </w:r>
      <w:r w:rsidR="00C146E8" w:rsidRPr="00490C53">
        <w:t>turnover, sector, etc.). This exercise was implemented through propensity score matching (PSM).</w:t>
      </w:r>
      <w:r w:rsidR="00365935" w:rsidRPr="00490C53">
        <w:t xml:space="preserve"> While this approach is </w:t>
      </w:r>
      <w:proofErr w:type="gramStart"/>
      <w:r w:rsidR="00365935" w:rsidRPr="00490C53">
        <w:t xml:space="preserve">similar </w:t>
      </w:r>
      <w:r w:rsidR="00252948" w:rsidRPr="00490C53">
        <w:t>to</w:t>
      </w:r>
      <w:proofErr w:type="gramEnd"/>
      <w:r w:rsidR="00252948" w:rsidRPr="00490C53">
        <w:t xml:space="preserve"> that adopted in the </w:t>
      </w:r>
      <w:r w:rsidR="00EC0454" w:rsidRPr="00490C53">
        <w:t>Y</w:t>
      </w:r>
      <w:r w:rsidR="00252948" w:rsidRPr="00490C53">
        <w:t xml:space="preserve">ear 1 survey analysis, it should be noted that </w:t>
      </w:r>
      <w:r w:rsidR="0026240C" w:rsidRPr="00490C53">
        <w:t>non-borrowing businesses could not be screened based on whether they faced challenge or opportunities because of the Covid-19 pandemic</w:t>
      </w:r>
      <w:r w:rsidR="00B17BEA" w:rsidRPr="00490C53">
        <w:t xml:space="preserve"> as in </w:t>
      </w:r>
      <w:r w:rsidR="00EC0454" w:rsidRPr="00490C53">
        <w:t>Ye</w:t>
      </w:r>
      <w:r w:rsidR="00B17BEA" w:rsidRPr="00490C53">
        <w:t>ar 1</w:t>
      </w:r>
      <w:r w:rsidR="00257EA7" w:rsidRPr="00490C53">
        <w:t xml:space="preserve"> </w:t>
      </w:r>
      <w:r w:rsidR="00B17BEA" w:rsidRPr="00490C53">
        <w:t>because</w:t>
      </w:r>
      <w:r w:rsidR="00257EA7" w:rsidRPr="00490C53">
        <w:t xml:space="preserve"> that information was not available in secondary data. Furthermore, the </w:t>
      </w:r>
      <w:r w:rsidR="00536641" w:rsidRPr="00490C53">
        <w:t xml:space="preserve">set of </w:t>
      </w:r>
      <w:r w:rsidR="00627517" w:rsidRPr="00490C53">
        <w:t xml:space="preserve">variables used to assess the similarity between borrowers and non-borrowers as part of the PSM </w:t>
      </w:r>
      <w:r w:rsidR="00BB0C40" w:rsidRPr="00490C53">
        <w:t xml:space="preserve">differed </w:t>
      </w:r>
      <w:r w:rsidR="00B348C0">
        <w:t>between</w:t>
      </w:r>
      <w:r w:rsidR="00B348C0" w:rsidRPr="00490C53">
        <w:t xml:space="preserve"> </w:t>
      </w:r>
      <w:r w:rsidR="00BB0C40" w:rsidRPr="00490C53">
        <w:t xml:space="preserve">the </w:t>
      </w:r>
      <w:r w:rsidR="00EC0454" w:rsidRPr="00490C53">
        <w:t>Y</w:t>
      </w:r>
      <w:r w:rsidR="00BB0C40" w:rsidRPr="00490C53">
        <w:t xml:space="preserve">ear 1 analysis and </w:t>
      </w:r>
      <w:r w:rsidR="007A2C5B">
        <w:t xml:space="preserve">secondary analysis </w:t>
      </w:r>
      <w:r w:rsidR="000363E1" w:rsidRPr="00490C53">
        <w:t>due to data availability (</w:t>
      </w:r>
      <w:r w:rsidR="004E022A">
        <w:t xml:space="preserve">see </w:t>
      </w:r>
      <w:r w:rsidR="00FC29E5">
        <w:fldChar w:fldCharType="begin"/>
      </w:r>
      <w:r w:rsidR="00FC29E5">
        <w:instrText xml:space="preserve"> REF _Ref126237016 \h </w:instrText>
      </w:r>
      <w:r w:rsidR="00FC29E5">
        <w:fldChar w:fldCharType="separate"/>
      </w:r>
      <w:r w:rsidR="00397D49" w:rsidRPr="00490C53">
        <w:t xml:space="preserve">Annex </w:t>
      </w:r>
      <w:r w:rsidR="00397D49">
        <w:t>4</w:t>
      </w:r>
      <w:r w:rsidR="00FC29E5">
        <w:fldChar w:fldCharType="end"/>
      </w:r>
      <w:r w:rsidR="000363E1" w:rsidRPr="00490C53">
        <w:t xml:space="preserve">). </w:t>
      </w:r>
    </w:p>
    <w:p w14:paraId="33C771F9" w14:textId="221A72D4" w:rsidR="00365ED9" w:rsidRDefault="004B6E9A">
      <w:r w:rsidRPr="00490C53">
        <w:t xml:space="preserve">As in the </w:t>
      </w:r>
      <w:r w:rsidR="00EC0454" w:rsidRPr="00490C53">
        <w:t>Y</w:t>
      </w:r>
      <w:r w:rsidRPr="00490C53">
        <w:t xml:space="preserve">ear 1 analysis, </w:t>
      </w:r>
      <w:r w:rsidR="00C146E8" w:rsidRPr="00490C53">
        <w:t xml:space="preserve">outcomes </w:t>
      </w:r>
      <w:r w:rsidR="00AE101E" w:rsidRPr="00490C53">
        <w:t xml:space="preserve">within </w:t>
      </w:r>
      <w:r w:rsidR="00C146E8" w:rsidRPr="00490C53">
        <w:t>the sample of borrowers and the control group of non-borrowers are compared against one another both before and after the introduction of the Covid-19 Loan Guarantee Schemes</w:t>
      </w:r>
      <w:r w:rsidR="00365ED9">
        <w:t xml:space="preserve"> as part of a difference-in-differences (</w:t>
      </w:r>
      <w:proofErr w:type="spellStart"/>
      <w:r w:rsidR="00365ED9">
        <w:t>DiD</w:t>
      </w:r>
      <w:proofErr w:type="spellEnd"/>
      <w:r w:rsidR="00365ED9">
        <w:t>) estimation framework</w:t>
      </w:r>
      <w:r w:rsidR="00C146E8" w:rsidRPr="00490C53">
        <w:t xml:space="preserve">. Comparing both groups before and after the introduction of the Covid-19 Loan Guarantee Schemes rather than </w:t>
      </w:r>
      <w:r w:rsidR="000231A0" w:rsidRPr="00490C53">
        <w:t xml:space="preserve">only </w:t>
      </w:r>
      <w:r w:rsidR="00C146E8" w:rsidRPr="00490C53">
        <w:t xml:space="preserve">afterwards allows one to account for any pre-existing differences between the two groups that may remain after the PSM has been implemented. </w:t>
      </w:r>
    </w:p>
    <w:p w14:paraId="3B032711" w14:textId="7CE5FC23" w:rsidR="00365ED9" w:rsidRPr="00490C53" w:rsidRDefault="00365ED9" w:rsidP="00365ED9">
      <w:r w:rsidRPr="00490C53">
        <w:t>This is demonstrated in the figure below, showing differences in outcomes between treated businesses (Group A) and untreated or control businesses (Group B). In th</w:t>
      </w:r>
      <w:r w:rsidR="00A84B13">
        <w:t>is</w:t>
      </w:r>
      <w:r w:rsidRPr="00490C53">
        <w:t xml:space="preserve"> </w:t>
      </w:r>
      <w:r w:rsidR="00A84B13">
        <w:t xml:space="preserve">hypothetical </w:t>
      </w:r>
      <w:r w:rsidRPr="00490C53">
        <w:t xml:space="preserve">example, prior to the </w:t>
      </w:r>
      <w:r w:rsidRPr="00490C53">
        <w:rPr>
          <w:rFonts w:cstheme="minorHAnsi"/>
          <w:szCs w:val="24"/>
        </w:rPr>
        <w:t>Covid-19 Loan Guarantee Schemes</w:t>
      </w:r>
      <w:r w:rsidRPr="00490C53">
        <w:t xml:space="preserve"> being in place, untreated businesses outperform treated businesses (</w:t>
      </w:r>
      <w:proofErr w:type="gramStart"/>
      <w:r w:rsidRPr="00490C53">
        <w:t>i.e.</w:t>
      </w:r>
      <w:proofErr w:type="gramEnd"/>
      <w:r w:rsidRPr="00490C53">
        <w:t xml:space="preserve"> there is a pre-existing difference in outcomes) though this is not necessary for this method to be valid. After the </w:t>
      </w:r>
      <w:r w:rsidRPr="00490C53">
        <w:rPr>
          <w:rFonts w:cstheme="minorHAnsi"/>
          <w:szCs w:val="24"/>
        </w:rPr>
        <w:t xml:space="preserve">Covid-19 Loan Guarantee Schemes </w:t>
      </w:r>
      <w:r w:rsidRPr="00490C53">
        <w:t xml:space="preserve">are introduced, treated businesses reduce their margin of underperformance, and this is the impact of the </w:t>
      </w:r>
      <w:r w:rsidRPr="00490C53">
        <w:rPr>
          <w:rFonts w:cstheme="minorHAnsi"/>
          <w:szCs w:val="24"/>
        </w:rPr>
        <w:t>Covid-19 Loan Guarantee Schemes</w:t>
      </w:r>
      <w:r w:rsidRPr="00490C53">
        <w:t xml:space="preserve">: the difference between treated and control businesses after the introduction of the </w:t>
      </w:r>
      <w:r w:rsidRPr="00490C53">
        <w:rPr>
          <w:rFonts w:cstheme="minorHAnsi"/>
          <w:szCs w:val="24"/>
        </w:rPr>
        <w:t>Covid-19 Loan Guarantee Schemes</w:t>
      </w:r>
      <w:r w:rsidRPr="00490C53">
        <w:t xml:space="preserve">, minus the </w:t>
      </w:r>
      <w:r w:rsidRPr="00490C53">
        <w:lastRenderedPageBreak/>
        <w:t>corresponding difference prior to their introduction (</w:t>
      </w:r>
      <w:proofErr w:type="gramStart"/>
      <w:r w:rsidRPr="00490C53">
        <w:t>i.e.</w:t>
      </w:r>
      <w:proofErr w:type="gramEnd"/>
      <w:r w:rsidRPr="00490C53">
        <w:t xml:space="preserve"> the difference-in-differences), which is positive.</w:t>
      </w:r>
      <w:r w:rsidRPr="00490C53">
        <w:rPr>
          <w:rStyle w:val="FootnoteReference"/>
        </w:rPr>
        <w:footnoteReference w:id="86"/>
      </w:r>
    </w:p>
    <w:p w14:paraId="02FE79CB" w14:textId="02A22501" w:rsidR="00365ED9" w:rsidRPr="00490C53" w:rsidRDefault="00365ED9" w:rsidP="00365ED9">
      <w:pPr>
        <w:pStyle w:val="Heading5"/>
      </w:pPr>
      <w:r w:rsidRPr="00490C53">
        <w:t xml:space="preserve">Figure </w:t>
      </w:r>
      <w:r>
        <w:fldChar w:fldCharType="begin"/>
      </w:r>
      <w:r>
        <w:instrText>SEQ Figure \* ARABIC</w:instrText>
      </w:r>
      <w:r>
        <w:fldChar w:fldCharType="separate"/>
      </w:r>
      <w:r w:rsidR="00397D49">
        <w:rPr>
          <w:noProof/>
        </w:rPr>
        <w:t>11</w:t>
      </w:r>
      <w:r>
        <w:fldChar w:fldCharType="end"/>
      </w:r>
      <w:r w:rsidRPr="00490C53">
        <w:t>: Difference-in-difference framework illustration</w:t>
      </w:r>
    </w:p>
    <w:p w14:paraId="77930037" w14:textId="77777777" w:rsidR="00365ED9" w:rsidRPr="00490C53" w:rsidRDefault="00365ED9" w:rsidP="00365ED9">
      <w:r w:rsidRPr="00846F78">
        <w:rPr>
          <w:noProof/>
        </w:rPr>
        <w:drawing>
          <wp:inline distT="0" distB="0" distL="0" distR="0" wp14:anchorId="7E5428D2" wp14:editId="60806DD1">
            <wp:extent cx="4333333" cy="3304762"/>
            <wp:effectExtent l="0" t="0" r="0" b="0"/>
            <wp:docPr id="1161023526" name="Picture 1161023526" descr="The difference in difference model relies on common trends in the outcome variable before the intervention. The impact of the intervention is then estimated as the change in the difference in the outcome variable between the treatment and control groups before and after the 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23526" name="Picture 1161023526" descr="The difference in difference model relies on common trends in the outcome variable before the intervention. The impact of the intervention is then estimated as the change in the difference in the outcome variable between the treatment and control groups before and after the intervention. "/>
                    <pic:cNvPicPr/>
                  </pic:nvPicPr>
                  <pic:blipFill>
                    <a:blip r:embed="rId40"/>
                    <a:stretch>
                      <a:fillRect/>
                    </a:stretch>
                  </pic:blipFill>
                  <pic:spPr>
                    <a:xfrm>
                      <a:off x="0" y="0"/>
                      <a:ext cx="4333333" cy="3304762"/>
                    </a:xfrm>
                    <a:prstGeom prst="rect">
                      <a:avLst/>
                    </a:prstGeom>
                  </pic:spPr>
                </pic:pic>
              </a:graphicData>
            </a:graphic>
          </wp:inline>
        </w:drawing>
      </w:r>
    </w:p>
    <w:p w14:paraId="5D7C22E9" w14:textId="71277C8E" w:rsidR="00365ED9" w:rsidRPr="00490C53" w:rsidRDefault="00365ED9" w:rsidP="00365ED9">
      <w:r w:rsidRPr="00490C53">
        <w:t xml:space="preserve">The key assumption of the difference-in-differences method is that borrowers’ and non-borrowers’ outcomes follow a common trend. In this case, this means that the trajectories of turnover and employment (absent the </w:t>
      </w:r>
      <w:r w:rsidRPr="00490C53">
        <w:rPr>
          <w:rFonts w:cstheme="minorHAnsi"/>
          <w:szCs w:val="24"/>
        </w:rPr>
        <w:t>Covid-19 Loan Guarantee Schemes</w:t>
      </w:r>
      <w:r w:rsidRPr="00490C53">
        <w:t>) do not differ between both groups. If this is not satisfied, the difference-in-differences of outcomes</w:t>
      </w:r>
      <w:r w:rsidR="00E94B46">
        <w:t xml:space="preserve"> could be due to factors other than</w:t>
      </w:r>
      <w:r w:rsidRPr="00490C53">
        <w:t xml:space="preserve"> the </w:t>
      </w:r>
      <w:r w:rsidRPr="00490C53">
        <w:rPr>
          <w:rFonts w:cstheme="minorHAnsi"/>
          <w:szCs w:val="24"/>
        </w:rPr>
        <w:t>Covid-19 Loan Guarantee Schemes</w:t>
      </w:r>
      <w:r w:rsidR="00E94B46">
        <w:rPr>
          <w:rFonts w:cstheme="minorHAnsi"/>
          <w:szCs w:val="24"/>
        </w:rPr>
        <w:t xml:space="preserve">, thereby leading to a biased </w:t>
      </w:r>
      <w:proofErr w:type="spellStart"/>
      <w:r w:rsidR="007921E5">
        <w:rPr>
          <w:rFonts w:cstheme="minorHAnsi"/>
          <w:szCs w:val="24"/>
        </w:rPr>
        <w:t>DiD</w:t>
      </w:r>
      <w:proofErr w:type="spellEnd"/>
      <w:r w:rsidR="007921E5">
        <w:rPr>
          <w:rFonts w:cstheme="minorHAnsi"/>
          <w:szCs w:val="24"/>
        </w:rPr>
        <w:t xml:space="preserve"> </w:t>
      </w:r>
      <w:r w:rsidR="00E94B46">
        <w:rPr>
          <w:rFonts w:cstheme="minorHAnsi"/>
          <w:szCs w:val="24"/>
        </w:rPr>
        <w:t>estimate</w:t>
      </w:r>
      <w:r w:rsidRPr="00490C53">
        <w:t xml:space="preserve">. </w:t>
      </w:r>
      <w:r>
        <w:t>This assumption is discussed in greater</w:t>
      </w:r>
      <w:r w:rsidR="00454FC4">
        <w:t xml:space="preserve"> detail</w:t>
      </w:r>
      <w:r>
        <w:t xml:space="preserve"> in </w:t>
      </w:r>
      <w:r w:rsidRPr="00490C53">
        <w:t xml:space="preserve">Annex </w:t>
      </w:r>
      <w:r>
        <w:t xml:space="preserve">4. </w:t>
      </w:r>
      <w:r w:rsidRPr="00490C53">
        <w:t xml:space="preserve">As demonstrated in the balance tables (see </w:t>
      </w:r>
      <w:r w:rsidR="00D67545" w:rsidRPr="00490C53">
        <w:t xml:space="preserve">Annex </w:t>
      </w:r>
      <w:r w:rsidR="00D67545">
        <w:t>4</w:t>
      </w:r>
      <w:r w:rsidRPr="00490C53">
        <w:t xml:space="preserve">), in the full sample </w:t>
      </w:r>
      <w:r w:rsidR="004C1B46">
        <w:t xml:space="preserve">(i.e., prior to the PSM) </w:t>
      </w:r>
      <w:r w:rsidRPr="00490C53">
        <w:t xml:space="preserve">there are differences between borrowers and non-borrowers which are substantially reduced in the sample obtained after PSM is implemented. As a result, the use of PSM prior to the difference-in-differences analysis makes this assumption </w:t>
      </w:r>
      <w:r w:rsidR="009F6152">
        <w:t>more plausible</w:t>
      </w:r>
      <w:r w:rsidR="007921E5">
        <w:t>,</w:t>
      </w:r>
      <w:r w:rsidR="00D67545">
        <w:t xml:space="preserve"> as discussed in more detail in </w:t>
      </w:r>
      <w:r w:rsidR="00D67545" w:rsidRPr="00490C53">
        <w:t xml:space="preserve">Annex </w:t>
      </w:r>
      <w:r w:rsidR="00D67545">
        <w:t>4</w:t>
      </w:r>
      <w:r w:rsidRPr="00490C53">
        <w:t xml:space="preserve">. </w:t>
      </w:r>
    </w:p>
    <w:p w14:paraId="1CB452C9" w14:textId="24999AB3" w:rsidR="00DA2BDC" w:rsidRPr="00846F78" w:rsidRDefault="00C146E8" w:rsidP="002D323B">
      <w:pPr>
        <w:rPr>
          <w:rFonts w:cstheme="minorHAnsi"/>
        </w:rPr>
      </w:pPr>
      <w:r w:rsidRPr="00490C53">
        <w:t>Full details of the data used, and econometric approach are</w:t>
      </w:r>
      <w:r w:rsidR="00BD075E">
        <w:t xml:space="preserve"> also</w:t>
      </w:r>
      <w:r w:rsidRPr="00490C53">
        <w:t xml:space="preserve"> provided in </w:t>
      </w:r>
      <w:r w:rsidR="00FC29E5">
        <w:fldChar w:fldCharType="begin"/>
      </w:r>
      <w:r w:rsidR="00FC29E5">
        <w:instrText xml:space="preserve"> REF _Ref126237016 \h </w:instrText>
      </w:r>
      <w:r w:rsidR="00FC29E5">
        <w:fldChar w:fldCharType="separate"/>
      </w:r>
      <w:r w:rsidR="00397D49" w:rsidRPr="00490C53">
        <w:t xml:space="preserve">Annex </w:t>
      </w:r>
      <w:r w:rsidR="00397D49">
        <w:t>4</w:t>
      </w:r>
      <w:r w:rsidR="00FC29E5">
        <w:fldChar w:fldCharType="end"/>
      </w:r>
      <w:r w:rsidR="005170F5">
        <w:t>.</w:t>
      </w:r>
    </w:p>
    <w:p w14:paraId="3FAC7E17" w14:textId="41EA0FFB" w:rsidR="00C146E8" w:rsidRPr="005D5D23" w:rsidRDefault="00C146E8" w:rsidP="00236B73">
      <w:r w:rsidRPr="00236B73">
        <w:rPr>
          <w:color w:val="142855" w:themeColor="text2"/>
        </w:rPr>
        <w:lastRenderedPageBreak/>
        <w:t xml:space="preserve">Results of the </w:t>
      </w:r>
      <w:r w:rsidR="00EC17C7" w:rsidRPr="00236B73">
        <w:rPr>
          <w:color w:val="142855" w:themeColor="text2"/>
        </w:rPr>
        <w:t xml:space="preserve">secondary analysis </w:t>
      </w:r>
    </w:p>
    <w:p w14:paraId="576E2094" w14:textId="0CDBCBB6" w:rsidR="00C146E8" w:rsidRPr="00490C53" w:rsidRDefault="00777D16" w:rsidP="00C146E8">
      <w:r>
        <w:t>The main findings</w:t>
      </w:r>
      <w:r w:rsidRPr="00490C53">
        <w:t xml:space="preserve"> </w:t>
      </w:r>
      <w:r>
        <w:t>and the interpretation in percentage terms of the coefficient</w:t>
      </w:r>
      <w:r w:rsidR="00197920">
        <w:t>s</w:t>
      </w:r>
      <w:r>
        <w:t xml:space="preserve"> of interest are outlined below, in turn, for each outcome of interest (turnover and employment)</w:t>
      </w:r>
      <w:r w:rsidRPr="00490C53">
        <w:t xml:space="preserve">. </w:t>
      </w:r>
      <w:r>
        <w:t>Full r</w:t>
      </w:r>
      <w:r w:rsidR="00C146E8" w:rsidRPr="00490C53">
        <w:t xml:space="preserve">esults from the econometric analysis are presented </w:t>
      </w:r>
      <w:r>
        <w:t xml:space="preserve">in </w:t>
      </w:r>
      <w:r>
        <w:fldChar w:fldCharType="begin"/>
      </w:r>
      <w:r>
        <w:instrText xml:space="preserve"> REF _Ref126237016 \h </w:instrText>
      </w:r>
      <w:r>
        <w:fldChar w:fldCharType="separate"/>
      </w:r>
      <w:r w:rsidR="00397D49" w:rsidRPr="00490C53">
        <w:t xml:space="preserve">Annex </w:t>
      </w:r>
      <w:r w:rsidR="00397D49">
        <w:t>4</w:t>
      </w:r>
      <w:r>
        <w:fldChar w:fldCharType="end"/>
      </w:r>
      <w:r>
        <w:t xml:space="preserve"> (</w:t>
      </w:r>
      <w:r>
        <w:fldChar w:fldCharType="begin"/>
      </w:r>
      <w:r>
        <w:instrText xml:space="preserve"> REF _Ref138342267 \h </w:instrText>
      </w:r>
      <w:r>
        <w:fldChar w:fldCharType="separate"/>
      </w:r>
      <w:r w:rsidR="00397D49" w:rsidRPr="00490C53">
        <w:t xml:space="preserve">Table </w:t>
      </w:r>
      <w:r w:rsidR="00397D49">
        <w:rPr>
          <w:noProof/>
        </w:rPr>
        <w:t>45</w:t>
      </w:r>
      <w:r>
        <w:fldChar w:fldCharType="end"/>
      </w:r>
      <w:r>
        <w:t xml:space="preserve"> and </w:t>
      </w:r>
      <w:r>
        <w:fldChar w:fldCharType="begin"/>
      </w:r>
      <w:r>
        <w:instrText xml:space="preserve"> REF _Ref138342269 \h </w:instrText>
      </w:r>
      <w:r>
        <w:fldChar w:fldCharType="separate"/>
      </w:r>
      <w:r w:rsidR="00397D49" w:rsidRPr="00490C53">
        <w:t xml:space="preserve">Table </w:t>
      </w:r>
      <w:r w:rsidR="00397D49">
        <w:rPr>
          <w:noProof/>
        </w:rPr>
        <w:t>46</w:t>
      </w:r>
      <w:r>
        <w:fldChar w:fldCharType="end"/>
      </w:r>
      <w:r>
        <w:t>)</w:t>
      </w:r>
      <w:r w:rsidR="00C146E8" w:rsidRPr="00490C53">
        <w:t xml:space="preserve">. </w:t>
      </w:r>
      <w:r w:rsidR="00C46BAA" w:rsidRPr="00490C53">
        <w:t xml:space="preserve">Estimates of the impact of the Covid-19 Loan Guarantee Schemes </w:t>
      </w:r>
      <w:r w:rsidR="00971520" w:rsidRPr="00490C53">
        <w:t xml:space="preserve">on the outcomes of interest </w:t>
      </w:r>
      <w:r w:rsidR="00C46BAA" w:rsidRPr="00490C53">
        <w:t>are presented</w:t>
      </w:r>
      <w:r w:rsidR="004F421F" w:rsidRPr="00490C53">
        <w:t xml:space="preserve"> separately </w:t>
      </w:r>
      <w:r w:rsidR="00C146E8" w:rsidRPr="00490C53">
        <w:t xml:space="preserve">for </w:t>
      </w:r>
      <w:r w:rsidR="004F421F" w:rsidRPr="00490C53">
        <w:t xml:space="preserve">the </w:t>
      </w:r>
      <w:r w:rsidR="00C146E8" w:rsidRPr="00490C53">
        <w:t>BBLS</w:t>
      </w:r>
      <w:r w:rsidR="00A6224C" w:rsidRPr="00490C53">
        <w:t>,</w:t>
      </w:r>
      <w:r w:rsidR="00C146E8" w:rsidRPr="00490C53">
        <w:t xml:space="preserve"> and </w:t>
      </w:r>
      <w:r w:rsidR="00A6224C" w:rsidRPr="00490C53">
        <w:t xml:space="preserve">for </w:t>
      </w:r>
      <w:r w:rsidR="00BD75B8" w:rsidRPr="00490C53">
        <w:t xml:space="preserve">the </w:t>
      </w:r>
      <w:r w:rsidR="00C146E8" w:rsidRPr="00490C53">
        <w:t>CBILS and CLBILS combined.</w:t>
      </w:r>
      <w:r w:rsidR="00C146E8" w:rsidRPr="00490C53">
        <w:rPr>
          <w:rStyle w:val="FootnoteReference"/>
        </w:rPr>
        <w:footnoteReference w:id="87"/>
      </w:r>
    </w:p>
    <w:p w14:paraId="00CD2B25" w14:textId="6E0B0353" w:rsidR="00C146E8" w:rsidRPr="00490C53" w:rsidDel="000E3375" w:rsidRDefault="00C146E8" w:rsidP="00C146E8">
      <w:r w:rsidRPr="00490C53" w:rsidDel="000E3375">
        <w:t>The first variable "</w:t>
      </w:r>
      <w:proofErr w:type="gramStart"/>
      <w:r w:rsidRPr="00490C53" w:rsidDel="000E3375">
        <w:t>Post-intervention</w:t>
      </w:r>
      <w:proofErr w:type="gramEnd"/>
      <w:r w:rsidRPr="00490C53" w:rsidDel="000E3375">
        <w:t xml:space="preserve">" in the model takes the value of one </w:t>
      </w:r>
      <w:r w:rsidR="00D748F4">
        <w:t>in the first year of the</w:t>
      </w:r>
      <w:r w:rsidRPr="00490C53" w:rsidDel="000E3375">
        <w:t xml:space="preserve"> pandemic and its coefficient measures the change in turnover (or employment) among non-borrowers after the onset of the pandemic (this is assumed to be the change in turnover (or employment) that borrowers would have experienced in the absence of the policy intervention). The second variable "Borrower, post-intervention" in the model takes the value of one </w:t>
      </w:r>
      <w:r w:rsidR="00D748F4">
        <w:t>in the first year</w:t>
      </w:r>
      <w:r w:rsidRPr="00490C53" w:rsidDel="000E3375">
        <w:t xml:space="preserve"> of the pandemic for the borrowing business sample only. It is the coefficient of interest as it isolates the impact of receiving a BBLS (or CBILS/ CLBILS) loan on turnover (or employment).</w:t>
      </w:r>
      <w:r w:rsidRPr="00490C53" w:rsidDel="000E3375">
        <w:rPr>
          <w:rStyle w:val="FootnoteReference"/>
        </w:rPr>
        <w:footnoteReference w:id="88"/>
      </w:r>
      <w:r w:rsidRPr="00490C53" w:rsidDel="000E3375">
        <w:t xml:space="preserve"> The two variables together measure the change in turnover (or employment) among borrowers.</w:t>
      </w:r>
    </w:p>
    <w:p w14:paraId="59FCCD82" w14:textId="68D16862" w:rsidR="00C146E8" w:rsidRPr="00490C53" w:rsidRDefault="00C146E8" w:rsidP="00C146E8">
      <w:r w:rsidRPr="00490C53">
        <w:t xml:space="preserve">In addition, to assess the robustness of results, the econometric model is re-run controlling for the possibility that certain businesses may have used other support during the pandemic, in the form of the Coronavirus Job Retention Scheme (CJRS). The inclusion of </w:t>
      </w:r>
      <w:r w:rsidR="00885388" w:rsidRPr="00490C53">
        <w:t xml:space="preserve">this </w:t>
      </w:r>
      <w:r w:rsidRPr="00490C53">
        <w:t xml:space="preserve">variable in the model is intended to minimise the risk that any impact of the CJRS </w:t>
      </w:r>
      <w:r w:rsidR="00C67F1C" w:rsidRPr="00490C53">
        <w:t xml:space="preserve">– the most prevalent other support </w:t>
      </w:r>
      <w:r w:rsidR="00677A60" w:rsidRPr="00490C53">
        <w:t xml:space="preserve">scheme according to the </w:t>
      </w:r>
      <w:r w:rsidR="00EC0454" w:rsidRPr="00490C53">
        <w:t>Y</w:t>
      </w:r>
      <w:r w:rsidR="00677A60" w:rsidRPr="00490C53">
        <w:t xml:space="preserve">ear 1 survey analysis – </w:t>
      </w:r>
      <w:r w:rsidRPr="00490C53">
        <w:t xml:space="preserve">is incorrectly attributed to the Covid-19 Loan Guarantee Schemes. Compared to the </w:t>
      </w:r>
      <w:r w:rsidR="00EC0454" w:rsidRPr="00490C53">
        <w:t>Y</w:t>
      </w:r>
      <w:r w:rsidRPr="00490C53">
        <w:t>ear 1 survey analysis, secondary data sources were not available on the use of VAT deferral or the use of other support apart from participation in the CJRS.</w:t>
      </w:r>
      <w:r w:rsidRPr="00490C53">
        <w:rPr>
          <w:rStyle w:val="FootnoteReference"/>
        </w:rPr>
        <w:footnoteReference w:id="89"/>
      </w:r>
    </w:p>
    <w:p w14:paraId="5264CE5E" w14:textId="77777777" w:rsidR="00C146E8" w:rsidRPr="005D5D23" w:rsidRDefault="00C146E8" w:rsidP="00236B73">
      <w:r w:rsidRPr="00236B73">
        <w:rPr>
          <w:color w:val="142855" w:themeColor="text2"/>
        </w:rPr>
        <w:t>Turnover</w:t>
      </w:r>
    </w:p>
    <w:p w14:paraId="004DBECC" w14:textId="18A324F6" w:rsidR="00C146E8" w:rsidRPr="00490C53" w:rsidRDefault="00C146E8" w:rsidP="00C146E8">
      <w:r w:rsidRPr="00490C53">
        <w:lastRenderedPageBreak/>
        <w:t xml:space="preserve">The econometric analysis finds a positive and statistically significant impact of the BBLS </w:t>
      </w:r>
      <w:r w:rsidR="00D849B5">
        <w:t>and</w:t>
      </w:r>
      <w:r w:rsidRPr="00490C53">
        <w:t xml:space="preserve"> CBILS/CLBILS schemes on borrowers’ turnover.</w:t>
      </w:r>
      <w:r w:rsidRPr="00490C53">
        <w:rPr>
          <w:rStyle w:val="FootnoteReference"/>
        </w:rPr>
        <w:footnoteReference w:id="90"/>
      </w:r>
      <w:r w:rsidRPr="00490C53">
        <w:rPr>
          <w:vertAlign w:val="superscript"/>
        </w:rPr>
        <w:t xml:space="preserve"> </w:t>
      </w:r>
      <w:r w:rsidRPr="00490C53">
        <w:t xml:space="preserve">This suggests that, on average, </w:t>
      </w:r>
      <w:r w:rsidR="00E13B72" w:rsidRPr="00490C53">
        <w:t xml:space="preserve">BBLS and CBILS/CLBILS </w:t>
      </w:r>
      <w:r w:rsidRPr="00490C53">
        <w:t>borrowers</w:t>
      </w:r>
      <w:r w:rsidR="002C131E" w:rsidRPr="00490C53">
        <w:t xml:space="preserve">’ turnover was respectively </w:t>
      </w:r>
      <w:r w:rsidRPr="00490C53">
        <w:t xml:space="preserve">10% and 12% </w:t>
      </w:r>
      <w:r w:rsidR="00A06EAE" w:rsidRPr="00490C53">
        <w:t xml:space="preserve">higher than </w:t>
      </w:r>
      <w:r w:rsidR="000D36C2" w:rsidRPr="00490C53">
        <w:t xml:space="preserve">it would have been </w:t>
      </w:r>
      <w:r w:rsidR="00AB12B2" w:rsidRPr="00490C53">
        <w:t>in the absence of the Covid-19 Loan Guarantee Schemes</w:t>
      </w:r>
      <w:r w:rsidRPr="00490C53">
        <w:t xml:space="preserve">. </w:t>
      </w:r>
      <w:r w:rsidRPr="00846F78">
        <w:t xml:space="preserve">It should be noted that this estimated impact is in addition to the business survival analysis in the previous section, since businesses that </w:t>
      </w:r>
      <w:r w:rsidR="004550ED">
        <w:t>permanently closed</w:t>
      </w:r>
      <w:r w:rsidR="004550ED" w:rsidRPr="00846F78">
        <w:t xml:space="preserve"> </w:t>
      </w:r>
      <w:r w:rsidRPr="00846F78">
        <w:t xml:space="preserve">in </w:t>
      </w:r>
      <w:r w:rsidR="008803AC" w:rsidRPr="00846F78">
        <w:t xml:space="preserve">the first year of the pandemic </w:t>
      </w:r>
      <w:r w:rsidRPr="00846F78">
        <w:t>were excluded from the econometric analysis of turnover and employment.</w:t>
      </w:r>
    </w:p>
    <w:p w14:paraId="419D58FF" w14:textId="02C10A79" w:rsidR="00C146E8" w:rsidRDefault="00C146E8" w:rsidP="00C146E8">
      <w:r w:rsidRPr="00490C53">
        <w:t>The variable "</w:t>
      </w:r>
      <w:proofErr w:type="gramStart"/>
      <w:r w:rsidRPr="00490C53">
        <w:t>Post-intervention</w:t>
      </w:r>
      <w:proofErr w:type="gramEnd"/>
      <w:r w:rsidRPr="00490C53">
        <w:t xml:space="preserve">" is negative and statistically significant in both models, and suggests that, on average, non-borrowers experienced a drop in post-pandemic </w:t>
      </w:r>
      <w:r w:rsidR="006863A7" w:rsidRPr="00490C53">
        <w:t xml:space="preserve">turnover </w:t>
      </w:r>
      <w:r w:rsidRPr="00490C53">
        <w:t>compared to the pre-pandemic period of 8</w:t>
      </w:r>
      <w:r w:rsidR="00B348C0">
        <w:t>.4</w:t>
      </w:r>
      <w:r w:rsidRPr="00490C53">
        <w:t xml:space="preserve">% </w:t>
      </w:r>
      <w:r w:rsidR="00F06609" w:rsidRPr="00490C53">
        <w:t xml:space="preserve">in the case of the </w:t>
      </w:r>
      <w:r w:rsidRPr="00490C53">
        <w:t>BBLS and 1</w:t>
      </w:r>
      <w:r w:rsidR="00B348C0">
        <w:t>0.8</w:t>
      </w:r>
      <w:r w:rsidRPr="00490C53">
        <w:t xml:space="preserve">% </w:t>
      </w:r>
      <w:r w:rsidR="00F06609" w:rsidRPr="00490C53">
        <w:t xml:space="preserve">in the case of the </w:t>
      </w:r>
      <w:r w:rsidRPr="00490C53">
        <w:t xml:space="preserve">CBILS/CLBILS. </w:t>
      </w:r>
    </w:p>
    <w:p w14:paraId="42CDF667" w14:textId="43DEF4A5" w:rsidR="00197920" w:rsidRDefault="00197920" w:rsidP="00197920">
      <w:pPr>
        <w:pStyle w:val="Heading5"/>
      </w:pPr>
      <w:r>
        <w:t xml:space="preserve">Table </w:t>
      </w:r>
      <w:r>
        <w:fldChar w:fldCharType="begin"/>
      </w:r>
      <w:r>
        <w:instrText>SEQ Table \* ARABIC</w:instrText>
      </w:r>
      <w:r>
        <w:fldChar w:fldCharType="separate"/>
      </w:r>
      <w:r w:rsidR="00397D49">
        <w:rPr>
          <w:noProof/>
        </w:rPr>
        <w:t>14</w:t>
      </w:r>
      <w:r>
        <w:fldChar w:fldCharType="end"/>
      </w:r>
      <w:r>
        <w:t xml:space="preserve">: Percentage </w:t>
      </w:r>
      <w:r w:rsidR="003D7C5B">
        <w:t>change</w:t>
      </w:r>
      <w:r>
        <w:t xml:space="preserve"> in turnover </w:t>
      </w:r>
    </w:p>
    <w:tbl>
      <w:tblPr>
        <w:tblStyle w:val="TableGrid"/>
        <w:tblW w:w="4958" w:type="pct"/>
        <w:tblLook w:val="04A0" w:firstRow="1" w:lastRow="0" w:firstColumn="1" w:lastColumn="0" w:noHBand="0" w:noVBand="1"/>
      </w:tblPr>
      <w:tblGrid>
        <w:gridCol w:w="3829"/>
        <w:gridCol w:w="2551"/>
        <w:gridCol w:w="330"/>
        <w:gridCol w:w="3359"/>
      </w:tblGrid>
      <w:tr w:rsidR="00197920" w:rsidRPr="00490C53" w14:paraId="51865B51" w14:textId="77777777" w:rsidTr="00A36500">
        <w:trPr>
          <w:cnfStyle w:val="100000000000" w:firstRow="1" w:lastRow="0" w:firstColumn="0" w:lastColumn="0" w:oddVBand="0" w:evenVBand="0" w:oddHBand="0" w:evenHBand="0" w:firstRowFirstColumn="0" w:firstRowLastColumn="0" w:lastRowFirstColumn="0" w:lastRowLastColumn="0"/>
          <w:trHeight w:val="290"/>
          <w:tblHeader/>
        </w:trPr>
        <w:tc>
          <w:tcPr>
            <w:tcW w:w="1901" w:type="pct"/>
            <w:noWrap/>
            <w:vAlign w:val="center"/>
          </w:tcPr>
          <w:p w14:paraId="2F874040" w14:textId="40714E01" w:rsidR="00197920" w:rsidRPr="00490C53" w:rsidRDefault="00197920">
            <w:pPr>
              <w:pStyle w:val="Tablecolumnheading-white"/>
              <w:rPr>
                <w:bCs/>
              </w:rPr>
            </w:pPr>
            <w:r>
              <w:rPr>
                <w:bCs/>
              </w:rPr>
              <w:t>Model</w:t>
            </w:r>
          </w:p>
        </w:tc>
        <w:tc>
          <w:tcPr>
            <w:tcW w:w="1267" w:type="pct"/>
            <w:vAlign w:val="center"/>
          </w:tcPr>
          <w:p w14:paraId="72B89583" w14:textId="1F72DD0A" w:rsidR="00197920" w:rsidRPr="00490C53" w:rsidRDefault="00197920">
            <w:pPr>
              <w:pStyle w:val="Tablecolumnheading-white"/>
              <w:rPr>
                <w:bCs/>
              </w:rPr>
            </w:pPr>
            <w:r>
              <w:rPr>
                <w:bCs/>
              </w:rPr>
              <w:t>Post-intervention</w:t>
            </w:r>
          </w:p>
        </w:tc>
        <w:tc>
          <w:tcPr>
            <w:tcW w:w="1832" w:type="pct"/>
            <w:gridSpan w:val="2"/>
            <w:vAlign w:val="center"/>
          </w:tcPr>
          <w:p w14:paraId="2E4CC09F" w14:textId="16D77764" w:rsidR="00197920" w:rsidRPr="00490C53" w:rsidRDefault="00197920">
            <w:pPr>
              <w:pStyle w:val="Tablecolumnheading-white"/>
              <w:rPr>
                <w:bCs/>
              </w:rPr>
            </w:pPr>
            <w:r>
              <w:rPr>
                <w:bCs/>
              </w:rPr>
              <w:t>Borrower, post-intervention</w:t>
            </w:r>
            <w:r w:rsidR="003D7C5B">
              <w:rPr>
                <w:bCs/>
              </w:rPr>
              <w:t xml:space="preserve"> (impact estimate)</w:t>
            </w:r>
          </w:p>
        </w:tc>
      </w:tr>
      <w:tr w:rsidR="006D7691" w:rsidRPr="00490C53" w14:paraId="641F7963"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1901" w:type="pct"/>
            <w:vAlign w:val="center"/>
          </w:tcPr>
          <w:p w14:paraId="2A6A1E2D" w14:textId="5BCE1A09" w:rsidR="006D7691" w:rsidRPr="00490C53" w:rsidRDefault="006D7691">
            <w:pPr>
              <w:pStyle w:val="Tabletext"/>
            </w:pPr>
            <w:r>
              <w:t>BBLS with CJRS control</w:t>
            </w:r>
          </w:p>
        </w:tc>
        <w:tc>
          <w:tcPr>
            <w:tcW w:w="1431" w:type="pct"/>
            <w:gridSpan w:val="2"/>
            <w:vAlign w:val="center"/>
          </w:tcPr>
          <w:p w14:paraId="44145F77" w14:textId="615B8D4F" w:rsidR="006D7691" w:rsidRPr="00490C53" w:rsidRDefault="006D7691" w:rsidP="00BD366D">
            <w:pPr>
              <w:pStyle w:val="Tabletext"/>
              <w:jc w:val="center"/>
            </w:pPr>
            <w:r>
              <w:t>-8</w:t>
            </w:r>
            <w:r w:rsidR="00B348C0">
              <w:t>.4</w:t>
            </w:r>
            <w:r>
              <w:t>%***</w:t>
            </w:r>
          </w:p>
        </w:tc>
        <w:tc>
          <w:tcPr>
            <w:tcW w:w="1668" w:type="pct"/>
            <w:vAlign w:val="center"/>
          </w:tcPr>
          <w:p w14:paraId="5C9F3E22" w14:textId="42BB7D6D" w:rsidR="006D7691" w:rsidRPr="00490C53" w:rsidRDefault="00B348C0" w:rsidP="00BD366D">
            <w:pPr>
              <w:pStyle w:val="Tabletext"/>
              <w:jc w:val="center"/>
            </w:pPr>
            <w:r>
              <w:t>9.7</w:t>
            </w:r>
            <w:r w:rsidR="006D7691">
              <w:t>%***</w:t>
            </w:r>
          </w:p>
        </w:tc>
      </w:tr>
      <w:tr w:rsidR="006D7691" w:rsidRPr="00490C53" w14:paraId="71D8DFCC" w14:textId="77777777" w:rsidTr="00A36500">
        <w:tblPrEx>
          <w:tblCellMar>
            <w:left w:w="108" w:type="dxa"/>
            <w:right w:w="108" w:type="dxa"/>
          </w:tblCellMar>
        </w:tblPrEx>
        <w:trPr>
          <w:trHeight w:val="870"/>
        </w:trPr>
        <w:tc>
          <w:tcPr>
            <w:tcW w:w="1901" w:type="pct"/>
            <w:tcBorders>
              <w:bottom w:val="single" w:sz="4" w:space="0" w:color="0054BA" w:themeColor="accent2"/>
            </w:tcBorders>
            <w:vAlign w:val="center"/>
          </w:tcPr>
          <w:p w14:paraId="2680BF68" w14:textId="58A307A2" w:rsidR="006D7691" w:rsidRDefault="006D7691">
            <w:pPr>
              <w:pStyle w:val="Tabletext"/>
            </w:pPr>
            <w:r>
              <w:t>CBILS/CLBILS with CJRS control</w:t>
            </w:r>
          </w:p>
        </w:tc>
        <w:tc>
          <w:tcPr>
            <w:tcW w:w="1431" w:type="pct"/>
            <w:gridSpan w:val="2"/>
            <w:tcBorders>
              <w:bottom w:val="single" w:sz="4" w:space="0" w:color="0054BA" w:themeColor="accent2"/>
            </w:tcBorders>
            <w:vAlign w:val="center"/>
          </w:tcPr>
          <w:p w14:paraId="3D9E891B" w14:textId="2DC7A4A7" w:rsidR="006D7691" w:rsidRPr="00B52312" w:rsidRDefault="006D7691" w:rsidP="006D7691">
            <w:pPr>
              <w:pStyle w:val="Tabletext"/>
              <w:jc w:val="center"/>
            </w:pPr>
            <w:r>
              <w:t>-1</w:t>
            </w:r>
            <w:r w:rsidR="00B348C0">
              <w:t>0.8</w:t>
            </w:r>
            <w:r>
              <w:t>%***</w:t>
            </w:r>
          </w:p>
        </w:tc>
        <w:tc>
          <w:tcPr>
            <w:tcW w:w="1668" w:type="pct"/>
            <w:tcBorders>
              <w:bottom w:val="single" w:sz="4" w:space="0" w:color="0054BA" w:themeColor="accent2"/>
            </w:tcBorders>
            <w:vAlign w:val="center"/>
          </w:tcPr>
          <w:p w14:paraId="343BB699" w14:textId="5F047448" w:rsidR="006D7691" w:rsidRPr="00B52312" w:rsidRDefault="006D7691" w:rsidP="006D7691">
            <w:pPr>
              <w:pStyle w:val="Tabletext"/>
              <w:jc w:val="center"/>
            </w:pPr>
            <w:r>
              <w:t>1</w:t>
            </w:r>
            <w:r w:rsidR="00B348C0">
              <w:t>1.5</w:t>
            </w:r>
            <w:r>
              <w:t>%***</w:t>
            </w:r>
          </w:p>
        </w:tc>
      </w:tr>
    </w:tbl>
    <w:p w14:paraId="4584F185" w14:textId="390DBC88" w:rsidR="006D7691" w:rsidRPr="00A36500" w:rsidRDefault="006D7691" w:rsidP="006D7691">
      <w:pPr>
        <w:rPr>
          <w:iCs/>
          <w:color w:val="555674"/>
          <w:szCs w:val="18"/>
        </w:rPr>
      </w:pPr>
      <w:r w:rsidRPr="00F2246F">
        <w:rPr>
          <w:iCs/>
          <w:color w:val="555674"/>
          <w:szCs w:val="18"/>
        </w:rPr>
        <w:t xml:space="preserve">Note: *** p-value&lt;0.01, ** p-value&lt;0.05, * p-value&lt;0.1. </w:t>
      </w:r>
      <w:r w:rsidR="006E5CA3" w:rsidRPr="00F2246F">
        <w:rPr>
          <w:iCs/>
          <w:color w:val="555674"/>
          <w:szCs w:val="18"/>
        </w:rPr>
        <w:t xml:space="preserve">Full results are presented in </w:t>
      </w:r>
      <w:r w:rsidR="006E5CA3" w:rsidRPr="00F2246F">
        <w:rPr>
          <w:iCs/>
          <w:color w:val="555674"/>
          <w:szCs w:val="18"/>
        </w:rPr>
        <w:fldChar w:fldCharType="begin"/>
      </w:r>
      <w:r w:rsidR="006E5CA3" w:rsidRPr="00F2246F">
        <w:rPr>
          <w:iCs/>
          <w:color w:val="555674"/>
          <w:szCs w:val="18"/>
        </w:rPr>
        <w:instrText xml:space="preserve"> REF _Ref138342267 \h  \* MERGEFORMAT </w:instrText>
      </w:r>
      <w:r w:rsidR="006E5CA3" w:rsidRPr="00F2246F">
        <w:rPr>
          <w:iCs/>
          <w:color w:val="555674"/>
          <w:szCs w:val="18"/>
        </w:rPr>
      </w:r>
      <w:r w:rsidR="006E5CA3" w:rsidRPr="00F2246F">
        <w:rPr>
          <w:iCs/>
          <w:color w:val="555674"/>
          <w:szCs w:val="18"/>
        </w:rPr>
        <w:fldChar w:fldCharType="separate"/>
      </w:r>
      <w:r w:rsidR="00397D49" w:rsidRPr="00236B73">
        <w:rPr>
          <w:iCs/>
          <w:color w:val="555674"/>
          <w:szCs w:val="18"/>
        </w:rPr>
        <w:t>Table 45</w:t>
      </w:r>
      <w:r w:rsidR="006E5CA3" w:rsidRPr="00F2246F">
        <w:rPr>
          <w:iCs/>
          <w:color w:val="555674"/>
          <w:szCs w:val="18"/>
        </w:rPr>
        <w:fldChar w:fldCharType="end"/>
      </w:r>
      <w:r w:rsidR="006E5CA3" w:rsidRPr="00F2246F">
        <w:rPr>
          <w:iCs/>
          <w:color w:val="555674"/>
          <w:szCs w:val="18"/>
        </w:rPr>
        <w:t xml:space="preserve"> in </w:t>
      </w:r>
      <w:r w:rsidR="006E5CA3" w:rsidRPr="00F2246F">
        <w:rPr>
          <w:iCs/>
          <w:color w:val="555674"/>
          <w:szCs w:val="18"/>
        </w:rPr>
        <w:fldChar w:fldCharType="begin"/>
      </w:r>
      <w:r w:rsidR="006E5CA3" w:rsidRPr="00F2246F">
        <w:rPr>
          <w:iCs/>
          <w:color w:val="555674"/>
          <w:szCs w:val="18"/>
        </w:rPr>
        <w:instrText xml:space="preserve"> REF _Ref126237016 \h  \* MERGEFORMAT </w:instrText>
      </w:r>
      <w:r w:rsidR="006E5CA3" w:rsidRPr="00F2246F">
        <w:rPr>
          <w:iCs/>
          <w:color w:val="555674"/>
          <w:szCs w:val="18"/>
        </w:rPr>
      </w:r>
      <w:r w:rsidR="006E5CA3" w:rsidRPr="00F2246F">
        <w:rPr>
          <w:iCs/>
          <w:color w:val="555674"/>
          <w:szCs w:val="18"/>
        </w:rPr>
        <w:fldChar w:fldCharType="separate"/>
      </w:r>
      <w:r w:rsidR="00397D49" w:rsidRPr="00236B73">
        <w:rPr>
          <w:iCs/>
          <w:color w:val="555674"/>
          <w:szCs w:val="18"/>
        </w:rPr>
        <w:t>Annex 4</w:t>
      </w:r>
      <w:r w:rsidR="006E5CA3" w:rsidRPr="00F2246F">
        <w:rPr>
          <w:iCs/>
          <w:color w:val="555674"/>
          <w:szCs w:val="18"/>
        </w:rPr>
        <w:fldChar w:fldCharType="end"/>
      </w:r>
      <w:r w:rsidR="006E5CA3" w:rsidRPr="00F2246F">
        <w:rPr>
          <w:iCs/>
          <w:color w:val="555674"/>
          <w:szCs w:val="18"/>
        </w:rPr>
        <w:t xml:space="preserve">. </w:t>
      </w:r>
      <w:r w:rsidR="003A5E9E" w:rsidRPr="00A36500">
        <w:rPr>
          <w:iCs/>
          <w:color w:val="555674"/>
          <w:szCs w:val="18"/>
        </w:rPr>
        <w:t xml:space="preserve">Given that the dependent variable of the regression is expressed in logarithmic form, the percentage change in turnover associated with borrowers’ use of the Covid-19 Loan Guarantee Schemes (denoted by the variable “Borrower, post-intervention” taking the value of 1) is approximately equal to </w:t>
      </w:r>
      <m:oMath>
        <m:sSup>
          <m:sSupPr>
            <m:ctrlPr>
              <w:rPr>
                <w:rFonts w:ascii="Cambria Math" w:hAnsi="Cambria Math"/>
                <w:iCs/>
                <w:color w:val="555674"/>
                <w:szCs w:val="18"/>
              </w:rPr>
            </m:ctrlPr>
          </m:sSupPr>
          <m:e>
            <m:r>
              <m:rPr>
                <m:sty m:val="p"/>
              </m:rPr>
              <w:rPr>
                <w:rFonts w:ascii="Cambria Math" w:hAnsi="Cambria Math"/>
                <w:color w:val="555674"/>
                <w:szCs w:val="18"/>
              </w:rPr>
              <m:t>(</m:t>
            </m:r>
            <m:r>
              <w:rPr>
                <w:rFonts w:ascii="Cambria Math" w:hAnsi="Cambria Math"/>
                <w:color w:val="555674"/>
                <w:szCs w:val="18"/>
              </w:rPr>
              <m:t>e</m:t>
            </m:r>
          </m:e>
          <m:sup>
            <m:r>
              <w:rPr>
                <w:rFonts w:ascii="Cambria Math" w:hAnsi="Cambria Math"/>
                <w:color w:val="555674"/>
                <w:szCs w:val="18"/>
              </w:rPr>
              <m:t>λ</m:t>
            </m:r>
          </m:sup>
        </m:sSup>
        <m:r>
          <m:rPr>
            <m:sty m:val="p"/>
          </m:rPr>
          <w:rPr>
            <w:rFonts w:ascii="Cambria Math" w:hAnsi="Cambria Math"/>
            <w:color w:val="555674"/>
            <w:szCs w:val="18"/>
          </w:rPr>
          <m:t>-1)×100</m:t>
        </m:r>
      </m:oMath>
      <w:r w:rsidR="003A5E9E" w:rsidRPr="00A36500">
        <w:rPr>
          <w:iCs/>
          <w:color w:val="555674"/>
          <w:szCs w:val="18"/>
        </w:rPr>
        <w:t xml:space="preserve">, where </w:t>
      </w:r>
      <m:oMath>
        <m:r>
          <w:rPr>
            <w:rFonts w:ascii="Cambria Math" w:hAnsi="Cambria Math"/>
            <w:color w:val="555674"/>
            <w:szCs w:val="18"/>
          </w:rPr>
          <m:t>λ</m:t>
        </m:r>
      </m:oMath>
      <w:r w:rsidR="003A5E9E" w:rsidRPr="00A36500">
        <w:rPr>
          <w:iCs/>
          <w:color w:val="555674"/>
          <w:szCs w:val="18"/>
        </w:rPr>
        <w:t xml:space="preserve"> is the regression coefficient of that variable. </w:t>
      </w:r>
      <w:r w:rsidRPr="00F2246F">
        <w:rPr>
          <w:iCs/>
          <w:color w:val="555674"/>
          <w:szCs w:val="18"/>
        </w:rPr>
        <w:t>Source: London Economics’ analysis of IDBR data</w:t>
      </w:r>
      <w:r w:rsidR="004E4BC5" w:rsidRPr="00F2246F">
        <w:rPr>
          <w:iCs/>
          <w:color w:val="555674"/>
          <w:szCs w:val="18"/>
        </w:rPr>
        <w:t>, BBB Portal Data and HMRC Coronavirus Job Retention Scheme (CJRS) data</w:t>
      </w:r>
      <w:r w:rsidRPr="00F2246F">
        <w:rPr>
          <w:iCs/>
          <w:color w:val="555674"/>
          <w:szCs w:val="18"/>
        </w:rPr>
        <w:t>.</w:t>
      </w:r>
    </w:p>
    <w:p w14:paraId="4C6C1404" w14:textId="35DF0130" w:rsidR="00C146E8" w:rsidRPr="00490C53" w:rsidRDefault="00060C28" w:rsidP="00C146E8">
      <w:r>
        <w:t xml:space="preserve">As shown </w:t>
      </w:r>
      <w:r w:rsidRPr="00A36500">
        <w:rPr>
          <w:rStyle w:val="Emphasis"/>
          <w:b w:val="0"/>
          <w:color w:val="auto"/>
        </w:rPr>
        <w:t xml:space="preserve">in </w:t>
      </w:r>
      <w:r w:rsidRPr="00A36500">
        <w:fldChar w:fldCharType="begin"/>
      </w:r>
      <w:r w:rsidRPr="00A36500">
        <w:instrText xml:space="preserve"> REF _Ref126237016 \h  \* MERGEFORMAT </w:instrText>
      </w:r>
      <w:r w:rsidRPr="00A36500">
        <w:fldChar w:fldCharType="separate"/>
      </w:r>
      <w:r w:rsidR="00397D49" w:rsidRPr="00490C53">
        <w:t xml:space="preserve">Annex </w:t>
      </w:r>
      <w:r w:rsidR="00397D49">
        <w:t>4</w:t>
      </w:r>
      <w:r w:rsidRPr="00A36500">
        <w:fldChar w:fldCharType="end"/>
      </w:r>
      <w:r w:rsidRPr="00A36500">
        <w:t xml:space="preserve">, </w:t>
      </w:r>
      <w:r>
        <w:t>t</w:t>
      </w:r>
      <w:r w:rsidR="00C146E8" w:rsidRPr="00490C53">
        <w:t xml:space="preserve">he inclusion </w:t>
      </w:r>
      <w:r>
        <w:t xml:space="preserve">or exclusion </w:t>
      </w:r>
      <w:r w:rsidR="00C146E8" w:rsidRPr="00490C53">
        <w:t xml:space="preserve">of </w:t>
      </w:r>
      <w:r w:rsidR="007B19C7">
        <w:t xml:space="preserve">the </w:t>
      </w:r>
      <w:r w:rsidR="00C146E8" w:rsidRPr="00490C53">
        <w:t xml:space="preserve">variable accounting for participation in the CJRS does not </w:t>
      </w:r>
      <w:r w:rsidR="00277CFC">
        <w:t>have a material impact on</w:t>
      </w:r>
      <w:r w:rsidR="00277CFC" w:rsidRPr="00490C53">
        <w:t xml:space="preserve"> </w:t>
      </w:r>
      <w:r w:rsidR="00C146E8" w:rsidRPr="00490C53">
        <w:t>the statistical significance</w:t>
      </w:r>
      <w:r w:rsidR="00277CFC">
        <w:t xml:space="preserve"> or size</w:t>
      </w:r>
      <w:r w:rsidR="00C146E8" w:rsidRPr="00490C53">
        <w:t xml:space="preserve"> of the estimated </w:t>
      </w:r>
      <w:r w:rsidR="00C146E8" w:rsidRPr="00490C53">
        <w:lastRenderedPageBreak/>
        <w:t xml:space="preserve">impact. </w:t>
      </w:r>
      <w:r w:rsidR="00164614">
        <w:t xml:space="preserve">This suggests that </w:t>
      </w:r>
      <w:r w:rsidR="00277CFC">
        <w:t>the positive estimate of the impact of the scheme is not driven by use of the CJRS and incorrectly attributed to the Covid-19 Loan Guarantee Schemes</w:t>
      </w:r>
      <w:r w:rsidR="00164614">
        <w:t xml:space="preserve">. </w:t>
      </w:r>
      <w:r w:rsidR="00A027BE">
        <w:t xml:space="preserve">As shown </w:t>
      </w:r>
      <w:r w:rsidR="00A027BE" w:rsidRPr="00A36500">
        <w:t xml:space="preserve">in </w:t>
      </w:r>
      <w:r w:rsidR="00A027BE" w:rsidRPr="00A36500">
        <w:fldChar w:fldCharType="begin"/>
      </w:r>
      <w:r w:rsidR="00A027BE" w:rsidRPr="00A36500">
        <w:instrText xml:space="preserve"> REF _Ref126237016 \h  \* MERGEFORMAT </w:instrText>
      </w:r>
      <w:r w:rsidR="00A027BE" w:rsidRPr="00A36500">
        <w:fldChar w:fldCharType="separate"/>
      </w:r>
      <w:r w:rsidR="00397D49" w:rsidRPr="00490C53">
        <w:t xml:space="preserve">Annex </w:t>
      </w:r>
      <w:r w:rsidR="00397D49">
        <w:t>4</w:t>
      </w:r>
      <w:r w:rsidR="00A027BE" w:rsidRPr="00A36500">
        <w:fldChar w:fldCharType="end"/>
      </w:r>
      <w:r w:rsidR="00A027BE" w:rsidRPr="00A36500">
        <w:t xml:space="preserve">, the </w:t>
      </w:r>
      <w:r w:rsidR="00C146E8" w:rsidRPr="00490C53">
        <w:t>coefficient related to CJRS use is statistically significant and positive for both BBLS and CBILS/CLBILS.</w:t>
      </w:r>
      <w:r w:rsidR="00C146E8" w:rsidRPr="00490C53">
        <w:rPr>
          <w:rStyle w:val="FootnoteReference"/>
        </w:rPr>
        <w:footnoteReference w:id="91"/>
      </w:r>
      <w:r w:rsidR="00C146E8" w:rsidRPr="00490C53">
        <w:t xml:space="preserve"> The use of CJRS is associated with an additional 2</w:t>
      </w:r>
      <w:r w:rsidR="00B348C0">
        <w:t>.1</w:t>
      </w:r>
      <w:r w:rsidR="00C146E8" w:rsidRPr="00490C53">
        <w:t xml:space="preserve">% of turnover for BBLS and </w:t>
      </w:r>
      <w:r w:rsidR="00B348C0">
        <w:t>5.5</w:t>
      </w:r>
      <w:r w:rsidR="00C146E8" w:rsidRPr="00490C53">
        <w:t>% for CBILS/CLBILS.</w:t>
      </w:r>
      <w:r w:rsidR="00066986">
        <w:rPr>
          <w:rStyle w:val="FootnoteReference"/>
        </w:rPr>
        <w:footnoteReference w:id="92"/>
      </w:r>
    </w:p>
    <w:p w14:paraId="17B8E574" w14:textId="33353E00" w:rsidR="00656E0A" w:rsidRPr="00490C53" w:rsidRDefault="00656E0A" w:rsidP="00656E0A">
      <w:proofErr w:type="gramStart"/>
      <w:r w:rsidRPr="00490C53">
        <w:t>In order to</w:t>
      </w:r>
      <w:proofErr w:type="gramEnd"/>
      <w:r w:rsidRPr="00490C53">
        <w:t xml:space="preserve"> explore whether results vary across sectors or geographically,</w:t>
      </w:r>
      <w:r w:rsidR="00456F64">
        <w:rPr>
          <w:rStyle w:val="FootnoteReference"/>
        </w:rPr>
        <w:footnoteReference w:id="93"/>
      </w:r>
      <w:r w:rsidRPr="00490C53">
        <w:t xml:space="preserve"> the impacts were also estimated according to these </w:t>
      </w:r>
      <w:r w:rsidR="00DE11EE" w:rsidRPr="00490C53">
        <w:t xml:space="preserve">business </w:t>
      </w:r>
      <w:r w:rsidRPr="00490C53">
        <w:t>characteristics. The estimated coefficients of interest (“Borrower, post intervention”</w:t>
      </w:r>
      <w:r w:rsidR="009246E5">
        <w:t>, interacted with each sector or region</w:t>
      </w:r>
      <w:r w:rsidRPr="00490C53">
        <w:t xml:space="preserve">) </w:t>
      </w:r>
      <w:r w:rsidR="009246E5">
        <w:t>are</w:t>
      </w:r>
      <w:r w:rsidR="009246E5" w:rsidRPr="00490C53">
        <w:t xml:space="preserve"> </w:t>
      </w:r>
      <w:r w:rsidRPr="00490C53">
        <w:t>largely statistically significant</w:t>
      </w:r>
      <w:r w:rsidR="005B1BF8" w:rsidRPr="00490C53">
        <w:t>, with a few exceptions</w:t>
      </w:r>
      <w:r w:rsidR="00322107" w:rsidRPr="00490C53">
        <w:t xml:space="preserve">: </w:t>
      </w:r>
      <w:r w:rsidR="0062532B" w:rsidRPr="0062532B">
        <w:t>North / Yorkshire</w:t>
      </w:r>
      <w:r w:rsidR="00322107" w:rsidRPr="00490C53">
        <w:t xml:space="preserve">, Northern Ireland and Wales </w:t>
      </w:r>
      <w:r w:rsidR="000E5343" w:rsidRPr="00490C53">
        <w:t>in the case of BBLS</w:t>
      </w:r>
      <w:r w:rsidR="005C5208" w:rsidRPr="00490C53">
        <w:t xml:space="preserve">; </w:t>
      </w:r>
      <w:r w:rsidR="00F31115" w:rsidRPr="00490C53">
        <w:t xml:space="preserve">and </w:t>
      </w:r>
      <w:r w:rsidR="00B17D7A" w:rsidRPr="00490C53">
        <w:t xml:space="preserve">Northern Ireland, Scotland and the South of England, as well as </w:t>
      </w:r>
      <w:r w:rsidR="00F31115" w:rsidRPr="00490C53">
        <w:t xml:space="preserve">the </w:t>
      </w:r>
      <w:r w:rsidR="00AB1691" w:rsidRPr="00490C53">
        <w:t>“Other Services”</w:t>
      </w:r>
      <w:r w:rsidRPr="00490C53">
        <w:t xml:space="preserve"> </w:t>
      </w:r>
      <w:r w:rsidR="00F31115" w:rsidRPr="00490C53">
        <w:t>sector</w:t>
      </w:r>
      <w:r w:rsidRPr="00490C53">
        <w:t xml:space="preserve"> in the CBILS/CLBILS model</w:t>
      </w:r>
      <w:r w:rsidR="00F31115" w:rsidRPr="00490C53">
        <w:t>.</w:t>
      </w:r>
      <w:r w:rsidRPr="00490C53">
        <w:rPr>
          <w:rStyle w:val="FootnoteReference"/>
        </w:rPr>
        <w:footnoteReference w:id="94"/>
      </w:r>
      <w:r w:rsidRPr="00490C53">
        <w:t xml:space="preserve"> (</w:t>
      </w:r>
      <w:r w:rsidR="00EC0454" w:rsidRPr="00846F78">
        <w:t>S</w:t>
      </w:r>
      <w:r w:rsidRPr="00490C53">
        <w:t>e</w:t>
      </w:r>
      <w:r w:rsidR="007C65FE" w:rsidRPr="00846F78">
        <w:t>e</w:t>
      </w:r>
      <w:r w:rsidR="00826F9E">
        <w:t xml:space="preserve"> </w:t>
      </w:r>
      <w:r w:rsidR="00DD7227">
        <w:fldChar w:fldCharType="begin"/>
      </w:r>
      <w:r w:rsidR="00DD7227">
        <w:instrText xml:space="preserve"> REF _Ref151545687 \h </w:instrText>
      </w:r>
      <w:r w:rsidR="00DD7227">
        <w:fldChar w:fldCharType="separate"/>
      </w:r>
      <w:r w:rsidR="00397D49" w:rsidRPr="00490C53">
        <w:t xml:space="preserve">Table </w:t>
      </w:r>
      <w:r w:rsidR="00397D49">
        <w:rPr>
          <w:noProof/>
        </w:rPr>
        <w:t>48</w:t>
      </w:r>
      <w:r w:rsidR="00DD7227">
        <w:fldChar w:fldCharType="end"/>
      </w:r>
      <w:r w:rsidR="00DD7227">
        <w:t xml:space="preserve"> and </w:t>
      </w:r>
      <w:r w:rsidR="00DD7227">
        <w:fldChar w:fldCharType="begin"/>
      </w:r>
      <w:r w:rsidR="00DD7227">
        <w:instrText xml:space="preserve"> REF _Ref151545722 \h </w:instrText>
      </w:r>
      <w:r w:rsidR="00DD7227">
        <w:fldChar w:fldCharType="separate"/>
      </w:r>
      <w:r w:rsidR="00397D49" w:rsidRPr="00490C53">
        <w:t xml:space="preserve">Table </w:t>
      </w:r>
      <w:r w:rsidR="00397D49">
        <w:rPr>
          <w:noProof/>
        </w:rPr>
        <w:t>50</w:t>
      </w:r>
      <w:r w:rsidR="00DD7227">
        <w:fldChar w:fldCharType="end"/>
      </w:r>
      <w:r w:rsidR="00826F9E">
        <w:t xml:space="preserve"> </w:t>
      </w:r>
      <w:r w:rsidR="00F31115" w:rsidRPr="00490C53">
        <w:t xml:space="preserve">in </w:t>
      </w:r>
      <w:r w:rsidR="00FC29E5">
        <w:fldChar w:fldCharType="begin"/>
      </w:r>
      <w:r w:rsidR="00FC29E5">
        <w:instrText xml:space="preserve"> REF _Ref126237016 \h </w:instrText>
      </w:r>
      <w:r w:rsidR="00FC29E5">
        <w:fldChar w:fldCharType="separate"/>
      </w:r>
      <w:r w:rsidR="00397D49" w:rsidRPr="00490C53">
        <w:t xml:space="preserve">Annex </w:t>
      </w:r>
      <w:r w:rsidR="00397D49">
        <w:t>4</w:t>
      </w:r>
      <w:r w:rsidR="00FC29E5">
        <w:fldChar w:fldCharType="end"/>
      </w:r>
      <w:r w:rsidRPr="00490C53">
        <w:t>).</w:t>
      </w:r>
    </w:p>
    <w:p w14:paraId="202E6038" w14:textId="77777777" w:rsidR="00C146E8" w:rsidRPr="005D5D23" w:rsidRDefault="00C146E8" w:rsidP="00236B73">
      <w:bookmarkStart w:id="145" w:name="_Ref125384427"/>
      <w:r w:rsidRPr="00236B73">
        <w:rPr>
          <w:color w:val="142855" w:themeColor="text2"/>
        </w:rPr>
        <w:t>Employment</w:t>
      </w:r>
      <w:bookmarkEnd w:id="145"/>
    </w:p>
    <w:p w14:paraId="2E2E060F" w14:textId="6682C345" w:rsidR="00C146E8" w:rsidRPr="00490C53" w:rsidRDefault="00C146E8" w:rsidP="00C146E8">
      <w:r w:rsidRPr="00490C53">
        <w:t>The econometric analysis finds a positive and statistically significant impact of the BBLS scheme and the CBILS/CLBILS schemes on borrowers’ employment levels.</w:t>
      </w:r>
      <w:r w:rsidRPr="00490C53">
        <w:rPr>
          <w:rStyle w:val="FootnoteReference"/>
        </w:rPr>
        <w:footnoteReference w:id="95"/>
      </w:r>
      <w:r w:rsidRPr="00236B73">
        <w:t xml:space="preserve"> </w:t>
      </w:r>
      <w:r w:rsidRPr="00490C53">
        <w:t xml:space="preserve">This suggests that, on average, </w:t>
      </w:r>
      <w:r w:rsidR="00871D12" w:rsidRPr="00490C53">
        <w:t xml:space="preserve">BBLS and CBILS/CLBILS borrowers’ </w:t>
      </w:r>
      <w:r w:rsidR="00E619DC" w:rsidRPr="00490C53">
        <w:t>employment</w:t>
      </w:r>
      <w:r w:rsidR="00871D12" w:rsidRPr="00490C53">
        <w:t xml:space="preserve"> was respectively </w:t>
      </w:r>
      <w:r w:rsidR="00C33ACA">
        <w:t>5.7</w:t>
      </w:r>
      <w:r w:rsidRPr="00490C53">
        <w:t>% and 9</w:t>
      </w:r>
      <w:r w:rsidR="00C33ACA">
        <w:t>.0</w:t>
      </w:r>
      <w:r w:rsidRPr="00490C53">
        <w:t xml:space="preserve">% </w:t>
      </w:r>
      <w:r w:rsidR="00E619DC" w:rsidRPr="00490C53">
        <w:t xml:space="preserve">higher </w:t>
      </w:r>
      <w:r w:rsidR="00160AC7" w:rsidRPr="00490C53">
        <w:t>than it would have been in the absence of the Covid-19 Loan Guarantee Schemes</w:t>
      </w:r>
      <w:r w:rsidRPr="00490C53">
        <w:t xml:space="preserve">. Again, </w:t>
      </w:r>
      <w:r w:rsidRPr="00846F78">
        <w:t xml:space="preserve">it should be noted that this estimated impact is in addition to the business survival analysis in the previous section, since businesses that </w:t>
      </w:r>
      <w:r w:rsidR="004550ED">
        <w:t>permanently closed</w:t>
      </w:r>
      <w:r w:rsidR="004550ED" w:rsidRPr="00846F78">
        <w:t xml:space="preserve"> </w:t>
      </w:r>
      <w:r w:rsidRPr="00846F78">
        <w:t xml:space="preserve">in </w:t>
      </w:r>
      <w:r w:rsidR="00101D9D" w:rsidRPr="00846F78">
        <w:t xml:space="preserve">the first year of the pandemic </w:t>
      </w:r>
      <w:r w:rsidRPr="00846F78">
        <w:t>were excluded from the econometric analysis of turnover and employment.</w:t>
      </w:r>
    </w:p>
    <w:p w14:paraId="36AB2C64" w14:textId="6B3534B9" w:rsidR="00C146E8" w:rsidRDefault="00C146E8" w:rsidP="00C146E8">
      <w:r w:rsidRPr="00490C53">
        <w:lastRenderedPageBreak/>
        <w:t>The variable "</w:t>
      </w:r>
      <w:proofErr w:type="gramStart"/>
      <w:r w:rsidRPr="00490C53">
        <w:t>Post-intervention</w:t>
      </w:r>
      <w:proofErr w:type="gramEnd"/>
      <w:r w:rsidRPr="00490C53">
        <w:t xml:space="preserve">" is negative and statistically significant in both models, and suggests that, on average, non-borrowers experienced a drop in employment post-pandemic compared to the pre-pandemic period of </w:t>
      </w:r>
      <w:r w:rsidR="00C33ACA">
        <w:t>3.8</w:t>
      </w:r>
      <w:r w:rsidRPr="00490C53">
        <w:t xml:space="preserve">% </w:t>
      </w:r>
      <w:r w:rsidR="00803611" w:rsidRPr="00490C53">
        <w:t xml:space="preserve">in the case of </w:t>
      </w:r>
      <w:r w:rsidRPr="00490C53">
        <w:t xml:space="preserve">BBLS and </w:t>
      </w:r>
      <w:r w:rsidR="00C33ACA">
        <w:t>5.7</w:t>
      </w:r>
      <w:r w:rsidRPr="00490C53">
        <w:t xml:space="preserve">% </w:t>
      </w:r>
      <w:r w:rsidR="00803611" w:rsidRPr="00490C53">
        <w:t xml:space="preserve">in the case of </w:t>
      </w:r>
      <w:r w:rsidRPr="00490C53">
        <w:t xml:space="preserve">CBILS/CLBILS. </w:t>
      </w:r>
    </w:p>
    <w:p w14:paraId="7ED297AD" w14:textId="2EC80972" w:rsidR="006D7691" w:rsidRDefault="006D7691" w:rsidP="006D7691">
      <w:pPr>
        <w:pStyle w:val="Heading5"/>
      </w:pPr>
      <w:r>
        <w:t xml:space="preserve">Table </w:t>
      </w:r>
      <w:r>
        <w:fldChar w:fldCharType="begin"/>
      </w:r>
      <w:r>
        <w:instrText>SEQ Table \* ARABIC</w:instrText>
      </w:r>
      <w:r>
        <w:fldChar w:fldCharType="separate"/>
      </w:r>
      <w:r w:rsidR="00397D49">
        <w:rPr>
          <w:noProof/>
        </w:rPr>
        <w:t>15</w:t>
      </w:r>
      <w:r>
        <w:fldChar w:fldCharType="end"/>
      </w:r>
      <w:r>
        <w:t xml:space="preserve">: Percentage </w:t>
      </w:r>
      <w:r w:rsidR="003D7C5B">
        <w:t>change</w:t>
      </w:r>
      <w:r>
        <w:t xml:space="preserve"> in employment </w:t>
      </w:r>
    </w:p>
    <w:tbl>
      <w:tblPr>
        <w:tblStyle w:val="TableGrid"/>
        <w:tblW w:w="4957" w:type="pct"/>
        <w:tblLook w:val="04A0" w:firstRow="1" w:lastRow="0" w:firstColumn="1" w:lastColumn="0" w:noHBand="0" w:noVBand="1"/>
      </w:tblPr>
      <w:tblGrid>
        <w:gridCol w:w="3118"/>
        <w:gridCol w:w="3089"/>
        <w:gridCol w:w="3860"/>
      </w:tblGrid>
      <w:tr w:rsidR="006D7691" w:rsidRPr="00490C53" w14:paraId="21F65B4C"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1549" w:type="pct"/>
            <w:noWrap/>
            <w:vAlign w:val="center"/>
          </w:tcPr>
          <w:p w14:paraId="7011B278" w14:textId="77777777" w:rsidR="006D7691" w:rsidRPr="00490C53" w:rsidRDefault="006D7691">
            <w:pPr>
              <w:pStyle w:val="Tablecolumnheading-white"/>
              <w:rPr>
                <w:bCs/>
              </w:rPr>
            </w:pPr>
            <w:r>
              <w:rPr>
                <w:bCs/>
              </w:rPr>
              <w:t>Model</w:t>
            </w:r>
          </w:p>
        </w:tc>
        <w:tc>
          <w:tcPr>
            <w:tcW w:w="1534" w:type="pct"/>
            <w:vAlign w:val="center"/>
          </w:tcPr>
          <w:p w14:paraId="71F891B6" w14:textId="77777777" w:rsidR="006D7691" w:rsidRPr="00490C53" w:rsidRDefault="006D7691">
            <w:pPr>
              <w:pStyle w:val="Tablecolumnheading-white"/>
              <w:rPr>
                <w:bCs/>
              </w:rPr>
            </w:pPr>
            <w:r>
              <w:rPr>
                <w:bCs/>
              </w:rPr>
              <w:t>Post-intervention</w:t>
            </w:r>
          </w:p>
        </w:tc>
        <w:tc>
          <w:tcPr>
            <w:tcW w:w="1917" w:type="pct"/>
            <w:vAlign w:val="center"/>
          </w:tcPr>
          <w:p w14:paraId="67FAF783" w14:textId="69679C96" w:rsidR="006D7691" w:rsidRPr="00490C53" w:rsidRDefault="006D7691">
            <w:pPr>
              <w:pStyle w:val="Tablecolumnheading-white"/>
              <w:rPr>
                <w:bCs/>
              </w:rPr>
            </w:pPr>
            <w:r>
              <w:rPr>
                <w:bCs/>
              </w:rPr>
              <w:t>Borrower, post-intervention</w:t>
            </w:r>
            <w:r w:rsidR="003D7C5B">
              <w:rPr>
                <w:bCs/>
              </w:rPr>
              <w:t xml:space="preserve"> (impact estimate)</w:t>
            </w:r>
          </w:p>
        </w:tc>
      </w:tr>
      <w:tr w:rsidR="006D7691" w:rsidRPr="00490C53" w14:paraId="7C1B011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1549" w:type="pct"/>
            <w:vAlign w:val="center"/>
          </w:tcPr>
          <w:p w14:paraId="03192C02" w14:textId="77777777" w:rsidR="006D7691" w:rsidRPr="00490C53" w:rsidRDefault="006D7691">
            <w:pPr>
              <w:pStyle w:val="Tabletext"/>
            </w:pPr>
            <w:r>
              <w:t>BBLS with CJRS control</w:t>
            </w:r>
          </w:p>
        </w:tc>
        <w:tc>
          <w:tcPr>
            <w:tcW w:w="1534" w:type="pct"/>
            <w:vAlign w:val="center"/>
          </w:tcPr>
          <w:p w14:paraId="77BA0172" w14:textId="733480A2" w:rsidR="006D7691" w:rsidRPr="00490C53" w:rsidRDefault="006D7691">
            <w:pPr>
              <w:pStyle w:val="Tabletext"/>
              <w:jc w:val="center"/>
            </w:pPr>
            <w:r>
              <w:t>-</w:t>
            </w:r>
            <w:r w:rsidR="00C33ACA">
              <w:t>3.8</w:t>
            </w:r>
            <w:r>
              <w:t>%</w:t>
            </w:r>
            <w:r w:rsidR="007B387F">
              <w:t>***</w:t>
            </w:r>
          </w:p>
        </w:tc>
        <w:tc>
          <w:tcPr>
            <w:tcW w:w="1917" w:type="pct"/>
            <w:vAlign w:val="center"/>
          </w:tcPr>
          <w:p w14:paraId="35D65F83" w14:textId="4037C88E" w:rsidR="006D7691" w:rsidRPr="00490C53" w:rsidRDefault="00C33ACA">
            <w:pPr>
              <w:pStyle w:val="Tabletext"/>
              <w:jc w:val="center"/>
            </w:pPr>
            <w:r>
              <w:t>5.7</w:t>
            </w:r>
            <w:r w:rsidR="006D7691">
              <w:t>%</w:t>
            </w:r>
            <w:r w:rsidR="007B387F">
              <w:t>***</w:t>
            </w:r>
          </w:p>
        </w:tc>
      </w:tr>
      <w:tr w:rsidR="006D7691" w:rsidRPr="00490C53" w14:paraId="6EA76591" w14:textId="77777777">
        <w:tblPrEx>
          <w:tblCellMar>
            <w:left w:w="108" w:type="dxa"/>
            <w:right w:w="108" w:type="dxa"/>
          </w:tblCellMar>
        </w:tblPrEx>
        <w:trPr>
          <w:trHeight w:val="870"/>
        </w:trPr>
        <w:tc>
          <w:tcPr>
            <w:tcW w:w="1549" w:type="pct"/>
            <w:tcBorders>
              <w:bottom w:val="single" w:sz="4" w:space="0" w:color="0054BA" w:themeColor="accent2"/>
            </w:tcBorders>
            <w:vAlign w:val="center"/>
          </w:tcPr>
          <w:p w14:paraId="33070EFA" w14:textId="77777777" w:rsidR="006D7691" w:rsidRDefault="006D7691">
            <w:pPr>
              <w:pStyle w:val="Tabletext"/>
            </w:pPr>
            <w:r>
              <w:t>CBILS/CLBILS with CJRS control</w:t>
            </w:r>
          </w:p>
        </w:tc>
        <w:tc>
          <w:tcPr>
            <w:tcW w:w="1534" w:type="pct"/>
            <w:tcBorders>
              <w:bottom w:val="single" w:sz="4" w:space="0" w:color="0054BA" w:themeColor="accent2"/>
            </w:tcBorders>
            <w:vAlign w:val="center"/>
          </w:tcPr>
          <w:p w14:paraId="30D66B75" w14:textId="3715B33F" w:rsidR="006D7691" w:rsidRPr="00B52312" w:rsidRDefault="006D7691">
            <w:pPr>
              <w:pStyle w:val="Tabletext"/>
              <w:jc w:val="center"/>
            </w:pPr>
            <w:r>
              <w:t>-</w:t>
            </w:r>
            <w:r w:rsidR="00C33ACA">
              <w:t>5.7</w:t>
            </w:r>
            <w:r>
              <w:t>%</w:t>
            </w:r>
            <w:r w:rsidR="007B387F">
              <w:t>***</w:t>
            </w:r>
          </w:p>
        </w:tc>
        <w:tc>
          <w:tcPr>
            <w:tcW w:w="1917" w:type="pct"/>
            <w:tcBorders>
              <w:bottom w:val="single" w:sz="4" w:space="0" w:color="0054BA" w:themeColor="accent2"/>
            </w:tcBorders>
            <w:vAlign w:val="center"/>
          </w:tcPr>
          <w:p w14:paraId="2CE52ACA" w14:textId="59B4CD54" w:rsidR="006D7691" w:rsidRPr="00B52312" w:rsidRDefault="006D7691">
            <w:pPr>
              <w:pStyle w:val="Tabletext"/>
              <w:jc w:val="center"/>
            </w:pPr>
            <w:r>
              <w:t>9</w:t>
            </w:r>
            <w:r w:rsidR="00C33ACA">
              <w:t>.0</w:t>
            </w:r>
            <w:r>
              <w:t>%</w:t>
            </w:r>
            <w:r w:rsidR="007B387F">
              <w:t>***</w:t>
            </w:r>
          </w:p>
        </w:tc>
      </w:tr>
    </w:tbl>
    <w:p w14:paraId="1E6D1ED1" w14:textId="3A7461EB" w:rsidR="006D7691" w:rsidRPr="00BD366D" w:rsidRDefault="006D7691" w:rsidP="00C146E8">
      <w:pPr>
        <w:rPr>
          <w:color w:val="555674"/>
        </w:rPr>
      </w:pPr>
      <w:r>
        <w:rPr>
          <w:rStyle w:val="Emphasis"/>
          <w:b w:val="0"/>
          <w:color w:val="555674"/>
        </w:rPr>
        <w:t xml:space="preserve">Note: </w:t>
      </w:r>
      <w:r w:rsidRPr="00490C53">
        <w:rPr>
          <w:rStyle w:val="Emphasis"/>
          <w:b w:val="0"/>
          <w:color w:val="555674"/>
        </w:rPr>
        <w:t>*** p-value&lt;0.01, ** p-value&lt;0.05, * p-value&lt;0.1.</w:t>
      </w:r>
      <w:r w:rsidR="006E5CA3">
        <w:rPr>
          <w:rStyle w:val="Emphasis"/>
          <w:b w:val="0"/>
          <w:color w:val="555674"/>
        </w:rPr>
        <w:t xml:space="preserve"> </w:t>
      </w:r>
      <w:r w:rsidR="006E5CA3" w:rsidRPr="006E5CA3">
        <w:rPr>
          <w:rStyle w:val="Emphasis"/>
          <w:b w:val="0"/>
          <w:color w:val="555674"/>
        </w:rPr>
        <w:t xml:space="preserve">Full results are presented in </w:t>
      </w:r>
      <w:r w:rsidR="006E5CA3" w:rsidRPr="006E5CA3">
        <w:rPr>
          <w:rStyle w:val="Emphasis"/>
          <w:b w:val="0"/>
          <w:color w:val="555674"/>
        </w:rPr>
        <w:fldChar w:fldCharType="begin"/>
      </w:r>
      <w:r w:rsidR="006E5CA3" w:rsidRPr="006E5CA3">
        <w:rPr>
          <w:rStyle w:val="Emphasis"/>
          <w:b w:val="0"/>
          <w:color w:val="555674"/>
        </w:rPr>
        <w:instrText xml:space="preserve"> REF _Ref138342269 \h  \* MERGEFORMAT </w:instrText>
      </w:r>
      <w:r w:rsidR="006E5CA3" w:rsidRPr="006E5CA3">
        <w:rPr>
          <w:rStyle w:val="Emphasis"/>
          <w:b w:val="0"/>
          <w:color w:val="555674"/>
        </w:rPr>
      </w:r>
      <w:r w:rsidR="006E5CA3" w:rsidRPr="006E5CA3">
        <w:rPr>
          <w:rStyle w:val="Emphasis"/>
          <w:b w:val="0"/>
          <w:color w:val="555674"/>
        </w:rPr>
        <w:fldChar w:fldCharType="separate"/>
      </w:r>
      <w:r w:rsidR="00397D49" w:rsidRPr="00236B73">
        <w:rPr>
          <w:rStyle w:val="Emphasis"/>
          <w:b w:val="0"/>
          <w:color w:val="555674"/>
        </w:rPr>
        <w:t>Table 46</w:t>
      </w:r>
      <w:r w:rsidR="006E5CA3" w:rsidRPr="006E5CA3">
        <w:rPr>
          <w:rStyle w:val="Emphasis"/>
          <w:b w:val="0"/>
          <w:color w:val="555674"/>
        </w:rPr>
        <w:fldChar w:fldCharType="end"/>
      </w:r>
      <w:r w:rsidR="006E5CA3" w:rsidRPr="006E5CA3">
        <w:rPr>
          <w:rStyle w:val="Emphasis"/>
          <w:b w:val="0"/>
          <w:color w:val="555674"/>
        </w:rPr>
        <w:t xml:space="preserve"> in </w:t>
      </w:r>
      <w:r w:rsidR="006E5CA3" w:rsidRPr="006E5CA3">
        <w:rPr>
          <w:rStyle w:val="Emphasis"/>
          <w:b w:val="0"/>
          <w:color w:val="555674"/>
        </w:rPr>
        <w:fldChar w:fldCharType="begin"/>
      </w:r>
      <w:r w:rsidR="006E5CA3" w:rsidRPr="006E5CA3">
        <w:rPr>
          <w:rStyle w:val="Emphasis"/>
          <w:b w:val="0"/>
          <w:color w:val="555674"/>
        </w:rPr>
        <w:instrText xml:space="preserve"> REF _Ref126237016 \h  \* MERGEFORMAT </w:instrText>
      </w:r>
      <w:r w:rsidR="006E5CA3" w:rsidRPr="006E5CA3">
        <w:rPr>
          <w:rStyle w:val="Emphasis"/>
          <w:b w:val="0"/>
          <w:color w:val="555674"/>
        </w:rPr>
      </w:r>
      <w:r w:rsidR="006E5CA3" w:rsidRPr="006E5CA3">
        <w:rPr>
          <w:rStyle w:val="Emphasis"/>
          <w:b w:val="0"/>
          <w:color w:val="555674"/>
        </w:rPr>
        <w:fldChar w:fldCharType="separate"/>
      </w:r>
      <w:r w:rsidR="00397D49" w:rsidRPr="00236B73">
        <w:rPr>
          <w:rStyle w:val="Emphasis"/>
          <w:b w:val="0"/>
          <w:color w:val="555674"/>
        </w:rPr>
        <w:t>Annex 4</w:t>
      </w:r>
      <w:r w:rsidR="006E5CA3" w:rsidRPr="006E5CA3">
        <w:rPr>
          <w:rStyle w:val="Emphasis"/>
          <w:b w:val="0"/>
          <w:color w:val="555674"/>
        </w:rPr>
        <w:fldChar w:fldCharType="end"/>
      </w:r>
      <w:r w:rsidR="006E5CA3" w:rsidRPr="006E5CA3">
        <w:rPr>
          <w:rStyle w:val="Emphasis"/>
          <w:b w:val="0"/>
          <w:color w:val="555674"/>
        </w:rPr>
        <w:t xml:space="preserve">. </w:t>
      </w:r>
      <w:r w:rsidR="003A5E9E" w:rsidRPr="00A36500">
        <w:rPr>
          <w:rStyle w:val="Emphasis"/>
          <w:b w:val="0"/>
          <w:bCs/>
          <w:color w:val="555674"/>
        </w:rPr>
        <w:t xml:space="preserve">Given that the dependent variable of the regression is expressed in logarithmic form, the percentage change in turnover associated with borrowers’ use of the Covid-19 Loan Guarantee Schemes (denoted by the variable “Borrower, post-intervention” taking the value of 1) is approximately equal to </w:t>
      </w:r>
      <m:oMath>
        <m:sSup>
          <m:sSupPr>
            <m:ctrlPr>
              <w:rPr>
                <w:rStyle w:val="Emphasis"/>
                <w:rFonts w:ascii="Cambria Math" w:hAnsi="Cambria Math"/>
                <w:b w:val="0"/>
                <w:bCs/>
                <w:iCs w:val="0"/>
                <w:color w:val="555674"/>
              </w:rPr>
            </m:ctrlPr>
          </m:sSupPr>
          <m:e>
            <m:r>
              <m:rPr>
                <m:sty m:val="p"/>
              </m:rPr>
              <w:rPr>
                <w:rStyle w:val="Emphasis"/>
                <w:rFonts w:ascii="Cambria Math" w:hAnsi="Cambria Math"/>
                <w:color w:val="555674"/>
              </w:rPr>
              <m:t>(</m:t>
            </m:r>
            <m:r>
              <w:rPr>
                <w:rStyle w:val="Emphasis"/>
                <w:rFonts w:ascii="Cambria Math" w:hAnsi="Cambria Math"/>
                <w:color w:val="555674"/>
              </w:rPr>
              <m:t>e</m:t>
            </m:r>
          </m:e>
          <m:sup>
            <m:r>
              <w:rPr>
                <w:rStyle w:val="Emphasis"/>
                <w:rFonts w:ascii="Cambria Math" w:hAnsi="Cambria Math"/>
                <w:color w:val="555674"/>
              </w:rPr>
              <m:t>λ</m:t>
            </m:r>
          </m:sup>
        </m:sSup>
        <m:r>
          <m:rPr>
            <m:sty m:val="p"/>
          </m:rPr>
          <w:rPr>
            <w:rStyle w:val="Emphasis"/>
            <w:rFonts w:ascii="Cambria Math" w:hAnsi="Cambria Math"/>
            <w:color w:val="555674"/>
          </w:rPr>
          <m:t>-1)×100</m:t>
        </m:r>
      </m:oMath>
      <w:r w:rsidR="003A5E9E" w:rsidRPr="00A36500">
        <w:rPr>
          <w:rStyle w:val="Emphasis"/>
          <w:b w:val="0"/>
          <w:bCs/>
          <w:color w:val="555674"/>
        </w:rPr>
        <w:t xml:space="preserve">, where </w:t>
      </w:r>
      <m:oMath>
        <m:r>
          <w:rPr>
            <w:rStyle w:val="Emphasis"/>
            <w:rFonts w:ascii="Cambria Math" w:hAnsi="Cambria Math"/>
            <w:color w:val="555674"/>
          </w:rPr>
          <m:t>λ</m:t>
        </m:r>
      </m:oMath>
      <w:r w:rsidR="003A5E9E" w:rsidRPr="00A36500">
        <w:rPr>
          <w:rStyle w:val="Emphasis"/>
          <w:b w:val="0"/>
          <w:bCs/>
          <w:color w:val="555674"/>
        </w:rPr>
        <w:t xml:space="preserve"> is the regression coefficient of that variable.</w:t>
      </w:r>
      <w:r w:rsidR="003A5E9E" w:rsidRPr="00A36500">
        <w:rPr>
          <w:rStyle w:val="Emphasis"/>
          <w:color w:val="555674"/>
        </w:rPr>
        <w:t xml:space="preserve"> </w:t>
      </w:r>
      <w:r w:rsidRPr="00490C53">
        <w:rPr>
          <w:rStyle w:val="Emphasis"/>
          <w:b w:val="0"/>
          <w:color w:val="555674"/>
        </w:rPr>
        <w:t>Source: London Economics’ analysis of IDBR data</w:t>
      </w:r>
      <w:r w:rsidR="00E94302" w:rsidRPr="00826F9E">
        <w:rPr>
          <w:rStyle w:val="Emphasis"/>
          <w:b w:val="0"/>
          <w:color w:val="555674"/>
        </w:rPr>
        <w:t>, BBB Portal Data and HMRC Coronavirus Job Retention Scheme (CJRS) data</w:t>
      </w:r>
      <w:r w:rsidRPr="00826F9E">
        <w:rPr>
          <w:rStyle w:val="Emphasis"/>
          <w:b w:val="0"/>
          <w:color w:val="555674"/>
        </w:rPr>
        <w:t>.</w:t>
      </w:r>
    </w:p>
    <w:p w14:paraId="3C130A31" w14:textId="0B7A91AD" w:rsidR="00A027BE" w:rsidRDefault="00315E39" w:rsidP="00C146E8">
      <w:r>
        <w:t>As shown</w:t>
      </w:r>
      <w:r w:rsidR="00BB54EB">
        <w:t xml:space="preserve"> </w:t>
      </w:r>
      <w:r w:rsidRPr="00A36500">
        <w:t xml:space="preserve">in </w:t>
      </w:r>
      <w:r w:rsidRPr="00A36500">
        <w:fldChar w:fldCharType="begin"/>
      </w:r>
      <w:r w:rsidRPr="00A36500">
        <w:instrText xml:space="preserve"> REF _Ref126237016 \h  \* MERGEFORMAT </w:instrText>
      </w:r>
      <w:r w:rsidRPr="00A36500">
        <w:fldChar w:fldCharType="separate"/>
      </w:r>
      <w:r w:rsidR="00397D49" w:rsidRPr="00490C53">
        <w:t xml:space="preserve">Annex </w:t>
      </w:r>
      <w:r w:rsidR="00397D49">
        <w:t>4</w:t>
      </w:r>
      <w:r w:rsidRPr="00A36500">
        <w:fldChar w:fldCharType="end"/>
      </w:r>
      <w:r w:rsidRPr="00A36500">
        <w:t>, the</w:t>
      </w:r>
      <w:r>
        <w:rPr>
          <w:rStyle w:val="Emphasis"/>
          <w:b w:val="0"/>
          <w:color w:val="555674"/>
        </w:rPr>
        <w:t xml:space="preserve"> </w:t>
      </w:r>
      <w:r w:rsidR="00C146E8" w:rsidRPr="00490C53">
        <w:t xml:space="preserve">inclusion </w:t>
      </w:r>
      <w:r>
        <w:t xml:space="preserve">or exclusion </w:t>
      </w:r>
      <w:r w:rsidR="00C146E8" w:rsidRPr="00490C53">
        <w:t xml:space="preserve">of </w:t>
      </w:r>
      <w:r>
        <w:t xml:space="preserve">a </w:t>
      </w:r>
      <w:r w:rsidR="00C146E8" w:rsidRPr="00490C53">
        <w:t>variable accounting for participation in the CJRS does not change the statistical significance of the estimated impact (</w:t>
      </w:r>
      <w:proofErr w:type="gramStart"/>
      <w:r w:rsidR="00C146E8" w:rsidRPr="00490C53">
        <w:t>i.e.</w:t>
      </w:r>
      <w:proofErr w:type="gramEnd"/>
      <w:r w:rsidR="00C146E8" w:rsidRPr="00490C53">
        <w:t xml:space="preserve"> the coefficient on the variable “Borrower, post intervention”). </w:t>
      </w:r>
      <w:r>
        <w:t xml:space="preserve">As shown </w:t>
      </w:r>
      <w:r w:rsidRPr="00A36500">
        <w:t xml:space="preserve">in </w:t>
      </w:r>
      <w:r w:rsidRPr="00A36500">
        <w:fldChar w:fldCharType="begin"/>
      </w:r>
      <w:r w:rsidRPr="00A36500">
        <w:instrText xml:space="preserve"> REF _Ref126237016 \h  \* MERGEFORMAT </w:instrText>
      </w:r>
      <w:r w:rsidRPr="00A36500">
        <w:fldChar w:fldCharType="separate"/>
      </w:r>
      <w:r w:rsidR="00397D49" w:rsidRPr="00490C53">
        <w:t xml:space="preserve">Annex </w:t>
      </w:r>
      <w:r w:rsidR="00397D49">
        <w:t>4</w:t>
      </w:r>
      <w:r w:rsidRPr="00A36500">
        <w:fldChar w:fldCharType="end"/>
      </w:r>
      <w:r w:rsidRPr="00A36500">
        <w:t>, t</w:t>
      </w:r>
      <w:r w:rsidR="00C146E8" w:rsidRPr="00490C53">
        <w:t xml:space="preserve">he estimated coefficients on CJRS use are statistically significant and positive </w:t>
      </w:r>
      <w:r w:rsidR="00FE0F71" w:rsidRPr="00490C53">
        <w:t xml:space="preserve">in the case of both the </w:t>
      </w:r>
      <w:r w:rsidR="00C146E8" w:rsidRPr="00490C53">
        <w:t>BBLS and CBILS/CLBILS</w:t>
      </w:r>
      <w:r w:rsidR="00FE0F71" w:rsidRPr="00490C53">
        <w:t xml:space="preserve"> models</w:t>
      </w:r>
      <w:r w:rsidR="00C146E8" w:rsidRPr="00490C53">
        <w:t>. CJRS use is associated with approximately 1</w:t>
      </w:r>
      <w:r w:rsidR="00C33ACA">
        <w:t>.4</w:t>
      </w:r>
      <w:r w:rsidR="00C146E8" w:rsidRPr="00490C53">
        <w:t xml:space="preserve">% higher employment in the BBLS model and approximately </w:t>
      </w:r>
      <w:r w:rsidR="00C33ACA">
        <w:t>1.8</w:t>
      </w:r>
      <w:r w:rsidR="00C146E8" w:rsidRPr="00490C53">
        <w:t>% higher employment in the CBILS/CLBILS model.</w:t>
      </w:r>
      <w:r w:rsidR="009310A8">
        <w:rPr>
          <w:rStyle w:val="FootnoteReference"/>
        </w:rPr>
        <w:footnoteReference w:id="96"/>
      </w:r>
      <w:r w:rsidR="00C146E8" w:rsidRPr="00490C53">
        <w:t xml:space="preserve"> </w:t>
      </w:r>
    </w:p>
    <w:p w14:paraId="322BEF40" w14:textId="68FADE96" w:rsidR="00AA5E73" w:rsidRPr="00490C53" w:rsidRDefault="00CE050F" w:rsidP="00C146E8">
      <w:proofErr w:type="gramStart"/>
      <w:r w:rsidRPr="00490C53">
        <w:t>In order to</w:t>
      </w:r>
      <w:proofErr w:type="gramEnd"/>
      <w:r w:rsidRPr="00490C53">
        <w:t xml:space="preserve"> explore whether results vary across sectors or geographically, the impacts were also estimated according to these business characteristics. The estimated coefficients of interest (“Borrower, post intervention”</w:t>
      </w:r>
      <w:r w:rsidR="009246E5">
        <w:t>, interacted with each sector or region</w:t>
      </w:r>
      <w:r w:rsidRPr="00490C53">
        <w:t xml:space="preserve">) </w:t>
      </w:r>
      <w:r w:rsidR="009246E5">
        <w:t>are</w:t>
      </w:r>
      <w:r w:rsidR="009246E5" w:rsidRPr="00490C53">
        <w:t xml:space="preserve"> </w:t>
      </w:r>
      <w:r w:rsidRPr="00490C53">
        <w:t xml:space="preserve">largely statistically </w:t>
      </w:r>
      <w:r w:rsidRPr="00490C53">
        <w:lastRenderedPageBreak/>
        <w:t xml:space="preserve">significant, with a few exceptions: </w:t>
      </w:r>
      <w:r w:rsidR="0062532B" w:rsidRPr="0062532B">
        <w:t>North / Yorkshire</w:t>
      </w:r>
      <w:r w:rsidR="006E0363" w:rsidRPr="00490C53">
        <w:t>,</w:t>
      </w:r>
      <w:r w:rsidR="00D57EB2" w:rsidRPr="00490C53">
        <w:t xml:space="preserve"> and</w:t>
      </w:r>
      <w:r w:rsidRPr="00490C53">
        <w:t xml:space="preserve"> Northern Ireland</w:t>
      </w:r>
      <w:r w:rsidR="00A51342" w:rsidRPr="00490C53">
        <w:t>, as well as the “Other Services” sector in the</w:t>
      </w:r>
      <w:r w:rsidRPr="00490C53">
        <w:t xml:space="preserve"> BBLS</w:t>
      </w:r>
      <w:r w:rsidR="00A51342" w:rsidRPr="00490C53">
        <w:t xml:space="preserve"> model</w:t>
      </w:r>
      <w:r w:rsidRPr="00490C53">
        <w:t>; and Northern Ireland</w:t>
      </w:r>
      <w:r w:rsidR="005C7BFA" w:rsidRPr="00490C53">
        <w:t xml:space="preserve"> and</w:t>
      </w:r>
      <w:r w:rsidRPr="00490C53">
        <w:t xml:space="preserve"> Scotland in the CBILS/CLBILS model.</w:t>
      </w:r>
      <w:r w:rsidRPr="00490C53">
        <w:rPr>
          <w:rStyle w:val="FootnoteReference"/>
        </w:rPr>
        <w:footnoteReference w:id="97"/>
      </w:r>
      <w:r w:rsidRPr="00490C53">
        <w:t xml:space="preserve"> (</w:t>
      </w:r>
      <w:r w:rsidR="00EC0454" w:rsidRPr="00490C53">
        <w:t>S</w:t>
      </w:r>
      <w:r w:rsidRPr="00846F78">
        <w:t xml:space="preserve">ee </w:t>
      </w:r>
      <w:r w:rsidR="00DD7227">
        <w:fldChar w:fldCharType="begin"/>
      </w:r>
      <w:r w:rsidR="00DD7227">
        <w:instrText xml:space="preserve"> REF _Ref146215318 \h </w:instrText>
      </w:r>
      <w:r w:rsidR="00DD7227">
        <w:fldChar w:fldCharType="separate"/>
      </w:r>
      <w:r w:rsidR="00397D49" w:rsidRPr="00490C53">
        <w:t xml:space="preserve">Table </w:t>
      </w:r>
      <w:r w:rsidR="00397D49">
        <w:rPr>
          <w:noProof/>
        </w:rPr>
        <w:t>49</w:t>
      </w:r>
      <w:r w:rsidR="00DD7227">
        <w:fldChar w:fldCharType="end"/>
      </w:r>
      <w:r w:rsidR="00DD7227">
        <w:t xml:space="preserve"> and </w:t>
      </w:r>
      <w:r w:rsidR="00CE1646">
        <w:fldChar w:fldCharType="begin"/>
      </w:r>
      <w:r w:rsidR="00CE1646">
        <w:instrText xml:space="preserve"> REF _Ref146215512 \h </w:instrText>
      </w:r>
      <w:r w:rsidR="00CE1646">
        <w:fldChar w:fldCharType="separate"/>
      </w:r>
      <w:r w:rsidR="00397D49" w:rsidRPr="00490C53">
        <w:t xml:space="preserve">Table </w:t>
      </w:r>
      <w:r w:rsidR="00397D49">
        <w:rPr>
          <w:noProof/>
        </w:rPr>
        <w:t>51</w:t>
      </w:r>
      <w:r w:rsidR="00CE1646">
        <w:fldChar w:fldCharType="end"/>
      </w:r>
      <w:r w:rsidR="00CE1646">
        <w:t xml:space="preserve"> </w:t>
      </w:r>
      <w:r w:rsidRPr="00846F78">
        <w:t>in</w:t>
      </w:r>
      <w:r w:rsidR="00726109" w:rsidRPr="00490C53">
        <w:t xml:space="preserve"> </w:t>
      </w:r>
      <w:r w:rsidR="00FC29E5">
        <w:fldChar w:fldCharType="begin"/>
      </w:r>
      <w:r w:rsidR="00FC29E5">
        <w:instrText xml:space="preserve"> REF _Ref126237016 \h </w:instrText>
      </w:r>
      <w:r w:rsidR="00FC29E5">
        <w:fldChar w:fldCharType="separate"/>
      </w:r>
      <w:r w:rsidR="00397D49" w:rsidRPr="00490C53">
        <w:t xml:space="preserve">Annex </w:t>
      </w:r>
      <w:r w:rsidR="00397D49">
        <w:t>4</w:t>
      </w:r>
      <w:r w:rsidR="00FC29E5">
        <w:fldChar w:fldCharType="end"/>
      </w:r>
      <w:r w:rsidRPr="00490C53">
        <w:t>)</w:t>
      </w:r>
      <w:r w:rsidR="00023780" w:rsidRPr="00490C53">
        <w:t>.</w:t>
      </w:r>
    </w:p>
    <w:p w14:paraId="57FE8B35" w14:textId="71D3551A" w:rsidR="002A5240" w:rsidRPr="005D5D23" w:rsidRDefault="000B0825" w:rsidP="00236B73">
      <w:r w:rsidRPr="00236B73">
        <w:rPr>
          <w:color w:val="142855" w:themeColor="text2"/>
        </w:rPr>
        <w:t>Calculating the additional potential job losses in the absence of the Covid-19 Loan Guarantee Scheme</w:t>
      </w:r>
      <w:r w:rsidR="008E2859" w:rsidRPr="00236B73">
        <w:rPr>
          <w:color w:val="142855" w:themeColor="text2"/>
        </w:rPr>
        <w:t>s</w:t>
      </w:r>
    </w:p>
    <w:p w14:paraId="79C39926" w14:textId="333B8394" w:rsidR="009F7DC4" w:rsidRPr="00846F78" w:rsidRDefault="000322A1" w:rsidP="00E55003">
      <w:proofErr w:type="gramStart"/>
      <w:r w:rsidRPr="00490C53">
        <w:t>In order to</w:t>
      </w:r>
      <w:proofErr w:type="gramEnd"/>
      <w:r w:rsidRPr="00490C53">
        <w:t xml:space="preserve"> </w:t>
      </w:r>
      <w:r w:rsidR="007D7EA3">
        <w:t>estimate</w:t>
      </w:r>
      <w:r w:rsidR="007D7EA3" w:rsidRPr="00490C53">
        <w:t xml:space="preserve"> </w:t>
      </w:r>
      <w:r w:rsidRPr="00490C53">
        <w:t>the total number of additional job losses that could have occurred in the absence of the Covid-19 Loan Guarantee Schemes,</w:t>
      </w:r>
      <w:r w:rsidR="00523F0C" w:rsidRPr="00490C53">
        <w:t xml:space="preserve"> further</w:t>
      </w:r>
      <w:r w:rsidRPr="00490C53">
        <w:t xml:space="preserve"> econometric analysis of employment</w:t>
      </w:r>
      <w:r w:rsidR="00523F0C" w:rsidRPr="00490C53">
        <w:t xml:space="preserve"> </w:t>
      </w:r>
      <w:r w:rsidR="00BD075E">
        <w:t>wa</w:t>
      </w:r>
      <w:r w:rsidR="00523F0C" w:rsidRPr="00490C53">
        <w:t>s undertaken. This analysis</w:t>
      </w:r>
      <w:r w:rsidR="004E15F6" w:rsidRPr="00490C53">
        <w:t xml:space="preserve"> replicate</w:t>
      </w:r>
      <w:r w:rsidR="00BD075E">
        <w:t>d</w:t>
      </w:r>
      <w:r w:rsidR="004E15F6" w:rsidRPr="00490C53">
        <w:t xml:space="preserve"> the</w:t>
      </w:r>
      <w:r w:rsidR="009025B3" w:rsidRPr="00490C53">
        <w:t xml:space="preserve"> approach adopted in the</w:t>
      </w:r>
      <w:r w:rsidR="004E15F6" w:rsidRPr="00490C53">
        <w:t xml:space="preserve"> econometric analysis of employment described </w:t>
      </w:r>
      <w:r w:rsidR="004E15F6" w:rsidRPr="00490C53">
        <w:fldChar w:fldCharType="begin"/>
      </w:r>
      <w:r w:rsidR="004E15F6" w:rsidRPr="00490C53">
        <w:instrText xml:space="preserve"> REF _Ref125384437 \p \h </w:instrText>
      </w:r>
      <w:r w:rsidR="004E15F6" w:rsidRPr="00846F78">
        <w:instrText xml:space="preserve"> \* MERGEFORMAT </w:instrText>
      </w:r>
      <w:r w:rsidR="004E15F6" w:rsidRPr="00490C53">
        <w:fldChar w:fldCharType="separate"/>
      </w:r>
      <w:r w:rsidR="00397D49">
        <w:t>above</w:t>
      </w:r>
      <w:r w:rsidR="004E15F6" w:rsidRPr="00490C53">
        <w:fldChar w:fldCharType="end"/>
      </w:r>
      <w:r w:rsidR="004E15F6" w:rsidRPr="00490C53">
        <w:t xml:space="preserve"> </w:t>
      </w:r>
      <w:r w:rsidR="002840A7" w:rsidRPr="00490C53">
        <w:t>but differ</w:t>
      </w:r>
      <w:r w:rsidR="00BD075E">
        <w:t>ed</w:t>
      </w:r>
      <w:r w:rsidR="004E15F6" w:rsidRPr="00490C53">
        <w:t xml:space="preserve"> in one</w:t>
      </w:r>
      <w:r w:rsidR="002840A7" w:rsidRPr="00490C53">
        <w:t xml:space="preserve"> key</w:t>
      </w:r>
      <w:r w:rsidR="004E15F6" w:rsidRPr="00490C53">
        <w:t xml:space="preserve"> respect</w:t>
      </w:r>
      <w:r w:rsidR="00BD075E">
        <w:t xml:space="preserve"> -</w:t>
      </w:r>
      <w:r w:rsidRPr="00490C53">
        <w:t xml:space="preserve"> </w:t>
      </w:r>
      <w:r w:rsidR="009F7DC4" w:rsidRPr="00490C53">
        <w:t xml:space="preserve">rather than excluding </w:t>
      </w:r>
      <w:r w:rsidR="009F7DC4" w:rsidRPr="00846F78">
        <w:t xml:space="preserve">businesses that </w:t>
      </w:r>
      <w:r w:rsidR="004550ED">
        <w:t>permanently closed</w:t>
      </w:r>
      <w:r w:rsidR="004550ED" w:rsidRPr="00846F78">
        <w:t xml:space="preserve"> </w:t>
      </w:r>
      <w:r w:rsidR="009F7DC4" w:rsidRPr="00846F78">
        <w:t xml:space="preserve">in the first year of the pandemic from the econometric analysis, these businesses </w:t>
      </w:r>
      <w:r w:rsidR="00BD075E">
        <w:t>we</w:t>
      </w:r>
      <w:r w:rsidR="009F7DC4" w:rsidRPr="00846F78">
        <w:t>re included</w:t>
      </w:r>
      <w:r w:rsidRPr="00490C53">
        <w:t>.</w:t>
      </w:r>
      <w:r w:rsidR="006E7508" w:rsidRPr="00490C53">
        <w:rPr>
          <w:rStyle w:val="FootnoteReference"/>
        </w:rPr>
        <w:footnoteReference w:id="98"/>
      </w:r>
      <w:r w:rsidR="009F7DC4" w:rsidRPr="00490C53">
        <w:t xml:space="preserve"> </w:t>
      </w:r>
      <w:r w:rsidR="00C60D5D">
        <w:t>By including these firms,</w:t>
      </w:r>
      <w:r w:rsidR="000E19EE">
        <w:t xml:space="preserve"> the analysis intend</w:t>
      </w:r>
      <w:r w:rsidR="00BD075E">
        <w:t>ed</w:t>
      </w:r>
      <w:r w:rsidR="000E19EE">
        <w:t xml:space="preserve"> to capture</w:t>
      </w:r>
      <w:r w:rsidR="005C61BC">
        <w:t xml:space="preserve"> both</w:t>
      </w:r>
      <w:r w:rsidR="000E19EE">
        <w:t xml:space="preserve"> </w:t>
      </w:r>
      <w:r w:rsidR="00C60D5D">
        <w:t xml:space="preserve">a) job losses avoided due to the avoidance of business </w:t>
      </w:r>
      <w:r w:rsidR="004550ED">
        <w:t xml:space="preserve">closure </w:t>
      </w:r>
      <w:r w:rsidR="00C60D5D">
        <w:t>among borrowers,</w:t>
      </w:r>
      <w:r w:rsidR="00815E92">
        <w:rPr>
          <w:rStyle w:val="FootnoteReference"/>
        </w:rPr>
        <w:footnoteReference w:id="99"/>
      </w:r>
      <w:r w:rsidR="00C60D5D">
        <w:t xml:space="preserve"> and b) job losses avoided due to surviving borrowers having higher </w:t>
      </w:r>
      <w:r w:rsidR="00D748F4">
        <w:t xml:space="preserve">post-pandemic </w:t>
      </w:r>
      <w:r w:rsidR="00C60D5D">
        <w:t>employment than would otherwise have been expected in the absence of the Covid-19 Loan Guarantee schemes</w:t>
      </w:r>
      <w:r w:rsidR="007D7EA3">
        <w:t xml:space="preserve"> (see </w:t>
      </w:r>
      <w:r w:rsidR="000F3369">
        <w:fldChar w:fldCharType="begin"/>
      </w:r>
      <w:r w:rsidR="000F3369">
        <w:instrText xml:space="preserve"> REF _Ref132205136 \h </w:instrText>
      </w:r>
      <w:r w:rsidR="000F3369">
        <w:fldChar w:fldCharType="separate"/>
      </w:r>
      <w:r w:rsidR="00397D49">
        <w:t xml:space="preserve">Figure </w:t>
      </w:r>
      <w:r w:rsidR="00397D49">
        <w:rPr>
          <w:noProof/>
        </w:rPr>
        <w:t>12</w:t>
      </w:r>
      <w:r w:rsidR="000F3369">
        <w:fldChar w:fldCharType="end"/>
      </w:r>
      <w:r w:rsidR="007D7EA3">
        <w:t>)</w:t>
      </w:r>
      <w:r w:rsidR="00C60D5D">
        <w:t>. However, t</w:t>
      </w:r>
      <w:r w:rsidR="009F7DC4" w:rsidRPr="00490C53">
        <w:t>he implication of this</w:t>
      </w:r>
      <w:r w:rsidR="00B212E3" w:rsidRPr="00490C53">
        <w:t xml:space="preserve"> approach</w:t>
      </w:r>
      <w:r w:rsidR="009F7DC4" w:rsidRPr="00490C53">
        <w:t xml:space="preserve"> </w:t>
      </w:r>
      <w:r w:rsidR="00BD075E">
        <w:t>wa</w:t>
      </w:r>
      <w:r w:rsidR="00B212E3" w:rsidRPr="00490C53">
        <w:t>s</w:t>
      </w:r>
      <w:r w:rsidR="009F7DC4" w:rsidRPr="00490C53">
        <w:t xml:space="preserve"> that </w:t>
      </w:r>
      <w:r w:rsidR="00B212E3" w:rsidRPr="00846F78">
        <w:t xml:space="preserve">the estimated impact </w:t>
      </w:r>
      <w:r w:rsidR="000C45E8" w:rsidRPr="00846F78">
        <w:t>cannot be considered additional t</w:t>
      </w:r>
      <w:r w:rsidR="00B212E3" w:rsidRPr="00846F78">
        <w:t xml:space="preserve">o the </w:t>
      </w:r>
      <w:r w:rsidR="000C45E8" w:rsidRPr="00846F78">
        <w:t xml:space="preserve">estimate </w:t>
      </w:r>
      <w:r w:rsidR="00E63A35">
        <w:t xml:space="preserve">of pre-pandemic jobs among businesses that survived thanks to the Covid-19 Loan Guarantee Schemes </w:t>
      </w:r>
      <w:r w:rsidR="00BB3399">
        <w:t>presented</w:t>
      </w:r>
      <w:r w:rsidR="00BB3399" w:rsidRPr="00846F78">
        <w:t xml:space="preserve"> </w:t>
      </w:r>
      <w:r w:rsidR="00EE59E7">
        <w:t xml:space="preserve">in the </w:t>
      </w:r>
      <w:r w:rsidR="00E63A35">
        <w:t>section on business survival within this chapter</w:t>
      </w:r>
      <w:r w:rsidR="000C45E8" w:rsidRPr="00846F78">
        <w:t>.</w:t>
      </w:r>
      <w:r w:rsidR="000C421C" w:rsidRPr="00846F78">
        <w:t xml:space="preserve"> </w:t>
      </w:r>
    </w:p>
    <w:p w14:paraId="1CF6C0D5" w14:textId="04C8195E" w:rsidR="00C374A4" w:rsidRPr="00C374A4" w:rsidRDefault="00C374A4" w:rsidP="00C374A4">
      <w:pPr>
        <w:pStyle w:val="Heading5"/>
      </w:pPr>
      <w:bookmarkStart w:id="146" w:name="_Ref132205136"/>
      <w:bookmarkStart w:id="147" w:name="_Ref132205125"/>
      <w:r>
        <w:lastRenderedPageBreak/>
        <w:t xml:space="preserve">Figure </w:t>
      </w:r>
      <w:r>
        <w:fldChar w:fldCharType="begin"/>
      </w:r>
      <w:r>
        <w:instrText>SEQ Figure \* ARABIC</w:instrText>
      </w:r>
      <w:r>
        <w:fldChar w:fldCharType="separate"/>
      </w:r>
      <w:r w:rsidR="00397D49">
        <w:rPr>
          <w:noProof/>
        </w:rPr>
        <w:t>12</w:t>
      </w:r>
      <w:r>
        <w:fldChar w:fldCharType="end"/>
      </w:r>
      <w:bookmarkEnd w:id="146"/>
      <w:r>
        <w:t xml:space="preserve">: </w:t>
      </w:r>
      <w:r w:rsidR="000E19EE">
        <w:t>The nature</w:t>
      </w:r>
      <w:r>
        <w:t xml:space="preserve"> of potential job losses in the absence of the Covid-19 Loan Guarantee Schemes</w:t>
      </w:r>
      <w:bookmarkEnd w:id="147"/>
    </w:p>
    <w:p w14:paraId="4194C18D" w14:textId="5D7088DD" w:rsidR="005A5851" w:rsidRPr="00846F78" w:rsidRDefault="00C374A4" w:rsidP="00C374A4">
      <w:r>
        <w:rPr>
          <w:noProof/>
        </w:rPr>
        <w:drawing>
          <wp:inline distT="0" distB="0" distL="0" distR="0" wp14:anchorId="43FD619A" wp14:editId="0B3CAE07">
            <wp:extent cx="6251944" cy="2413591"/>
            <wp:effectExtent l="0" t="0" r="0" b="25400"/>
            <wp:docPr id="6" name="Diagram 6" descr="Additional job losses that could have occurred in the absence of the Covid-19 Loan Guarantee Schemes are comprised of job losses avoided due to the avoidance of business closure and job losses avoided due to surviving businesses having higher post-pandemic employment than without the schem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D862E1">
        <w:br/>
      </w:r>
      <w:r w:rsidR="00D862E1">
        <w:br/>
      </w:r>
      <w:r w:rsidR="005A5851" w:rsidRPr="00490C53">
        <w:t xml:space="preserve">The </w:t>
      </w:r>
      <w:r w:rsidR="00225DA4" w:rsidRPr="00490C53">
        <w:t>revised econometric approach</w:t>
      </w:r>
      <w:r w:rsidR="000D6D19" w:rsidRPr="00490C53">
        <w:t xml:space="preserve"> (</w:t>
      </w:r>
      <w:proofErr w:type="gramStart"/>
      <w:r w:rsidR="000D6D19" w:rsidRPr="00490C53">
        <w:t>i.e.</w:t>
      </w:r>
      <w:proofErr w:type="gramEnd"/>
      <w:r w:rsidR="000D6D19" w:rsidRPr="00490C53">
        <w:t xml:space="preserve"> including </w:t>
      </w:r>
      <w:r w:rsidR="001076F5" w:rsidRPr="00490C53">
        <w:t xml:space="preserve">firms that </w:t>
      </w:r>
      <w:r w:rsidR="004550ED">
        <w:t>permanently closed</w:t>
      </w:r>
      <w:r w:rsidR="004550ED" w:rsidRPr="00490C53">
        <w:t xml:space="preserve"> </w:t>
      </w:r>
      <w:r w:rsidR="001076F5" w:rsidRPr="00490C53">
        <w:t xml:space="preserve">in </w:t>
      </w:r>
      <w:r w:rsidR="00D748F4">
        <w:t>the first year of the pandemic</w:t>
      </w:r>
      <w:r w:rsidR="001076F5" w:rsidRPr="00490C53">
        <w:t>)</w:t>
      </w:r>
      <w:r w:rsidR="00225DA4" w:rsidRPr="00490C53">
        <w:t xml:space="preserve"> </w:t>
      </w:r>
      <w:r w:rsidR="005A5851" w:rsidRPr="00490C53">
        <w:t>finds a positive and statistically significant impact of the BBLS scheme and the CBILS/CLBILS schemes on borrowers’ employment levels.</w:t>
      </w:r>
      <w:r w:rsidR="005A5851" w:rsidRPr="00490C53">
        <w:rPr>
          <w:rStyle w:val="FootnoteReference"/>
        </w:rPr>
        <w:footnoteReference w:id="100"/>
      </w:r>
      <w:r w:rsidR="00BB21D8">
        <w:t xml:space="preserve"> </w:t>
      </w:r>
      <w:r w:rsidR="005A5851" w:rsidRPr="00490C53">
        <w:t>This suggests that, on average, BBLS and CBILS/CLBILS borrowers’ employment was respectively 6</w:t>
      </w:r>
      <w:r w:rsidR="00167343">
        <w:t>.4</w:t>
      </w:r>
      <w:r w:rsidR="005A5851" w:rsidRPr="00490C53">
        <w:t xml:space="preserve">% and </w:t>
      </w:r>
      <w:r w:rsidR="00B4148B" w:rsidRPr="00490C53">
        <w:t>10</w:t>
      </w:r>
      <w:r w:rsidR="00167343">
        <w:t>.3</w:t>
      </w:r>
      <w:r w:rsidR="005A5851" w:rsidRPr="00490C53">
        <w:t>% higher than it would have been in the absence of the Covid-19 Loan Guarantee Schemes.</w:t>
      </w:r>
      <w:r w:rsidR="005A5851" w:rsidRPr="00490C53">
        <w:rPr>
          <w:rStyle w:val="FootnoteReference"/>
        </w:rPr>
        <w:footnoteReference w:id="101"/>
      </w:r>
      <w:r w:rsidR="005A5851" w:rsidRPr="00490C53">
        <w:t xml:space="preserve"> </w:t>
      </w:r>
    </w:p>
    <w:p w14:paraId="3AEFE8DA" w14:textId="7F922381" w:rsidR="00A6769C" w:rsidRPr="00490C53" w:rsidRDefault="00A6769C" w:rsidP="00E55003">
      <w:r w:rsidRPr="00490C53">
        <w:t xml:space="preserve">Based on estimates of the average </w:t>
      </w:r>
      <w:r w:rsidR="00D748F4">
        <w:t>post-pandemic</w:t>
      </w:r>
      <w:r w:rsidR="00D748F4" w:rsidRPr="00490C53">
        <w:t xml:space="preserve"> </w:t>
      </w:r>
      <w:r w:rsidRPr="00490C53">
        <w:t xml:space="preserve">employment levels of borrowers, </w:t>
      </w:r>
      <w:r w:rsidR="00EF77D7">
        <w:t xml:space="preserve">the number of borrowers, </w:t>
      </w:r>
      <w:r w:rsidRPr="00490C53">
        <w:t xml:space="preserve">and estimates from the difference-in-difference analysis, it is estimated that </w:t>
      </w:r>
      <w:r w:rsidR="0052759B" w:rsidRPr="00490C53">
        <w:t>704,000</w:t>
      </w:r>
      <w:r w:rsidRPr="00490C53">
        <w:t xml:space="preserve"> additional jobs could potentially have been lost </w:t>
      </w:r>
      <w:r w:rsidR="0052759B" w:rsidRPr="00490C53">
        <w:t xml:space="preserve">among all firms </w:t>
      </w:r>
      <w:r w:rsidRPr="00490C53">
        <w:t>in the absence of the Covid-19 Loan Guarantee Schemes.</w:t>
      </w:r>
      <w:r w:rsidRPr="00490C53">
        <w:rPr>
          <w:rStyle w:val="FootnoteReference"/>
        </w:rPr>
        <w:footnoteReference w:id="102"/>
      </w:r>
      <w:r w:rsidRPr="00490C53">
        <w:t xml:space="preserve"> </w:t>
      </w:r>
      <w:r w:rsidR="00F24B84" w:rsidRPr="00490C53">
        <w:t xml:space="preserve">This estimate is made up of </w:t>
      </w:r>
      <w:r w:rsidR="006B6D92" w:rsidRPr="00490C53">
        <w:t xml:space="preserve">407,000 job losses avoided due to the BBLS scheme, and 297,000 job losses avoided due to the CBILS/CLBILS schemes </w:t>
      </w:r>
      <w:r w:rsidRPr="00490C53">
        <w:t>(</w:t>
      </w:r>
      <w:r w:rsidR="00EE59E7">
        <w:fldChar w:fldCharType="begin"/>
      </w:r>
      <w:r w:rsidR="00EE59E7">
        <w:instrText xml:space="preserve"> REF _Ref126236795 \h </w:instrText>
      </w:r>
      <w:r w:rsidR="00EE59E7">
        <w:fldChar w:fldCharType="separate"/>
      </w:r>
      <w:r w:rsidR="00397D49" w:rsidRPr="00490C53">
        <w:t xml:space="preserve">Table </w:t>
      </w:r>
      <w:r w:rsidR="00397D49">
        <w:rPr>
          <w:noProof/>
        </w:rPr>
        <w:t>16</w:t>
      </w:r>
      <w:r w:rsidR="00EE59E7">
        <w:fldChar w:fldCharType="end"/>
      </w:r>
      <w:r w:rsidRPr="00490C53">
        <w:t>).</w:t>
      </w:r>
    </w:p>
    <w:p w14:paraId="7653F118" w14:textId="08C8AE46" w:rsidR="00230866" w:rsidRPr="00490C53" w:rsidRDefault="00230866" w:rsidP="00230866">
      <w:pPr>
        <w:pStyle w:val="Heading5"/>
      </w:pPr>
      <w:bookmarkStart w:id="148" w:name="_Ref126236795"/>
      <w:bookmarkStart w:id="149" w:name="_Ref125471911"/>
      <w:r w:rsidRPr="00490C53">
        <w:lastRenderedPageBreak/>
        <w:t xml:space="preserve">Table </w:t>
      </w:r>
      <w:r w:rsidR="00B6604F" w:rsidRPr="00846F78">
        <w:fldChar w:fldCharType="begin"/>
      </w:r>
      <w:r w:rsidR="00B6604F" w:rsidRPr="00490C53">
        <w:instrText xml:space="preserve"> SEQ Table \* ARABIC </w:instrText>
      </w:r>
      <w:r w:rsidR="00B6604F" w:rsidRPr="00846F78">
        <w:fldChar w:fldCharType="separate"/>
      </w:r>
      <w:r w:rsidR="00397D49">
        <w:rPr>
          <w:noProof/>
        </w:rPr>
        <w:t>16</w:t>
      </w:r>
      <w:r w:rsidR="00B6604F" w:rsidRPr="00846F78">
        <w:fldChar w:fldCharType="end"/>
      </w:r>
      <w:bookmarkEnd w:id="148"/>
      <w:r w:rsidRPr="00490C53">
        <w:t xml:space="preserve"> : Additional potential job losses in the absence of the Covid-19 Loan Guarantee Schemes, by scheme</w:t>
      </w:r>
      <w:bookmarkEnd w:id="149"/>
      <w:r w:rsidR="0029763C">
        <w:rPr>
          <w:rStyle w:val="FootnoteReference"/>
        </w:rPr>
        <w:footnoteReference w:id="103"/>
      </w:r>
    </w:p>
    <w:tbl>
      <w:tblPr>
        <w:tblStyle w:val="TableGrid"/>
        <w:tblW w:w="4886" w:type="pct"/>
        <w:tblLook w:val="04A0" w:firstRow="1" w:lastRow="0" w:firstColumn="1" w:lastColumn="0" w:noHBand="0" w:noVBand="1"/>
      </w:tblPr>
      <w:tblGrid>
        <w:gridCol w:w="5667"/>
        <w:gridCol w:w="4255"/>
      </w:tblGrid>
      <w:tr w:rsidR="00230866" w:rsidRPr="00490C53" w14:paraId="70776119" w14:textId="77777777">
        <w:trPr>
          <w:cnfStyle w:val="100000000000" w:firstRow="1" w:lastRow="0" w:firstColumn="0" w:lastColumn="0" w:oddVBand="0" w:evenVBand="0" w:oddHBand="0" w:evenHBand="0" w:firstRowFirstColumn="0" w:firstRowLastColumn="0" w:lastRowFirstColumn="0" w:lastRowLastColumn="0"/>
          <w:tblHeader/>
        </w:trPr>
        <w:tc>
          <w:tcPr>
            <w:tcW w:w="2856" w:type="pct"/>
          </w:tcPr>
          <w:p w14:paraId="0D551F08" w14:textId="0846A7DD" w:rsidR="00230866" w:rsidRPr="00490C53" w:rsidRDefault="00230866">
            <w:pPr>
              <w:pStyle w:val="Tablecolumnheading-inkblue"/>
              <w:rPr>
                <w:b w:val="0"/>
                <w:color w:val="FFFFFF" w:themeColor="background1"/>
                <w:sz w:val="22"/>
                <w:szCs w:val="20"/>
              </w:rPr>
            </w:pPr>
            <w:r w:rsidRPr="00490C53">
              <w:rPr>
                <w:color w:val="FFFFFF" w:themeColor="background1"/>
              </w:rPr>
              <w:t xml:space="preserve">Scheme </w:t>
            </w:r>
          </w:p>
        </w:tc>
        <w:tc>
          <w:tcPr>
            <w:tcW w:w="2144" w:type="pct"/>
            <w:vAlign w:val="center"/>
          </w:tcPr>
          <w:p w14:paraId="15942C62" w14:textId="77777777" w:rsidR="00230866" w:rsidRPr="00490C53" w:rsidRDefault="00230866" w:rsidP="00846F78">
            <w:pPr>
              <w:pStyle w:val="Tablecolumnheading-inkblue"/>
              <w:rPr>
                <w:bCs/>
                <w:color w:val="FFFFFF" w:themeColor="background1"/>
                <w:sz w:val="22"/>
                <w:szCs w:val="20"/>
              </w:rPr>
            </w:pPr>
            <w:r w:rsidRPr="00490C53">
              <w:rPr>
                <w:color w:val="FFFFFF" w:themeColor="background1"/>
              </w:rPr>
              <w:t>Total</w:t>
            </w:r>
          </w:p>
        </w:tc>
      </w:tr>
      <w:tr w:rsidR="00230866" w:rsidRPr="00490C53" w14:paraId="71550C5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856" w:type="pct"/>
            <w:vAlign w:val="center"/>
          </w:tcPr>
          <w:p w14:paraId="2ED4F072" w14:textId="77777777" w:rsidR="00230866" w:rsidRPr="00490C53" w:rsidDel="000A1204" w:rsidRDefault="00230866">
            <w:pPr>
              <w:pStyle w:val="Tabletext"/>
            </w:pPr>
            <w:r w:rsidRPr="00490C53">
              <w:t>BBLS</w:t>
            </w:r>
          </w:p>
        </w:tc>
        <w:tc>
          <w:tcPr>
            <w:tcW w:w="2144" w:type="pct"/>
            <w:vAlign w:val="center"/>
          </w:tcPr>
          <w:p w14:paraId="3A1922B3" w14:textId="77777777" w:rsidR="00230866" w:rsidRPr="00490C53" w:rsidRDefault="00230866" w:rsidP="00846F78">
            <w:pPr>
              <w:pStyle w:val="Tabletext"/>
              <w:rPr>
                <w:rStyle w:val="Bold"/>
                <w:b w:val="0"/>
              </w:rPr>
            </w:pPr>
            <w:r w:rsidRPr="00846F78">
              <w:t>407,000</w:t>
            </w:r>
          </w:p>
        </w:tc>
      </w:tr>
      <w:tr w:rsidR="00230866" w:rsidRPr="00490C53" w14:paraId="7BF38C9B" w14:textId="77777777">
        <w:tblPrEx>
          <w:tblCellMar>
            <w:left w:w="108" w:type="dxa"/>
            <w:right w:w="108" w:type="dxa"/>
          </w:tblCellMar>
        </w:tblPrEx>
        <w:tc>
          <w:tcPr>
            <w:tcW w:w="2856" w:type="pct"/>
            <w:vAlign w:val="center"/>
          </w:tcPr>
          <w:p w14:paraId="66C71AE1" w14:textId="77777777" w:rsidR="00230866" w:rsidRPr="00490C53" w:rsidDel="000A1204" w:rsidRDefault="00230866">
            <w:pPr>
              <w:pStyle w:val="Tabletext"/>
            </w:pPr>
            <w:r w:rsidRPr="00490C53">
              <w:t>CBILS/CLBILS</w:t>
            </w:r>
          </w:p>
        </w:tc>
        <w:tc>
          <w:tcPr>
            <w:tcW w:w="2144" w:type="pct"/>
            <w:vAlign w:val="center"/>
          </w:tcPr>
          <w:p w14:paraId="7F5F0945" w14:textId="77777777" w:rsidR="00230866" w:rsidRPr="00490C53" w:rsidRDefault="00230866" w:rsidP="00846F78">
            <w:pPr>
              <w:pStyle w:val="Tabletext"/>
              <w:rPr>
                <w:rStyle w:val="Bold"/>
                <w:b w:val="0"/>
              </w:rPr>
            </w:pPr>
            <w:r w:rsidRPr="00846F78">
              <w:t>297,000</w:t>
            </w:r>
          </w:p>
        </w:tc>
      </w:tr>
      <w:tr w:rsidR="00230866" w:rsidRPr="00490C53" w14:paraId="48266A3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856" w:type="pct"/>
            <w:vAlign w:val="center"/>
          </w:tcPr>
          <w:p w14:paraId="49660FEB" w14:textId="77777777" w:rsidR="00230866" w:rsidRPr="00490C53" w:rsidDel="000A1204" w:rsidRDefault="00230866">
            <w:pPr>
              <w:pStyle w:val="Tabletext"/>
            </w:pPr>
            <w:r w:rsidRPr="00490C53">
              <w:rPr>
                <w:b/>
                <w:bCs/>
              </w:rPr>
              <w:t>Total</w:t>
            </w:r>
          </w:p>
        </w:tc>
        <w:tc>
          <w:tcPr>
            <w:tcW w:w="2144" w:type="pct"/>
            <w:vAlign w:val="center"/>
          </w:tcPr>
          <w:p w14:paraId="6B7D7CB7" w14:textId="77777777" w:rsidR="00230866" w:rsidRPr="00846F78" w:rsidRDefault="00230866" w:rsidP="00846F78">
            <w:pPr>
              <w:pStyle w:val="Tabletext"/>
              <w:rPr>
                <w:rStyle w:val="Bold"/>
                <w:bCs/>
              </w:rPr>
            </w:pPr>
            <w:r w:rsidRPr="00490C53">
              <w:rPr>
                <w:b/>
                <w:bCs/>
              </w:rPr>
              <w:t>704,000</w:t>
            </w:r>
          </w:p>
        </w:tc>
      </w:tr>
    </w:tbl>
    <w:p w14:paraId="04C5DC5C" w14:textId="2B4C1596" w:rsidR="00230866" w:rsidRPr="00490C53" w:rsidRDefault="00230866" w:rsidP="00230866">
      <w:pPr>
        <w:pStyle w:val="Caption"/>
      </w:pPr>
      <w:r w:rsidRPr="00490C53">
        <w:t>Source: L</w:t>
      </w:r>
      <w:r w:rsidR="006B2DC2">
        <w:t xml:space="preserve">ondon </w:t>
      </w:r>
      <w:r w:rsidRPr="00490C53">
        <w:t>E</w:t>
      </w:r>
      <w:r w:rsidR="006B2DC2">
        <w:t>conomics’</w:t>
      </w:r>
      <w:r w:rsidRPr="00490C53">
        <w:t xml:space="preserve"> analysis of IDBR data</w:t>
      </w:r>
      <w:r w:rsidR="00E94302">
        <w:rPr>
          <w:rStyle w:val="Emphasis"/>
          <w:b w:val="0"/>
          <w:bCs/>
          <w:color w:val="555674"/>
        </w:rPr>
        <w:t>, BBB Portal Data, BBB Management Information and HMRC Coronavirus Job Retention Scheme</w:t>
      </w:r>
      <w:r w:rsidR="00E94302" w:rsidRPr="00F269C4">
        <w:rPr>
          <w:rStyle w:val="Emphasis"/>
          <w:b w:val="0"/>
          <w:bCs/>
          <w:color w:val="555674"/>
        </w:rPr>
        <w:t xml:space="preserve"> (CJRS) data</w:t>
      </w:r>
      <w:r w:rsidRPr="00490C53">
        <w:t>. Figures are rounded to the nearest thousand.</w:t>
      </w:r>
    </w:p>
    <w:p w14:paraId="6238911A" w14:textId="6EAA26C8" w:rsidR="00C146E8" w:rsidRPr="00490C53" w:rsidRDefault="00230866" w:rsidP="00236B73">
      <w:r w:rsidRPr="00236B73">
        <w:rPr>
          <w:color w:val="142855" w:themeColor="text2"/>
        </w:rPr>
        <w:t>C</w:t>
      </w:r>
      <w:r w:rsidR="00C146E8" w:rsidRPr="00236B73">
        <w:rPr>
          <w:color w:val="142855" w:themeColor="text2"/>
        </w:rPr>
        <w:t xml:space="preserve">omparison with </w:t>
      </w:r>
      <w:r w:rsidR="00EC0454" w:rsidRPr="00236B73">
        <w:rPr>
          <w:color w:val="142855" w:themeColor="text2"/>
        </w:rPr>
        <w:t>Y</w:t>
      </w:r>
      <w:r w:rsidR="00C146E8" w:rsidRPr="00236B73">
        <w:rPr>
          <w:color w:val="142855" w:themeColor="text2"/>
        </w:rPr>
        <w:t>ear 1 survey results</w:t>
      </w:r>
    </w:p>
    <w:p w14:paraId="6608FA27" w14:textId="4F4F9676" w:rsidR="00082392" w:rsidRPr="00490C53" w:rsidRDefault="00C146E8" w:rsidP="00C146E8">
      <w:r w:rsidRPr="00490C53">
        <w:t xml:space="preserve">The </w:t>
      </w:r>
      <w:r w:rsidR="00EC0454" w:rsidRPr="00490C53">
        <w:t>Y</w:t>
      </w:r>
      <w:r w:rsidRPr="00490C53">
        <w:t xml:space="preserve">ear 1 econometric analysis of survey data did not find a statistically significant impact of the BBLS </w:t>
      </w:r>
      <w:r w:rsidR="009E546F">
        <w:t>or</w:t>
      </w:r>
      <w:r w:rsidRPr="00490C53">
        <w:t xml:space="preserve"> CBILS/CLBILS schemes on borrowers’ turnover, whereas this</w:t>
      </w:r>
      <w:r w:rsidR="003E260C">
        <w:t xml:space="preserve"> secondary analysis </w:t>
      </w:r>
      <w:r w:rsidRPr="00490C53">
        <w:t xml:space="preserve">finds that </w:t>
      </w:r>
      <w:r w:rsidR="00082392" w:rsidRPr="00490C53">
        <w:t xml:space="preserve">on average, BBLS and CBILS/CLBILS borrowers’ turnover was respectively </w:t>
      </w:r>
      <w:r w:rsidR="00167343">
        <w:t>9.7</w:t>
      </w:r>
      <w:r w:rsidR="00082392" w:rsidRPr="00490C53">
        <w:t>% and 1</w:t>
      </w:r>
      <w:r w:rsidR="00167343">
        <w:t>1.5</w:t>
      </w:r>
      <w:r w:rsidR="00082392" w:rsidRPr="00490C53">
        <w:t>% higher than it would have been in the absence of the Covid-19 Loan Guarantee Schemes</w:t>
      </w:r>
      <w:r w:rsidR="007550D5" w:rsidRPr="00490C53">
        <w:t>.</w:t>
      </w:r>
    </w:p>
    <w:p w14:paraId="4FCFED86" w14:textId="18E09223" w:rsidR="00FC6890" w:rsidRDefault="00C146E8" w:rsidP="00C146E8">
      <w:pPr>
        <w:rPr>
          <w:rFonts w:cstheme="minorHAnsi"/>
        </w:rPr>
      </w:pPr>
      <w:r w:rsidRPr="00490C53">
        <w:t xml:space="preserve">There could be </w:t>
      </w:r>
      <w:proofErr w:type="gramStart"/>
      <w:r w:rsidRPr="00490C53">
        <w:t>a number of</w:t>
      </w:r>
      <w:proofErr w:type="gramEnd"/>
      <w:r w:rsidRPr="00490C53">
        <w:t xml:space="preserve"> reasons that </w:t>
      </w:r>
      <w:r w:rsidRPr="00846F78">
        <w:rPr>
          <w:rFonts w:cstheme="minorHAnsi"/>
        </w:rPr>
        <w:t>the findings from th</w:t>
      </w:r>
      <w:r w:rsidR="00A10581">
        <w:rPr>
          <w:rFonts w:cstheme="minorHAnsi"/>
        </w:rPr>
        <w:t>is exercise</w:t>
      </w:r>
      <w:r w:rsidRPr="00846F78">
        <w:rPr>
          <w:rFonts w:cstheme="minorHAnsi"/>
        </w:rPr>
        <w:t xml:space="preserve"> differ to the findings from the analysis of the </w:t>
      </w:r>
      <w:r w:rsidR="00EC0454" w:rsidRPr="00846F78">
        <w:rPr>
          <w:rFonts w:cstheme="minorHAnsi"/>
        </w:rPr>
        <w:t>Y</w:t>
      </w:r>
      <w:r w:rsidRPr="00846F78">
        <w:rPr>
          <w:rFonts w:cstheme="minorHAnsi"/>
        </w:rPr>
        <w:t xml:space="preserve">ear 1 survey. </w:t>
      </w:r>
      <w:r w:rsidR="00F92711" w:rsidRPr="00846F78">
        <w:rPr>
          <w:rFonts w:cstheme="minorHAnsi"/>
        </w:rPr>
        <w:t>First</w:t>
      </w:r>
      <w:r w:rsidR="00AE2E6C" w:rsidRPr="00846F78">
        <w:rPr>
          <w:rFonts w:cstheme="minorHAnsi"/>
        </w:rPr>
        <w:t xml:space="preserve">, there were differences in the </w:t>
      </w:r>
      <w:r w:rsidR="00295ECD" w:rsidRPr="00846F78">
        <w:rPr>
          <w:rFonts w:cstheme="minorHAnsi"/>
        </w:rPr>
        <w:t>set of variables included in the PSM and difference-in-difference specifications</w:t>
      </w:r>
      <w:r w:rsidR="00704916" w:rsidRPr="00846F78">
        <w:rPr>
          <w:rFonts w:cstheme="minorHAnsi"/>
        </w:rPr>
        <w:t xml:space="preserve"> due to data availability</w:t>
      </w:r>
      <w:r w:rsidR="009E546F">
        <w:rPr>
          <w:rFonts w:cstheme="minorHAnsi"/>
        </w:rPr>
        <w:t xml:space="preserve"> (see Annex 5 of the Year 1 report, and </w:t>
      </w:r>
      <w:r w:rsidR="00FC29E5">
        <w:rPr>
          <w:rFonts w:cstheme="minorHAnsi"/>
        </w:rPr>
        <w:fldChar w:fldCharType="begin"/>
      </w:r>
      <w:r w:rsidR="00FC29E5">
        <w:rPr>
          <w:rFonts w:cstheme="minorHAnsi"/>
        </w:rPr>
        <w:instrText xml:space="preserve"> REF _Ref126237016 \h </w:instrText>
      </w:r>
      <w:r w:rsidR="00FC29E5">
        <w:rPr>
          <w:rFonts w:cstheme="minorHAnsi"/>
        </w:rPr>
      </w:r>
      <w:r w:rsidR="00FC29E5">
        <w:rPr>
          <w:rFonts w:cstheme="minorHAnsi"/>
        </w:rPr>
        <w:fldChar w:fldCharType="separate"/>
      </w:r>
      <w:r w:rsidR="00397D49" w:rsidRPr="00490C53">
        <w:t xml:space="preserve">Annex </w:t>
      </w:r>
      <w:r w:rsidR="00397D49">
        <w:t>4</w:t>
      </w:r>
      <w:r w:rsidR="00FC29E5">
        <w:rPr>
          <w:rFonts w:cstheme="minorHAnsi"/>
        </w:rPr>
        <w:fldChar w:fldCharType="end"/>
      </w:r>
      <w:r w:rsidR="009E546F">
        <w:rPr>
          <w:rFonts w:cstheme="minorHAnsi"/>
        </w:rPr>
        <w:t xml:space="preserve"> of this report)</w:t>
      </w:r>
      <w:r w:rsidR="00295ECD" w:rsidRPr="00846F78">
        <w:rPr>
          <w:rFonts w:cstheme="minorHAnsi"/>
        </w:rPr>
        <w:t xml:space="preserve">. </w:t>
      </w:r>
      <w:r w:rsidR="00F92711" w:rsidRPr="00846F78">
        <w:rPr>
          <w:rFonts w:cstheme="minorHAnsi"/>
        </w:rPr>
        <w:t>Second</w:t>
      </w:r>
      <w:r w:rsidR="00295ECD" w:rsidRPr="00846F78">
        <w:rPr>
          <w:rFonts w:cstheme="minorHAnsi"/>
        </w:rPr>
        <w:t>, t</w:t>
      </w:r>
      <w:r w:rsidRPr="00846F78">
        <w:rPr>
          <w:rFonts w:cstheme="minorHAnsi"/>
        </w:rPr>
        <w:t xml:space="preserve">he findings are based on different data sets. In the </w:t>
      </w:r>
      <w:r w:rsidR="00EC0454" w:rsidRPr="00846F78">
        <w:rPr>
          <w:rFonts w:cstheme="minorHAnsi"/>
        </w:rPr>
        <w:t>Y</w:t>
      </w:r>
      <w:r w:rsidRPr="00846F78">
        <w:rPr>
          <w:rFonts w:cstheme="minorHAnsi"/>
        </w:rPr>
        <w:t>ear 1 survey, primary data was used in the form of businesses</w:t>
      </w:r>
      <w:r w:rsidR="003174F2" w:rsidRPr="00846F78">
        <w:rPr>
          <w:rFonts w:cstheme="minorHAnsi"/>
        </w:rPr>
        <w:t>’</w:t>
      </w:r>
      <w:r w:rsidRPr="00846F78">
        <w:rPr>
          <w:rFonts w:cstheme="minorHAnsi"/>
        </w:rPr>
        <w:t xml:space="preserve"> self-reported turnover </w:t>
      </w:r>
      <w:r w:rsidR="00DA5E6D" w:rsidRPr="00846F78">
        <w:rPr>
          <w:rFonts w:cstheme="minorHAnsi"/>
        </w:rPr>
        <w:t>in</w:t>
      </w:r>
      <w:r w:rsidRPr="00846F78">
        <w:rPr>
          <w:rFonts w:cstheme="minorHAnsi"/>
        </w:rPr>
        <w:t xml:space="preserve"> a sample of </w:t>
      </w:r>
      <w:r w:rsidR="00F6506B">
        <w:rPr>
          <w:rFonts w:cstheme="minorHAnsi"/>
        </w:rPr>
        <w:t>several hundreds of</w:t>
      </w:r>
      <w:r w:rsidRPr="00846F78">
        <w:rPr>
          <w:rFonts w:cstheme="minorHAnsi"/>
        </w:rPr>
        <w:t xml:space="preserve"> businesses</w:t>
      </w:r>
      <w:r w:rsidR="00FC6890">
        <w:rPr>
          <w:rFonts w:cstheme="minorHAnsi"/>
        </w:rPr>
        <w:t>. An advantage of this dataset was that it contained information on business obstacles faced by respondents (</w:t>
      </w:r>
      <w:r w:rsidR="00994BE7">
        <w:rPr>
          <w:rFonts w:cstheme="minorHAnsi"/>
        </w:rPr>
        <w:t xml:space="preserve">for example </w:t>
      </w:r>
      <w:r w:rsidR="00FC6890">
        <w:rPr>
          <w:rFonts w:cstheme="minorHAnsi"/>
        </w:rPr>
        <w:t>supply chain disruptions), which could be used in the PSM (though this information was also self-reported)</w:t>
      </w:r>
      <w:r w:rsidRPr="00846F78">
        <w:rPr>
          <w:rFonts w:cstheme="minorHAnsi"/>
        </w:rPr>
        <w:t xml:space="preserve">. </w:t>
      </w:r>
    </w:p>
    <w:p w14:paraId="7EB2EA88" w14:textId="268A22BA" w:rsidR="00C146E8" w:rsidRDefault="004062DD" w:rsidP="00C146E8">
      <w:pPr>
        <w:rPr>
          <w:rFonts w:cstheme="minorHAnsi"/>
        </w:rPr>
      </w:pPr>
      <w:r w:rsidRPr="00846F78">
        <w:rPr>
          <w:rFonts w:cstheme="minorHAnsi"/>
        </w:rPr>
        <w:t>In contrast</w:t>
      </w:r>
      <w:r w:rsidR="006445B3" w:rsidRPr="00846F78">
        <w:rPr>
          <w:rFonts w:cstheme="minorHAnsi"/>
        </w:rPr>
        <w:t xml:space="preserve">, the </w:t>
      </w:r>
      <w:r w:rsidR="00152E57" w:rsidRPr="00846F78">
        <w:rPr>
          <w:rFonts w:cstheme="minorHAnsi"/>
        </w:rPr>
        <w:t>econometric models in th</w:t>
      </w:r>
      <w:r w:rsidR="00A10581">
        <w:rPr>
          <w:rFonts w:cstheme="minorHAnsi"/>
        </w:rPr>
        <w:t>is</w:t>
      </w:r>
      <w:r w:rsidR="00152E57" w:rsidRPr="00846F78">
        <w:rPr>
          <w:rFonts w:cstheme="minorHAnsi"/>
        </w:rPr>
        <w:t xml:space="preserve"> exercise are run on a sample </w:t>
      </w:r>
      <w:r w:rsidR="00C146E8" w:rsidRPr="00846F78">
        <w:rPr>
          <w:rFonts w:cstheme="minorHAnsi"/>
        </w:rPr>
        <w:t xml:space="preserve">of </w:t>
      </w:r>
      <w:r w:rsidR="00B46F5B" w:rsidRPr="00846F78">
        <w:rPr>
          <w:rFonts w:cstheme="minorHAnsi"/>
        </w:rPr>
        <w:t xml:space="preserve">around </w:t>
      </w:r>
      <w:r w:rsidR="00733633" w:rsidRPr="00846F78">
        <w:rPr>
          <w:rFonts w:cstheme="minorHAnsi"/>
        </w:rPr>
        <w:t>80,000-1</w:t>
      </w:r>
      <w:r w:rsidR="008E69F6" w:rsidRPr="00846F78">
        <w:rPr>
          <w:rFonts w:cstheme="minorHAnsi"/>
        </w:rPr>
        <w:t>4</w:t>
      </w:r>
      <w:r w:rsidR="00733633" w:rsidRPr="00846F78">
        <w:rPr>
          <w:rFonts w:cstheme="minorHAnsi"/>
        </w:rPr>
        <w:t>0,000</w:t>
      </w:r>
      <w:r w:rsidR="00284DA1" w:rsidRPr="00846F78">
        <w:rPr>
          <w:rFonts w:cstheme="minorHAnsi"/>
        </w:rPr>
        <w:t xml:space="preserve"> businesses (in the case of CBILS/CLBILS and BBLS respectively)</w:t>
      </w:r>
      <w:r w:rsidR="00C146E8" w:rsidRPr="00846F78">
        <w:rPr>
          <w:rFonts w:cstheme="minorHAnsi"/>
        </w:rPr>
        <w:t xml:space="preserve">, </w:t>
      </w:r>
      <w:r w:rsidR="00B93BD6" w:rsidRPr="00846F78">
        <w:rPr>
          <w:rFonts w:cstheme="minorHAnsi"/>
        </w:rPr>
        <w:t xml:space="preserve">with </w:t>
      </w:r>
      <w:r w:rsidR="00C146E8" w:rsidRPr="00846F78">
        <w:rPr>
          <w:rFonts w:cstheme="minorHAnsi"/>
        </w:rPr>
        <w:t xml:space="preserve">turnover data </w:t>
      </w:r>
      <w:r w:rsidR="00C146E8" w:rsidRPr="00846F78">
        <w:rPr>
          <w:rFonts w:cstheme="minorHAnsi"/>
        </w:rPr>
        <w:lastRenderedPageBreak/>
        <w:t>based on a range of sources including the ONS’s Annual Business Survey (ABS), VAT returns from HMRC, and imputation from HMRC’s PAYE data.</w:t>
      </w:r>
      <w:r w:rsidR="00210FCD">
        <w:rPr>
          <w:rFonts w:cstheme="minorHAnsi"/>
        </w:rPr>
        <w:t xml:space="preserve"> </w:t>
      </w:r>
      <w:r w:rsidR="00FC6890">
        <w:rPr>
          <w:rFonts w:cstheme="minorHAnsi"/>
        </w:rPr>
        <w:t xml:space="preserve">This larger sample size is an important advantage of the IDBR analysis. </w:t>
      </w:r>
    </w:p>
    <w:p w14:paraId="024147D0" w14:textId="45748FC9" w:rsidR="000A51B3" w:rsidRPr="00490C53" w:rsidRDefault="000A51B3" w:rsidP="000A51B3">
      <w:pPr>
        <w:pStyle w:val="Heading5"/>
      </w:pPr>
      <w:r w:rsidRPr="00490C53">
        <w:t xml:space="preserve">Table </w:t>
      </w:r>
      <w:r w:rsidRPr="00846F78">
        <w:fldChar w:fldCharType="begin"/>
      </w:r>
      <w:r w:rsidRPr="00490C53">
        <w:instrText xml:space="preserve"> SEQ Table \* ARABIC </w:instrText>
      </w:r>
      <w:r w:rsidRPr="00846F78">
        <w:fldChar w:fldCharType="separate"/>
      </w:r>
      <w:r w:rsidR="00397D49">
        <w:rPr>
          <w:noProof/>
        </w:rPr>
        <w:t>17</w:t>
      </w:r>
      <w:r w:rsidRPr="00846F78">
        <w:fldChar w:fldCharType="end"/>
      </w:r>
      <w:r w:rsidRPr="00490C53">
        <w:t xml:space="preserve"> : </w:t>
      </w:r>
      <w:r w:rsidR="00E65029">
        <w:t xml:space="preserve">Main differences between the datasets used in the </w:t>
      </w:r>
      <w:r w:rsidR="00304D9C">
        <w:t>Y</w:t>
      </w:r>
      <w:r w:rsidR="00E65029">
        <w:t xml:space="preserve">ear 1 analysis and </w:t>
      </w:r>
      <w:r w:rsidR="00A10581">
        <w:t xml:space="preserve">secondary analysis </w:t>
      </w:r>
      <w:r w:rsidR="00F65059">
        <w:t>exercise</w:t>
      </w:r>
    </w:p>
    <w:tbl>
      <w:tblPr>
        <w:tblStyle w:val="TableGrid"/>
        <w:tblW w:w="5000" w:type="pct"/>
        <w:tblLook w:val="04A0" w:firstRow="1" w:lastRow="0" w:firstColumn="1" w:lastColumn="0" w:noHBand="0" w:noVBand="1"/>
      </w:tblPr>
      <w:tblGrid>
        <w:gridCol w:w="1984"/>
        <w:gridCol w:w="5124"/>
        <w:gridCol w:w="3046"/>
      </w:tblGrid>
      <w:tr w:rsidR="000A51B3" w:rsidRPr="00490C53" w14:paraId="527AAE18" w14:textId="77777777" w:rsidTr="002D323B">
        <w:trPr>
          <w:cnfStyle w:val="100000000000" w:firstRow="1" w:lastRow="0" w:firstColumn="0" w:lastColumn="0" w:oddVBand="0" w:evenVBand="0" w:oddHBand="0" w:evenHBand="0" w:firstRowFirstColumn="0" w:firstRowLastColumn="0" w:lastRowFirstColumn="0" w:lastRowLastColumn="0"/>
          <w:tblHeader/>
        </w:trPr>
        <w:tc>
          <w:tcPr>
            <w:tcW w:w="977" w:type="pct"/>
          </w:tcPr>
          <w:p w14:paraId="1D6CB4C1" w14:textId="520A6CD5" w:rsidR="000A51B3" w:rsidRPr="00490C53" w:rsidRDefault="000A51B3">
            <w:pPr>
              <w:pStyle w:val="Tablecolumnheading-inkblue"/>
              <w:rPr>
                <w:b w:val="0"/>
                <w:color w:val="FFFFFF" w:themeColor="background1"/>
                <w:sz w:val="22"/>
                <w:szCs w:val="20"/>
              </w:rPr>
            </w:pPr>
          </w:p>
        </w:tc>
        <w:tc>
          <w:tcPr>
            <w:tcW w:w="2523" w:type="pct"/>
          </w:tcPr>
          <w:p w14:paraId="2DE24B9F" w14:textId="0DCF6E21" w:rsidR="000A51B3" w:rsidRPr="00490C53" w:rsidRDefault="00E65029">
            <w:pPr>
              <w:pStyle w:val="Tablecolumnheading-inkblue"/>
              <w:rPr>
                <w:color w:val="FFFFFF" w:themeColor="background1"/>
              </w:rPr>
            </w:pPr>
            <w:r>
              <w:rPr>
                <w:color w:val="FFFFFF" w:themeColor="background1"/>
              </w:rPr>
              <w:t>Year 1 analysis</w:t>
            </w:r>
          </w:p>
        </w:tc>
        <w:tc>
          <w:tcPr>
            <w:tcW w:w="1500" w:type="pct"/>
            <w:vAlign w:val="center"/>
          </w:tcPr>
          <w:p w14:paraId="6E5F20D0" w14:textId="15832108" w:rsidR="000A51B3" w:rsidRPr="00A36500" w:rsidRDefault="00F65059">
            <w:pPr>
              <w:pStyle w:val="Tablecolumnheading-inkblue"/>
              <w:rPr>
                <w:bCs/>
                <w:color w:val="FFFFFF" w:themeColor="background1"/>
              </w:rPr>
            </w:pPr>
            <w:r w:rsidRPr="00A36500">
              <w:rPr>
                <w:bCs/>
                <w:color w:val="FFFFFF" w:themeColor="background1"/>
              </w:rPr>
              <w:t xml:space="preserve">Secondary analysis </w:t>
            </w:r>
          </w:p>
        </w:tc>
      </w:tr>
      <w:tr w:rsidR="00E65029" w:rsidRPr="00490C53" w14:paraId="588AB006" w14:textId="77777777" w:rsidTr="002D323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977" w:type="pct"/>
            <w:vAlign w:val="top"/>
          </w:tcPr>
          <w:p w14:paraId="4775A32A" w14:textId="7F1A400B" w:rsidR="00E65029" w:rsidRPr="00490C53" w:rsidDel="000A1204" w:rsidRDefault="00E65029" w:rsidP="00E65029">
            <w:pPr>
              <w:pStyle w:val="Tabletext"/>
            </w:pPr>
            <w:r w:rsidRPr="006F7B88">
              <w:t>Main data source</w:t>
            </w:r>
          </w:p>
        </w:tc>
        <w:tc>
          <w:tcPr>
            <w:tcW w:w="2523" w:type="pct"/>
            <w:vAlign w:val="top"/>
          </w:tcPr>
          <w:p w14:paraId="744237DC" w14:textId="2D2833C7" w:rsidR="00E65029" w:rsidRPr="00846F78" w:rsidRDefault="00E65029" w:rsidP="00E65029">
            <w:pPr>
              <w:pStyle w:val="Tabletext"/>
            </w:pPr>
            <w:r w:rsidRPr="00186400">
              <w:t>Primary data (survey)</w:t>
            </w:r>
          </w:p>
        </w:tc>
        <w:tc>
          <w:tcPr>
            <w:tcW w:w="1500" w:type="pct"/>
            <w:vAlign w:val="top"/>
          </w:tcPr>
          <w:p w14:paraId="070150F0" w14:textId="3E10F844" w:rsidR="00E65029" w:rsidRPr="00490C53" w:rsidRDefault="00E65029" w:rsidP="00E65029">
            <w:pPr>
              <w:pStyle w:val="Tabletext"/>
              <w:rPr>
                <w:rStyle w:val="Bold"/>
                <w:b w:val="0"/>
              </w:rPr>
            </w:pPr>
            <w:r w:rsidRPr="00F76ECA">
              <w:t>Secondary data (IDBR)</w:t>
            </w:r>
          </w:p>
        </w:tc>
      </w:tr>
      <w:tr w:rsidR="00E65029" w:rsidRPr="00490C53" w14:paraId="70813420" w14:textId="77777777" w:rsidTr="002D323B">
        <w:tblPrEx>
          <w:tblCellMar>
            <w:left w:w="108" w:type="dxa"/>
            <w:right w:w="108" w:type="dxa"/>
          </w:tblCellMar>
        </w:tblPrEx>
        <w:tc>
          <w:tcPr>
            <w:tcW w:w="977" w:type="pct"/>
            <w:vAlign w:val="top"/>
          </w:tcPr>
          <w:p w14:paraId="5B8FAFCB" w14:textId="09F4FCBE" w:rsidR="00E65029" w:rsidRPr="00490C53" w:rsidDel="000A1204" w:rsidRDefault="00E65029" w:rsidP="00E65029">
            <w:pPr>
              <w:pStyle w:val="Tabletext"/>
            </w:pPr>
            <w:r w:rsidRPr="006F7B88">
              <w:t xml:space="preserve">Approximate </w:t>
            </w:r>
            <w:r w:rsidR="00E57C5D">
              <w:t>number of businesses in</w:t>
            </w:r>
            <w:r>
              <w:t xml:space="preserve"> econometrics</w:t>
            </w:r>
          </w:p>
        </w:tc>
        <w:tc>
          <w:tcPr>
            <w:tcW w:w="2523" w:type="pct"/>
            <w:vAlign w:val="top"/>
          </w:tcPr>
          <w:p w14:paraId="7E1947CE" w14:textId="19E4D29C" w:rsidR="00E65029" w:rsidRPr="00846F78" w:rsidRDefault="00E57C5D" w:rsidP="00E65029">
            <w:pPr>
              <w:pStyle w:val="Tabletext"/>
            </w:pPr>
            <w:r>
              <w:t>Several hundreds</w:t>
            </w:r>
          </w:p>
        </w:tc>
        <w:tc>
          <w:tcPr>
            <w:tcW w:w="1500" w:type="pct"/>
            <w:vAlign w:val="top"/>
          </w:tcPr>
          <w:p w14:paraId="3257E1E1" w14:textId="7DE52D4E" w:rsidR="00E65029" w:rsidRPr="00490C53" w:rsidRDefault="00B53B67" w:rsidP="00E65029">
            <w:pPr>
              <w:pStyle w:val="Tabletext"/>
              <w:rPr>
                <w:rStyle w:val="Bold"/>
                <w:b w:val="0"/>
              </w:rPr>
            </w:pPr>
            <w:r>
              <w:t xml:space="preserve">c. </w:t>
            </w:r>
            <w:r w:rsidR="00E65029">
              <w:t>80</w:t>
            </w:r>
            <w:r w:rsidR="00EB4655">
              <w:t>k</w:t>
            </w:r>
            <w:r w:rsidR="00E65029">
              <w:t>-140k</w:t>
            </w:r>
          </w:p>
        </w:tc>
      </w:tr>
      <w:tr w:rsidR="00E65029" w:rsidRPr="00490C53" w14:paraId="35DBACC9" w14:textId="77777777" w:rsidTr="002D323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977" w:type="pct"/>
            <w:vAlign w:val="top"/>
          </w:tcPr>
          <w:p w14:paraId="27B9A317" w14:textId="0B230A9E" w:rsidR="00E65029" w:rsidRPr="00490C53" w:rsidDel="000A1204" w:rsidRDefault="00E65029" w:rsidP="00E65029">
            <w:pPr>
              <w:pStyle w:val="Tabletext"/>
            </w:pPr>
            <w:r w:rsidRPr="006F7B88">
              <w:t>Main variables available in raw data</w:t>
            </w:r>
          </w:p>
        </w:tc>
        <w:tc>
          <w:tcPr>
            <w:tcW w:w="2523" w:type="pct"/>
            <w:vAlign w:val="top"/>
          </w:tcPr>
          <w:p w14:paraId="1F148D8F" w14:textId="7A52F60B" w:rsidR="00E65029" w:rsidRPr="00490C53" w:rsidRDefault="00E65029" w:rsidP="00E65029">
            <w:pPr>
              <w:pStyle w:val="Tabletext"/>
              <w:rPr>
                <w:b/>
                <w:bCs/>
              </w:rPr>
            </w:pPr>
            <w:r w:rsidRPr="00186400">
              <w:t>Basic firmographics (</w:t>
            </w:r>
            <w:r w:rsidR="00994BE7">
              <w:t xml:space="preserve">for example </w:t>
            </w:r>
            <w:r w:rsidRPr="00186400">
              <w:t>turnover, employment, sector) between 2019 and 2021, firms' perception of business obstacles caused by the pandemic, information on businesses' use of several types of Government support measures (</w:t>
            </w:r>
            <w:proofErr w:type="gramStart"/>
            <w:r w:rsidRPr="00186400">
              <w:t>i.e.</w:t>
            </w:r>
            <w:proofErr w:type="gramEnd"/>
            <w:r w:rsidRPr="00186400">
              <w:t xml:space="preserve"> CJRS, deferral of VAT payments, other support). </w:t>
            </w:r>
          </w:p>
        </w:tc>
        <w:tc>
          <w:tcPr>
            <w:tcW w:w="1500" w:type="pct"/>
            <w:vAlign w:val="top"/>
          </w:tcPr>
          <w:p w14:paraId="17B27FC0" w14:textId="5BB60013" w:rsidR="00E65029" w:rsidRPr="00846F78" w:rsidRDefault="00E65029" w:rsidP="00E65029">
            <w:pPr>
              <w:pStyle w:val="Tabletext"/>
              <w:rPr>
                <w:rStyle w:val="Bold"/>
                <w:bCs/>
              </w:rPr>
            </w:pPr>
            <w:r w:rsidRPr="00F76ECA">
              <w:t>Basic firmographics (</w:t>
            </w:r>
            <w:r w:rsidR="00994BE7">
              <w:t>for example</w:t>
            </w:r>
            <w:r w:rsidRPr="00F76ECA">
              <w:t xml:space="preserve"> turnover, employment, sector) between 2017 and 2021</w:t>
            </w:r>
            <w:r w:rsidR="008A0A77">
              <w:t>, use of CJRS</w:t>
            </w:r>
          </w:p>
        </w:tc>
      </w:tr>
    </w:tbl>
    <w:p w14:paraId="6C857A71" w14:textId="77777777" w:rsidR="00341AE5" w:rsidRDefault="00341AE5" w:rsidP="00C146E8"/>
    <w:p w14:paraId="51F3D541" w14:textId="3B77585B" w:rsidR="00C146E8" w:rsidRPr="00490C53" w:rsidRDefault="00C146E8" w:rsidP="00C146E8">
      <w:r w:rsidRPr="00490C53">
        <w:t xml:space="preserve">The </w:t>
      </w:r>
      <w:r w:rsidR="00EC0454" w:rsidRPr="00490C53">
        <w:t>Y</w:t>
      </w:r>
      <w:r w:rsidRPr="00490C53">
        <w:t xml:space="preserve">ear 1 econometric analysis of survey data did not find a statistically significant impact of the BBLS scheme or the CBILS/CLBILS schemes on borrowers’ employment, whereas this exercise finds that </w:t>
      </w:r>
      <w:r w:rsidR="00AA5613" w:rsidRPr="00490C53">
        <w:t xml:space="preserve">on average, BBLS and CBILS/CLBILS borrowers’ employment </w:t>
      </w:r>
      <w:r w:rsidR="006D11FE" w:rsidRPr="00490C53">
        <w:t xml:space="preserve">(among surviving firms) </w:t>
      </w:r>
      <w:r w:rsidR="00AA5613" w:rsidRPr="00490C53">
        <w:t xml:space="preserve">was respectively </w:t>
      </w:r>
      <w:r w:rsidR="00167343">
        <w:t>5.7</w:t>
      </w:r>
      <w:r w:rsidR="00AA5613" w:rsidRPr="00490C53">
        <w:t>% and 9</w:t>
      </w:r>
      <w:r w:rsidR="00167343">
        <w:t>.0</w:t>
      </w:r>
      <w:r w:rsidR="00AA5613" w:rsidRPr="00490C53">
        <w:t>% higher than it would have been in the absence of the Covid-19 Loan Guarantee Schemes</w:t>
      </w:r>
      <w:r w:rsidRPr="00490C53">
        <w:t xml:space="preserve">. </w:t>
      </w:r>
    </w:p>
    <w:p w14:paraId="1248F442" w14:textId="33ED1780" w:rsidR="00C146E8" w:rsidRDefault="00C146E8" w:rsidP="00C146E8">
      <w:r w:rsidRPr="00490C53">
        <w:t>A</w:t>
      </w:r>
      <w:r w:rsidR="006803FE" w:rsidRPr="00490C53">
        <w:t xml:space="preserve">s with </w:t>
      </w:r>
      <w:r w:rsidR="00177155" w:rsidRPr="00490C53">
        <w:t xml:space="preserve">the analysis of turnover, differences between the </w:t>
      </w:r>
      <w:r w:rsidR="00EC0454" w:rsidRPr="00490C53">
        <w:t>Y</w:t>
      </w:r>
      <w:r w:rsidR="00177155" w:rsidRPr="00490C53">
        <w:t>ear 1 survey analysis and th</w:t>
      </w:r>
      <w:r w:rsidR="00F65059">
        <w:t>is</w:t>
      </w:r>
      <w:r w:rsidR="00177155" w:rsidRPr="00490C53">
        <w:t xml:space="preserve"> exercise could </w:t>
      </w:r>
      <w:r w:rsidR="00C927C7" w:rsidRPr="00490C53">
        <w:t xml:space="preserve">be due to </w:t>
      </w:r>
      <w:r w:rsidR="00E73647" w:rsidRPr="00490C53">
        <w:t xml:space="preserve">differences in the PSM or difference-in-difference specifications, </w:t>
      </w:r>
      <w:r w:rsidR="00C927C7" w:rsidRPr="00490C53">
        <w:t xml:space="preserve">sample size differences, or to the fact that </w:t>
      </w:r>
      <w:r w:rsidR="00317B41" w:rsidRPr="00490C53">
        <w:t xml:space="preserve">employment in the </w:t>
      </w:r>
      <w:r w:rsidR="00BD075E">
        <w:t>Y</w:t>
      </w:r>
      <w:r w:rsidR="00317B41" w:rsidRPr="00490C53">
        <w:t xml:space="preserve">ear 1 survey was self-reported while IDBR </w:t>
      </w:r>
      <w:r w:rsidRPr="00490C53">
        <w:t xml:space="preserve">employment data is based on a range of sources including the Business Register </w:t>
      </w:r>
      <w:r w:rsidRPr="00490C53">
        <w:lastRenderedPageBreak/>
        <w:t>and Employment Survey (BRES), the Short Term Employment Survey (STES), HMRC’s PAYE data, and imputation from VAT returns.</w:t>
      </w:r>
    </w:p>
    <w:p w14:paraId="5D25F594" w14:textId="563E73AC" w:rsidR="000244D3" w:rsidRPr="005D5D23" w:rsidRDefault="000244D3" w:rsidP="00236B73">
      <w:r w:rsidRPr="00236B73">
        <w:rPr>
          <w:color w:val="142855" w:themeColor="text2"/>
        </w:rPr>
        <w:t>Insights for the Year 2 analysis</w:t>
      </w:r>
    </w:p>
    <w:p w14:paraId="38726E5D" w14:textId="2CC46CA9" w:rsidR="006473A1" w:rsidRDefault="000244D3" w:rsidP="00C146E8">
      <w:r w:rsidRPr="000244D3">
        <w:t xml:space="preserve">The impact of the Covid-19 Loan Guarantee Schemes on turnover and employment is positive and statistically significant in the </w:t>
      </w:r>
      <w:r w:rsidR="006C2B36">
        <w:t>secondary analysis</w:t>
      </w:r>
      <w:r w:rsidRPr="000244D3">
        <w:t>, and statistically insignificant in the Year 1 survey-based analysis. One possible reason for some of these differences may be the relatively lower sample sizes in the survey analysis</w:t>
      </w:r>
      <w:r w:rsidR="00E33103">
        <w:t xml:space="preserve"> compared to the</w:t>
      </w:r>
      <w:r w:rsidR="00E85DCC">
        <w:t xml:space="preserve"> </w:t>
      </w:r>
      <w:r w:rsidR="00090368">
        <w:t xml:space="preserve">secondary </w:t>
      </w:r>
      <w:r w:rsidR="00E33103">
        <w:t>analysis</w:t>
      </w:r>
      <w:r w:rsidRPr="000244D3">
        <w:t xml:space="preserve">. </w:t>
      </w:r>
    </w:p>
    <w:p w14:paraId="1BEB78E0" w14:textId="66DD8761" w:rsidR="000244D3" w:rsidRDefault="00BA5052" w:rsidP="00C146E8">
      <w:r>
        <w:t>The sample size of the Year 2 survey is smaller than the sample size of the Year 1 survey</w:t>
      </w:r>
      <w:r w:rsidR="006473A1">
        <w:t xml:space="preserve">. </w:t>
      </w:r>
      <w:proofErr w:type="gramStart"/>
      <w:r w:rsidR="006473A1">
        <w:t>With this in mind,</w:t>
      </w:r>
      <w:r w:rsidR="000244D3" w:rsidRPr="000244D3">
        <w:t xml:space="preserve"> </w:t>
      </w:r>
      <w:r w:rsidR="006473A1">
        <w:t>the</w:t>
      </w:r>
      <w:proofErr w:type="gramEnd"/>
      <w:r>
        <w:t xml:space="preserve"> absence of a robust and statistically significant impact of the schemes on turnover in the second year of the pandemic is perhaps unsurprising and the small sample size should be taken into account when considering this result</w:t>
      </w:r>
      <w:r w:rsidR="000244D3">
        <w:t xml:space="preserve">. </w:t>
      </w:r>
      <w:r>
        <w:t>A</w:t>
      </w:r>
      <w:r w:rsidR="006C2B36">
        <w:t xml:space="preserve"> secondary analysis </w:t>
      </w:r>
      <w:r w:rsidR="006473A1">
        <w:t>of the</w:t>
      </w:r>
      <w:r>
        <w:t>se</w:t>
      </w:r>
      <w:r w:rsidR="006473A1">
        <w:t xml:space="preserve"> estimates</w:t>
      </w:r>
      <w:r>
        <w:t xml:space="preserve"> (using the same data source as </w:t>
      </w:r>
      <w:r w:rsidR="003317F2">
        <w:t xml:space="preserve">the secondary analysis </w:t>
      </w:r>
      <w:r>
        <w:t>of the Year 1 survey estimates presented above)</w:t>
      </w:r>
      <w:r w:rsidR="006473A1">
        <w:t xml:space="preserve"> will be </w:t>
      </w:r>
      <w:r>
        <w:t>provided</w:t>
      </w:r>
      <w:r w:rsidR="006473A1">
        <w:t xml:space="preserve"> in the Year 3 report. </w:t>
      </w:r>
    </w:p>
    <w:p w14:paraId="211B02D2" w14:textId="03E007C0" w:rsidR="00967F71" w:rsidRPr="00490C53" w:rsidRDefault="00967F71" w:rsidP="00967F71">
      <w:pPr>
        <w:pStyle w:val="Heading2"/>
      </w:pPr>
      <w:bookmarkStart w:id="150" w:name="_Toc151549895"/>
      <w:r w:rsidRPr="00490C53">
        <w:t>Product market displacement</w:t>
      </w:r>
      <w:bookmarkEnd w:id="150"/>
    </w:p>
    <w:p w14:paraId="22635557" w14:textId="78A6ED97" w:rsidR="00CC1839" w:rsidRPr="00490C53" w:rsidRDefault="00502621" w:rsidP="008F244A">
      <w:r w:rsidRPr="00490C53">
        <w:t xml:space="preserve">Product market displacement was estimated in the Year 1 report </w:t>
      </w:r>
      <w:proofErr w:type="gramStart"/>
      <w:r w:rsidRPr="00490C53">
        <w:t>in order to</w:t>
      </w:r>
      <w:proofErr w:type="gramEnd"/>
      <w:r w:rsidRPr="00490C53">
        <w:t xml:space="preserve"> assess the </w:t>
      </w:r>
      <w:r w:rsidR="00AE3999" w:rsidRPr="00490C53">
        <w:t xml:space="preserve">extent to which </w:t>
      </w:r>
      <w:r w:rsidRPr="00490C53">
        <w:t xml:space="preserve">Covid-19 Loan Guarantee Schemes </w:t>
      </w:r>
      <w:r w:rsidR="00AE3999" w:rsidRPr="00490C53">
        <w:t xml:space="preserve">had a </w:t>
      </w:r>
      <w:r w:rsidRPr="00490C53">
        <w:t xml:space="preserve">net impact on economic output. </w:t>
      </w:r>
      <w:r w:rsidR="00C53DFF" w:rsidRPr="00490C53">
        <w:t>Displacement</w:t>
      </w:r>
      <w:r w:rsidRPr="00490C53">
        <w:t xml:space="preserve"> </w:t>
      </w:r>
      <w:r w:rsidR="00645DD9" w:rsidRPr="00490C53">
        <w:t>shows</w:t>
      </w:r>
      <w:r w:rsidR="00275CD2" w:rsidRPr="00490C53">
        <w:t xml:space="preserve"> the </w:t>
      </w:r>
      <w:r w:rsidRPr="00490C53">
        <w:t>ext</w:t>
      </w:r>
      <w:r w:rsidR="00275CD2" w:rsidRPr="00490C53">
        <w:t>ent to which benefits from the schemes in the form of increased business output (relative to a scenario without the Covid-19 Loan Guarantee Schemes) occur at the expense of other businesses.</w:t>
      </w:r>
      <w:r w:rsidR="008B52B5" w:rsidRPr="00490C53">
        <w:t xml:space="preserve"> For example, no additional economic output is achieved if a </w:t>
      </w:r>
      <w:r w:rsidR="00316786" w:rsidRPr="00490C53">
        <w:t xml:space="preserve">surviving </w:t>
      </w:r>
      <w:r w:rsidR="008B52B5" w:rsidRPr="00490C53">
        <w:t>business</w:t>
      </w:r>
      <w:r w:rsidR="00316786" w:rsidRPr="00490C53">
        <w:t>’</w:t>
      </w:r>
      <w:r w:rsidR="008B52B5" w:rsidRPr="00490C53">
        <w:t xml:space="preserve"> </w:t>
      </w:r>
      <w:r w:rsidR="00316786" w:rsidRPr="00490C53">
        <w:t xml:space="preserve">output would have been fully replaced </w:t>
      </w:r>
      <w:r w:rsidR="00E64A0C" w:rsidRPr="00490C53">
        <w:t xml:space="preserve">by </w:t>
      </w:r>
      <w:r w:rsidR="00ED4729" w:rsidRPr="00490C53">
        <w:t xml:space="preserve">its </w:t>
      </w:r>
      <w:r w:rsidR="00E64A0C" w:rsidRPr="00490C53">
        <w:t xml:space="preserve">competitors </w:t>
      </w:r>
      <w:r w:rsidR="003613A2" w:rsidRPr="00490C53">
        <w:t xml:space="preserve">had it </w:t>
      </w:r>
      <w:r w:rsidR="004550ED">
        <w:t>permanently close</w:t>
      </w:r>
      <w:r w:rsidR="00316786" w:rsidRPr="00490C53">
        <w:t>d.</w:t>
      </w:r>
      <w:r w:rsidR="008B52B5" w:rsidRPr="00490C53">
        <w:t xml:space="preserve"> </w:t>
      </w:r>
      <w:r w:rsidR="0006082E">
        <w:t>It is expected that any</w:t>
      </w:r>
      <w:r w:rsidR="00476CE8">
        <w:t xml:space="preserve"> displacement caused by the Covid-19 Loan Guarantee Schemes is </w:t>
      </w:r>
      <w:r w:rsidR="0006082E">
        <w:t>un</w:t>
      </w:r>
      <w:r w:rsidR="00476CE8">
        <w:t>likely</w:t>
      </w:r>
      <w:r w:rsidR="0006082E">
        <w:t xml:space="preserve"> to have </w:t>
      </w:r>
      <w:r w:rsidR="006C59F1">
        <w:t>occurred immediately due to economic output being below its potential during much of the pandemic.</w:t>
      </w:r>
      <w:r w:rsidR="0006082E">
        <w:t xml:space="preserve"> </w:t>
      </w:r>
      <w:r w:rsidR="00266892">
        <w:t>Instead,</w:t>
      </w:r>
      <w:r w:rsidR="0006082E">
        <w:t xml:space="preserve"> </w:t>
      </w:r>
      <w:r w:rsidR="006C59F1">
        <w:t xml:space="preserve">it is likely that displacement will </w:t>
      </w:r>
      <w:r w:rsidR="0006082E">
        <w:t xml:space="preserve">become apparent </w:t>
      </w:r>
      <w:proofErr w:type="gramStart"/>
      <w:r w:rsidR="006C59F1">
        <w:t>later on</w:t>
      </w:r>
      <w:proofErr w:type="gramEnd"/>
      <w:r w:rsidR="0006082E">
        <w:t xml:space="preserve"> as the economy approach</w:t>
      </w:r>
      <w:r w:rsidR="006C59F1">
        <w:t>es</w:t>
      </w:r>
      <w:r w:rsidR="0006082E">
        <w:t xml:space="preserve"> capacity.</w:t>
      </w:r>
    </w:p>
    <w:p w14:paraId="526B2BDA" w14:textId="02399656" w:rsidR="00967F71" w:rsidRDefault="00316786" w:rsidP="008F244A">
      <w:r w:rsidRPr="00490C53">
        <w:t>When calculating product market displacement</w:t>
      </w:r>
      <w:r w:rsidR="00967B70" w:rsidRPr="00490C53">
        <w:t xml:space="preserve"> in the Year 1 report</w:t>
      </w:r>
      <w:r w:rsidRPr="00490C53">
        <w:t xml:space="preserve">, three elements were considered. </w:t>
      </w:r>
      <w:r w:rsidR="008F244A" w:rsidRPr="00490C53">
        <w:t xml:space="preserve">First, the </w:t>
      </w:r>
      <w:r w:rsidR="00AC5EAC" w:rsidRPr="00490C53">
        <w:t xml:space="preserve">competitiveness of the </w:t>
      </w:r>
      <w:r w:rsidR="008F244A" w:rsidRPr="00490C53">
        <w:t>market in which borrowers operate (element I). Second, the extent to which borrowers’ sales would be taken up by competitors if they were to cease trading (element II). Third, the location of competitors</w:t>
      </w:r>
      <w:r w:rsidR="00110A05" w:rsidRPr="00490C53">
        <w:t xml:space="preserve">, </w:t>
      </w:r>
      <w:proofErr w:type="gramStart"/>
      <w:r w:rsidR="00110A05" w:rsidRPr="00490C53">
        <w:t>in order</w:t>
      </w:r>
      <w:r w:rsidR="008F244A" w:rsidRPr="00490C53">
        <w:t xml:space="preserve"> to</w:t>
      </w:r>
      <w:proofErr w:type="gramEnd"/>
      <w:r w:rsidR="008F244A" w:rsidRPr="00490C53">
        <w:t xml:space="preserve"> assess the extent to which displacement occurs within the UK economy (element III). </w:t>
      </w:r>
    </w:p>
    <w:p w14:paraId="7B3ED06C" w14:textId="50A8C917" w:rsidR="006771B8" w:rsidRDefault="006771B8" w:rsidP="002D323B">
      <w:pPr>
        <w:pStyle w:val="Heading5"/>
      </w:pPr>
      <w:r>
        <w:lastRenderedPageBreak/>
        <w:t xml:space="preserve">Figure </w:t>
      </w:r>
      <w:r>
        <w:fldChar w:fldCharType="begin"/>
      </w:r>
      <w:r>
        <w:instrText>SEQ Figure \* ARABIC</w:instrText>
      </w:r>
      <w:r>
        <w:fldChar w:fldCharType="separate"/>
      </w:r>
      <w:r w:rsidR="00397D49">
        <w:rPr>
          <w:noProof/>
        </w:rPr>
        <w:t>13</w:t>
      </w:r>
      <w:r>
        <w:fldChar w:fldCharType="end"/>
      </w:r>
      <w:r>
        <w:t>: Stages of calculating product market displacement</w:t>
      </w:r>
    </w:p>
    <w:p w14:paraId="76490DE5" w14:textId="61D4288E" w:rsidR="006771B8" w:rsidRPr="00490C53" w:rsidRDefault="006771B8" w:rsidP="008F244A">
      <w:r>
        <w:rPr>
          <w:noProof/>
        </w:rPr>
        <w:drawing>
          <wp:inline distT="0" distB="0" distL="0" distR="0" wp14:anchorId="2324CC1E" wp14:editId="3F57BB2D">
            <wp:extent cx="6200775" cy="1104900"/>
            <wp:effectExtent l="19050" t="0" r="9525" b="0"/>
            <wp:docPr id="14" name="Diagram 14" descr="The three elements of product market displacement are the competitiveness of the market, the share of sales that would be taken up by competitors and the extent to which competitors are UK based.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DCF249C" w14:textId="357FD468" w:rsidR="00345BA5" w:rsidRPr="00490C53" w:rsidRDefault="00267DE6" w:rsidP="004F5838">
      <w:r w:rsidRPr="00490C53">
        <w:t>For each business, q</w:t>
      </w:r>
      <w:r w:rsidR="004F5838" w:rsidRPr="00490C53">
        <w:t xml:space="preserve">uantitative values </w:t>
      </w:r>
      <w:r w:rsidR="00F3581E" w:rsidRPr="00490C53">
        <w:t>(‘displacement factors’)</w:t>
      </w:r>
      <w:r w:rsidR="004F5838" w:rsidRPr="00490C53">
        <w:t xml:space="preserve"> for </w:t>
      </w:r>
      <w:r w:rsidR="007E2971" w:rsidRPr="00490C53">
        <w:t>each</w:t>
      </w:r>
      <w:r w:rsidR="004F5838" w:rsidRPr="00490C53">
        <w:t xml:space="preserve"> element were mapped from </w:t>
      </w:r>
      <w:r w:rsidRPr="00490C53">
        <w:t xml:space="preserve">the </w:t>
      </w:r>
      <w:r w:rsidR="004F5838" w:rsidRPr="00490C53">
        <w:t xml:space="preserve">relevant survey questions. </w:t>
      </w:r>
      <w:r w:rsidRPr="00490C53">
        <w:t>Then</w:t>
      </w:r>
      <w:r w:rsidR="004F5838" w:rsidRPr="00490C53">
        <w:t>, an overall displacement measure was calculated by multiplying the displacement factors from all three elements. Aggregate displacement was then computed by averaging business-level displacement.</w:t>
      </w:r>
    </w:p>
    <w:p w14:paraId="68660260" w14:textId="66AAAF3A" w:rsidR="00A5081B" w:rsidRDefault="00E40422" w:rsidP="008F244A">
      <w:r>
        <w:t>In the Year 1 early impact evaluation, the</w:t>
      </w:r>
      <w:r w:rsidRPr="00490C53">
        <w:t xml:space="preserve"> </w:t>
      </w:r>
      <w:r w:rsidR="00DE130C" w:rsidRPr="00490C53">
        <w:t xml:space="preserve">average product market displacement was </w:t>
      </w:r>
      <w:r w:rsidR="00D9200F" w:rsidRPr="00490C53">
        <w:t xml:space="preserve">found to be </w:t>
      </w:r>
      <w:r w:rsidR="00DE130C" w:rsidRPr="00490C53">
        <w:t xml:space="preserve">43% for BBLS </w:t>
      </w:r>
      <w:r w:rsidR="00C360C3" w:rsidRPr="00490C53">
        <w:t xml:space="preserve">borrowers </w:t>
      </w:r>
      <w:r w:rsidR="00DE130C" w:rsidRPr="00490C53">
        <w:t>and 46% for CBILS/CLBILS</w:t>
      </w:r>
      <w:r w:rsidR="00C360C3" w:rsidRPr="00490C53">
        <w:t xml:space="preserve"> borrowers</w:t>
      </w:r>
      <w:r w:rsidR="00DE130C" w:rsidRPr="00490C53">
        <w:t>.</w:t>
      </w:r>
      <w:r w:rsidR="005C5BDB" w:rsidRPr="00490C53">
        <w:t xml:space="preserve"> This suggests that approximately 43% (46%) of the business activity preserved through </w:t>
      </w:r>
      <w:r>
        <w:t xml:space="preserve">the </w:t>
      </w:r>
      <w:r w:rsidR="005C5BDB" w:rsidRPr="00490C53">
        <w:t xml:space="preserve">BBLS’ (CBILS’/CLBILS’) impact on survival could have been absorbed by other businesses in </w:t>
      </w:r>
      <w:r>
        <w:t>the</w:t>
      </w:r>
      <w:r w:rsidRPr="00490C53">
        <w:t xml:space="preserve"> </w:t>
      </w:r>
      <w:r w:rsidR="005C5BDB" w:rsidRPr="00490C53">
        <w:t>absence</w:t>
      </w:r>
      <w:r>
        <w:t xml:space="preserve"> of the schemes</w:t>
      </w:r>
      <w:r w:rsidR="00D72747" w:rsidRPr="00490C53">
        <w:t>.</w:t>
      </w:r>
      <w:r w:rsidR="00A5081B">
        <w:t xml:space="preserve"> </w:t>
      </w:r>
    </w:p>
    <w:p w14:paraId="20E6F13C" w14:textId="404CBC0C" w:rsidR="00967F71" w:rsidRPr="00490C53" w:rsidRDefault="00A5081B" w:rsidP="00AB51AD">
      <w:r>
        <w:t xml:space="preserve">The average element I displacement factor </w:t>
      </w:r>
      <w:r w:rsidR="00E40422">
        <w:t xml:space="preserve">was found to be </w:t>
      </w:r>
      <w:r>
        <w:t>58%</w:t>
      </w:r>
      <w:r w:rsidR="006E632B">
        <w:t xml:space="preserve"> </w:t>
      </w:r>
      <w:r>
        <w:t>for BBLS borrowers and 63% for CBILS/CLBILS borrowers</w:t>
      </w:r>
      <w:r w:rsidR="00E40422">
        <w:t xml:space="preserve"> in the Year 1 report</w:t>
      </w:r>
      <w:r>
        <w:t>, suggesting that the latter operate (or perceive themselves as operating) in more competitive markets than the former.</w:t>
      </w:r>
      <w:r w:rsidR="00C72FE9">
        <w:rPr>
          <w:rStyle w:val="FootnoteReference"/>
        </w:rPr>
        <w:footnoteReference w:id="104"/>
      </w:r>
      <w:r>
        <w:t xml:space="preserve"> T</w:t>
      </w:r>
      <w:r w:rsidR="00634515" w:rsidRPr="00490C53">
        <w:t>he</w:t>
      </w:r>
      <w:r w:rsidR="00F35ECA" w:rsidRPr="00490C53">
        <w:t xml:space="preserve"> </w:t>
      </w:r>
      <w:r w:rsidR="00DC6A68" w:rsidRPr="00490C53">
        <w:t xml:space="preserve">approach used </w:t>
      </w:r>
      <w:r w:rsidR="00053152" w:rsidRPr="00490C53">
        <w:t xml:space="preserve">to calculate </w:t>
      </w:r>
      <w:r>
        <w:t xml:space="preserve">this </w:t>
      </w:r>
      <w:r w:rsidR="00053152" w:rsidRPr="00490C53">
        <w:t xml:space="preserve">displacement </w:t>
      </w:r>
      <w:r>
        <w:t xml:space="preserve">factor </w:t>
      </w:r>
      <w:r w:rsidR="00053152" w:rsidRPr="00490C53">
        <w:t xml:space="preserve">assumes that businesses can accurately determine the level of competition that they face. </w:t>
      </w:r>
      <w:r w:rsidR="00CE281F" w:rsidRPr="00490C53">
        <w:t xml:space="preserve">To assess whether this assumption is realistic, </w:t>
      </w:r>
      <w:r w:rsidR="009C3515" w:rsidRPr="00490C53">
        <w:t xml:space="preserve">the self-reported measure calculated in the Year 1 report is compared to an </w:t>
      </w:r>
      <w:r w:rsidR="00BE68D4" w:rsidRPr="00490C53">
        <w:t>alternative</w:t>
      </w:r>
      <w:r w:rsidR="00D72747" w:rsidRPr="00490C53">
        <w:t>, observed</w:t>
      </w:r>
      <w:r w:rsidR="00BE68D4" w:rsidRPr="00490C53">
        <w:t xml:space="preserve"> measure of market competition</w:t>
      </w:r>
      <w:r w:rsidR="00C15CEA">
        <w:t>.</w:t>
      </w:r>
      <w:r w:rsidR="00DA670B">
        <w:rPr>
          <w:rStyle w:val="FootnoteReference"/>
        </w:rPr>
        <w:footnoteReference w:id="105"/>
      </w:r>
      <w:r w:rsidR="00BE68D4" w:rsidRPr="00490C53">
        <w:t xml:space="preserve"> </w:t>
      </w:r>
      <w:r w:rsidR="00D72747" w:rsidRPr="00490C53">
        <w:t>The metric used to</w:t>
      </w:r>
      <w:r w:rsidR="00CE281F" w:rsidRPr="00490C53">
        <w:t xml:space="preserve"> </w:t>
      </w:r>
      <w:r w:rsidR="00E40422">
        <w:t>assess</w:t>
      </w:r>
      <w:r w:rsidR="00E40422" w:rsidRPr="00490C53">
        <w:t xml:space="preserve"> </w:t>
      </w:r>
      <w:r w:rsidR="00E725BB" w:rsidRPr="00490C53">
        <w:t>sector-</w:t>
      </w:r>
      <w:r w:rsidR="00CE281F" w:rsidRPr="00490C53">
        <w:t>level market competition</w:t>
      </w:r>
      <w:r w:rsidR="00E725BB" w:rsidRPr="00490C53">
        <w:t xml:space="preserve"> is</w:t>
      </w:r>
      <w:r w:rsidR="00740794" w:rsidRPr="00490C53">
        <w:t xml:space="preserve"> </w:t>
      </w:r>
      <w:r w:rsidR="002D0FEE" w:rsidRPr="00490C53">
        <w:t>the Herfindahl-Hirschman Index (HHI)</w:t>
      </w:r>
      <w:r w:rsidR="0078762E" w:rsidRPr="00490C53">
        <w:t xml:space="preserve">, which is defined as the sum of the </w:t>
      </w:r>
      <w:r w:rsidR="00AB51AD" w:rsidRPr="00490C53">
        <w:t xml:space="preserve">squares of the (percentage) market shares of all firms operating in </w:t>
      </w:r>
      <w:r w:rsidR="00E40422">
        <w:t>a given</w:t>
      </w:r>
      <w:r w:rsidR="00E40422" w:rsidRPr="00490C53">
        <w:t xml:space="preserve"> </w:t>
      </w:r>
      <w:r w:rsidR="00AB51AD" w:rsidRPr="00490C53">
        <w:t>sector</w:t>
      </w:r>
      <w:r w:rsidR="002D0FEE" w:rsidRPr="00490C53">
        <w:t xml:space="preserve"> (see</w:t>
      </w:r>
      <w:r w:rsidR="00D9200F" w:rsidRPr="00490C53">
        <w:t xml:space="preserve"> </w:t>
      </w:r>
      <w:r w:rsidR="00FC29E5">
        <w:fldChar w:fldCharType="begin"/>
      </w:r>
      <w:r w:rsidR="00FC29E5">
        <w:instrText xml:space="preserve"> REF _Ref126237253 \h </w:instrText>
      </w:r>
      <w:r w:rsidR="00FC29E5">
        <w:fldChar w:fldCharType="separate"/>
      </w:r>
      <w:r w:rsidR="00397D49" w:rsidRPr="00490C53">
        <w:t xml:space="preserve">Annex </w:t>
      </w:r>
      <w:r w:rsidR="00397D49">
        <w:t>6</w:t>
      </w:r>
      <w:r w:rsidR="00FC29E5">
        <w:fldChar w:fldCharType="end"/>
      </w:r>
      <w:r w:rsidR="00AB51AD" w:rsidRPr="00490C53">
        <w:t xml:space="preserve"> for more details</w:t>
      </w:r>
      <w:r w:rsidR="00D9200F" w:rsidRPr="00490C53">
        <w:t>)</w:t>
      </w:r>
      <w:r w:rsidR="005C5BDB" w:rsidRPr="00490C53">
        <w:t>.</w:t>
      </w:r>
      <w:r w:rsidR="00334F16" w:rsidRPr="00490C53">
        <w:t xml:space="preserve"> An increase in the HHI of a sector is associated with an increase in its </w:t>
      </w:r>
      <w:r w:rsidR="00EF78EA" w:rsidRPr="00490C53">
        <w:t xml:space="preserve">market </w:t>
      </w:r>
      <w:r w:rsidR="00334F16" w:rsidRPr="00490C53">
        <w:t>concentration, and a smaller HHI indicates more competition.</w:t>
      </w:r>
    </w:p>
    <w:p w14:paraId="6DEE8AF6" w14:textId="00ADFB9D" w:rsidR="00B63808" w:rsidRPr="00490C53" w:rsidRDefault="007E026B" w:rsidP="00AB51AD">
      <w:r w:rsidRPr="00490C53">
        <w:t xml:space="preserve">In the first part of this section, </w:t>
      </w:r>
      <w:r w:rsidR="00360B0F" w:rsidRPr="00490C53">
        <w:t>correlation</w:t>
      </w:r>
      <w:r w:rsidR="00525279" w:rsidRPr="00490C53">
        <w:t>s</w:t>
      </w:r>
      <w:r w:rsidR="00360B0F" w:rsidRPr="00490C53">
        <w:t xml:space="preserve"> between the observed and self-reported estimates </w:t>
      </w:r>
      <w:r w:rsidR="00BC7940" w:rsidRPr="00490C53">
        <w:t>of</w:t>
      </w:r>
      <w:r w:rsidR="00360B0F" w:rsidRPr="00490C53">
        <w:t xml:space="preserve"> market competition </w:t>
      </w:r>
      <w:r w:rsidR="00525279" w:rsidRPr="00490C53">
        <w:t>are</w:t>
      </w:r>
      <w:r w:rsidR="00360B0F" w:rsidRPr="00490C53">
        <w:t xml:space="preserve"> calculated. </w:t>
      </w:r>
      <w:r w:rsidR="00BC7940" w:rsidRPr="00490C53">
        <w:t>Second</w:t>
      </w:r>
      <w:r w:rsidR="00360B0F" w:rsidRPr="00490C53">
        <w:t xml:space="preserve">, </w:t>
      </w:r>
      <w:r w:rsidR="00525279" w:rsidRPr="00490C53">
        <w:t xml:space="preserve">the </w:t>
      </w:r>
      <w:r w:rsidR="001B168A" w:rsidRPr="00490C53">
        <w:t xml:space="preserve">HHI associated with each firm </w:t>
      </w:r>
      <w:r w:rsidR="00BC7940" w:rsidRPr="00490C53">
        <w:t>is</w:t>
      </w:r>
      <w:r w:rsidR="001B168A" w:rsidRPr="00490C53">
        <w:t xml:space="preserve"> mapped to a </w:t>
      </w:r>
      <w:r w:rsidR="001B168A" w:rsidRPr="00490C53">
        <w:lastRenderedPageBreak/>
        <w:t>percentage value</w:t>
      </w:r>
      <w:r w:rsidR="00BB3439" w:rsidRPr="00490C53">
        <w:t xml:space="preserve">, which is used </w:t>
      </w:r>
      <w:r w:rsidR="00D21B81">
        <w:t>as</w:t>
      </w:r>
      <w:r w:rsidR="001B168A" w:rsidRPr="00490C53">
        <w:t xml:space="preserve"> </w:t>
      </w:r>
      <w:r w:rsidR="00BC7940" w:rsidRPr="00490C53">
        <w:t xml:space="preserve">element I </w:t>
      </w:r>
      <w:r w:rsidR="00D21B81">
        <w:t xml:space="preserve">(instead of self-reported competition, as was done for the Year 1 report) </w:t>
      </w:r>
      <w:r w:rsidR="00BC7940" w:rsidRPr="00490C53">
        <w:t xml:space="preserve">in </w:t>
      </w:r>
      <w:r w:rsidR="00ED4FD5" w:rsidRPr="00490C53">
        <w:t>an alternative measure of</w:t>
      </w:r>
      <w:r w:rsidR="00BC7940" w:rsidRPr="00490C53">
        <w:t xml:space="preserve"> product market displacement</w:t>
      </w:r>
      <w:r w:rsidR="00F35377" w:rsidRPr="00490C53">
        <w:t>.</w:t>
      </w:r>
      <w:r w:rsidR="002D1FFB" w:rsidRPr="00490C53">
        <w:rPr>
          <w:rStyle w:val="FootnoteReference"/>
        </w:rPr>
        <w:footnoteReference w:id="106"/>
      </w:r>
      <w:r w:rsidR="00F35377" w:rsidRPr="00490C53">
        <w:t xml:space="preserve"> </w:t>
      </w:r>
      <w:r w:rsidR="005D488E">
        <w:t xml:space="preserve">It should be noted that, in this alternative measure of product market displacement, elements II and III are still self-reported (as in the original displacement measure). </w:t>
      </w:r>
      <w:r w:rsidR="00F35377" w:rsidRPr="00490C53">
        <w:t xml:space="preserve">This measure is then compared to the </w:t>
      </w:r>
      <w:proofErr w:type="gramStart"/>
      <w:r w:rsidR="00C2673B">
        <w:t xml:space="preserve">aforementioned </w:t>
      </w:r>
      <w:r w:rsidR="00F35377" w:rsidRPr="00490C53">
        <w:t>estimates</w:t>
      </w:r>
      <w:proofErr w:type="gramEnd"/>
      <w:r w:rsidR="00F35377" w:rsidRPr="00490C53">
        <w:t xml:space="preserve"> </w:t>
      </w:r>
      <w:r w:rsidR="004F247B" w:rsidRPr="00490C53">
        <w:t>of</w:t>
      </w:r>
      <w:r w:rsidR="00F35377" w:rsidRPr="00490C53">
        <w:t xml:space="preserve"> product market displacement</w:t>
      </w:r>
      <w:r w:rsidR="006709E2" w:rsidRPr="00490C53">
        <w:t xml:space="preserve"> found in the Year 1 report</w:t>
      </w:r>
      <w:r w:rsidR="00F053F2" w:rsidRPr="00490C53">
        <w:t>.</w:t>
      </w:r>
      <w:r w:rsidR="001203CE">
        <w:t xml:space="preserve"> Both product market displacement estimates </w:t>
      </w:r>
      <w:r w:rsidR="008863D6">
        <w:t xml:space="preserve">refer to the first year of the pandemic </w:t>
      </w:r>
      <w:r w:rsidR="001203CE">
        <w:t>to ensure comparability.</w:t>
      </w:r>
    </w:p>
    <w:p w14:paraId="0FBBC890" w14:textId="0143C029" w:rsidR="00AB51AD" w:rsidRPr="005D5D23" w:rsidRDefault="00AB51AD" w:rsidP="00236B73">
      <w:r w:rsidRPr="00236B73">
        <w:rPr>
          <w:color w:val="142855" w:themeColor="text2"/>
        </w:rPr>
        <w:t>Correlation between self-reported and observed market competition</w:t>
      </w:r>
    </w:p>
    <w:p w14:paraId="6E2EE590" w14:textId="0BA4FA41" w:rsidR="00201EDD" w:rsidRPr="00490C53" w:rsidRDefault="00D97EE4" w:rsidP="00AB51AD">
      <w:r w:rsidRPr="00490C53">
        <w:t xml:space="preserve">The measure of self-reported competition used </w:t>
      </w:r>
      <w:r w:rsidR="00C2244C" w:rsidRPr="00490C53">
        <w:t>i</w:t>
      </w:r>
      <w:r w:rsidR="008C122A" w:rsidRPr="00490C53">
        <w:t>n the correlation analysis i</w:t>
      </w:r>
      <w:r w:rsidR="00C2244C" w:rsidRPr="00490C53">
        <w:t>s</w:t>
      </w:r>
      <w:r w:rsidRPr="00490C53">
        <w:t xml:space="preserve"> the</w:t>
      </w:r>
      <w:r w:rsidR="00C66B6A" w:rsidRPr="00490C53">
        <w:t xml:space="preserve"> element I displacement factor</w:t>
      </w:r>
      <w:r w:rsidR="00C2244C" w:rsidRPr="00490C53">
        <w:t xml:space="preserve">, </w:t>
      </w:r>
      <w:r w:rsidR="008C122A" w:rsidRPr="00490C53">
        <w:t>d</w:t>
      </w:r>
      <w:r w:rsidR="00C2244C" w:rsidRPr="00490C53">
        <w:t xml:space="preserve">erived from </w:t>
      </w:r>
      <w:r w:rsidR="000C0047">
        <w:t>a</w:t>
      </w:r>
      <w:r w:rsidR="000C0047" w:rsidRPr="00490C53">
        <w:t xml:space="preserve"> </w:t>
      </w:r>
      <w:r w:rsidR="00C2244C" w:rsidRPr="00490C53">
        <w:t xml:space="preserve">survey </w:t>
      </w:r>
      <w:r w:rsidR="00167343">
        <w:t>conducted for</w:t>
      </w:r>
      <w:r w:rsidR="008C122A" w:rsidRPr="00490C53">
        <w:t xml:space="preserve"> the Year 1 report</w:t>
      </w:r>
      <w:r w:rsidR="00C2244C" w:rsidRPr="00490C53">
        <w:t xml:space="preserve">. The measure of observed competition used is </w:t>
      </w:r>
      <w:r w:rsidR="003E6956" w:rsidRPr="00490C53">
        <w:t xml:space="preserve">the HHI </w:t>
      </w:r>
      <w:r w:rsidR="00693450" w:rsidRPr="00490C53">
        <w:t>in</w:t>
      </w:r>
      <w:r w:rsidR="000A760D" w:rsidRPr="00490C53">
        <w:t xml:space="preserve"> the sector.</w:t>
      </w:r>
      <w:r w:rsidR="00D1110B" w:rsidRPr="00490C53">
        <w:t xml:space="preserve"> The correlations were </w:t>
      </w:r>
      <w:r w:rsidR="00693450" w:rsidRPr="00490C53">
        <w:t>calculated</w:t>
      </w:r>
      <w:r w:rsidR="00D1110B" w:rsidRPr="00490C53">
        <w:t xml:space="preserve"> at the sector level, meaning that </w:t>
      </w:r>
      <w:r w:rsidR="00693450" w:rsidRPr="00490C53">
        <w:t>a</w:t>
      </w:r>
      <w:r w:rsidR="008863D6">
        <w:t>n</w:t>
      </w:r>
      <w:r w:rsidR="00693450" w:rsidRPr="00490C53">
        <w:t xml:space="preserve"> </w:t>
      </w:r>
      <w:r w:rsidR="000F59B7" w:rsidRPr="00490C53">
        <w:t xml:space="preserve">average of self-reported </w:t>
      </w:r>
      <w:r w:rsidR="00201EDD" w:rsidRPr="00490C53">
        <w:t xml:space="preserve">competition </w:t>
      </w:r>
      <w:r w:rsidR="000F59B7" w:rsidRPr="00490C53">
        <w:t>was calculated</w:t>
      </w:r>
      <w:r w:rsidR="00201EDD" w:rsidRPr="00490C53">
        <w:t xml:space="preserve"> for all BBLS and CBILS/CLBILS businesses in each sector, and these averages were then </w:t>
      </w:r>
      <w:r w:rsidR="00EE1712" w:rsidRPr="00490C53">
        <w:t>compared to the sectors</w:t>
      </w:r>
      <w:r w:rsidR="000C0047">
        <w:t>’</w:t>
      </w:r>
      <w:r w:rsidR="00EE1712" w:rsidRPr="00490C53">
        <w:t xml:space="preserve"> HHI</w:t>
      </w:r>
      <w:r w:rsidR="000C0047">
        <w:t>s</w:t>
      </w:r>
      <w:r w:rsidR="00EE1712" w:rsidRPr="00490C53">
        <w:t xml:space="preserve"> </w:t>
      </w:r>
      <w:r w:rsidR="00201EDD" w:rsidRPr="00490C53">
        <w:t>in the correlation analysis.</w:t>
      </w:r>
    </w:p>
    <w:p w14:paraId="66424EF1" w14:textId="6472C6F0" w:rsidR="000F59B7" w:rsidRPr="00490C53" w:rsidRDefault="00E50B50" w:rsidP="00AB51AD">
      <w:r w:rsidRPr="00490C53">
        <w:t>Correlation estimates close to zero are estimated for both BBLS and CBILS/CLBILS businesses</w:t>
      </w:r>
      <w:r w:rsidR="00FF1393" w:rsidRPr="00490C53">
        <w:t>, suggesting that there is little evidence of a relationship between self-reported competition and the competition that is observed through the calculation of HHIs</w:t>
      </w:r>
      <w:r w:rsidRPr="00490C53">
        <w:t xml:space="preserve">. </w:t>
      </w:r>
      <w:r w:rsidR="00542F61" w:rsidRPr="00490C53">
        <w:t>The</w:t>
      </w:r>
      <w:r w:rsidR="00C41310" w:rsidRPr="00490C53">
        <w:t xml:space="preserve"> correlation </w:t>
      </w:r>
      <w:r w:rsidR="00542F61" w:rsidRPr="00490C53">
        <w:t xml:space="preserve">between </w:t>
      </w:r>
      <w:r w:rsidR="00311C9A" w:rsidRPr="00490C53">
        <w:t xml:space="preserve">self-reported and observed competition for BBLS </w:t>
      </w:r>
      <w:r w:rsidR="000C0047">
        <w:t>borrowers</w:t>
      </w:r>
      <w:r w:rsidR="000C0047" w:rsidRPr="00490C53">
        <w:t xml:space="preserve"> </w:t>
      </w:r>
      <w:r w:rsidR="00311C9A" w:rsidRPr="00490C53">
        <w:t xml:space="preserve">is -0.114, indicating a weak negative </w:t>
      </w:r>
      <w:r w:rsidR="00A25D09" w:rsidRPr="00490C53">
        <w:t xml:space="preserve">correlation. For CBILS/CLBILS </w:t>
      </w:r>
      <w:r w:rsidR="000C0047">
        <w:t>borrowers</w:t>
      </w:r>
      <w:r w:rsidR="00A25D09" w:rsidRPr="00490C53">
        <w:t>, a weak positive correlation of 0.055 is estimated.</w:t>
      </w:r>
      <w:r w:rsidR="00A10194">
        <w:t xml:space="preserve"> This weak correlation is consistent with the fact that the </w:t>
      </w:r>
      <w:r w:rsidR="00F340FF">
        <w:t>element I displacement factor</w:t>
      </w:r>
      <w:r w:rsidR="00A10194">
        <w:t xml:space="preserve"> estimate</w:t>
      </w:r>
      <w:r w:rsidR="00F340FF">
        <w:t>d</w:t>
      </w:r>
      <w:r w:rsidR="00A10194">
        <w:t xml:space="preserve"> using self-reported competition is different to that using observed competition, as described below. </w:t>
      </w:r>
    </w:p>
    <w:p w14:paraId="2B990C00" w14:textId="19BBAF7B" w:rsidR="008C72FC" w:rsidRPr="005D5D23" w:rsidRDefault="00681709" w:rsidP="00236B73">
      <w:r w:rsidRPr="00236B73">
        <w:rPr>
          <w:color w:val="142855" w:themeColor="text2"/>
        </w:rPr>
        <w:t>Impact</w:t>
      </w:r>
      <w:r w:rsidR="008C72FC" w:rsidRPr="00236B73">
        <w:rPr>
          <w:color w:val="142855" w:themeColor="text2"/>
        </w:rPr>
        <w:t xml:space="preserve"> on product market displacement</w:t>
      </w:r>
      <w:r w:rsidRPr="00236B73">
        <w:rPr>
          <w:color w:val="142855" w:themeColor="text2"/>
        </w:rPr>
        <w:t xml:space="preserve"> of using observed market competition</w:t>
      </w:r>
    </w:p>
    <w:p w14:paraId="2DC1E108" w14:textId="191A9E57" w:rsidR="008C72FC" w:rsidRPr="00490C53" w:rsidRDefault="00CA3092" w:rsidP="008C72FC">
      <w:r w:rsidRPr="00490C53">
        <w:t xml:space="preserve">As outlined above, average market displacement was found to be 43% for BBLS businesses and 46% for CBILS/CLBILS business </w:t>
      </w:r>
      <w:r w:rsidR="00FB075E" w:rsidRPr="00490C53">
        <w:t xml:space="preserve">when </w:t>
      </w:r>
      <w:r w:rsidRPr="00490C53">
        <w:t xml:space="preserve">using self-reported competition. </w:t>
      </w:r>
      <w:r w:rsidR="00FB075E" w:rsidRPr="00490C53">
        <w:t xml:space="preserve">The corresponding element I displacement factors </w:t>
      </w:r>
      <w:r w:rsidR="002D2123" w:rsidRPr="00490C53">
        <w:t xml:space="preserve">used in these calculations </w:t>
      </w:r>
      <w:r w:rsidR="00FB075E" w:rsidRPr="00490C53">
        <w:t>were 58% and 63% respectively</w:t>
      </w:r>
      <w:r w:rsidR="0093374C" w:rsidRPr="00490C53">
        <w:t xml:space="preserve"> (</w:t>
      </w:r>
      <w:r w:rsidR="000F3369">
        <w:fldChar w:fldCharType="begin"/>
      </w:r>
      <w:r w:rsidR="000F3369">
        <w:instrText xml:space="preserve"> REF _Ref125727256 \h </w:instrText>
      </w:r>
      <w:r w:rsidR="000F3369">
        <w:fldChar w:fldCharType="separate"/>
      </w:r>
      <w:r w:rsidR="00397D49" w:rsidRPr="00490C53">
        <w:t xml:space="preserve">Table </w:t>
      </w:r>
      <w:r w:rsidR="00397D49">
        <w:rPr>
          <w:noProof/>
        </w:rPr>
        <w:t>18</w:t>
      </w:r>
      <w:r w:rsidR="000F3369">
        <w:fldChar w:fldCharType="end"/>
      </w:r>
      <w:r w:rsidR="0093374C" w:rsidRPr="00490C53">
        <w:t>).</w:t>
      </w:r>
      <w:r w:rsidR="00FB075E" w:rsidRPr="00490C53">
        <w:t xml:space="preserve"> </w:t>
      </w:r>
      <w:r w:rsidR="00926B68" w:rsidRPr="00490C53">
        <w:t>However, w</w:t>
      </w:r>
      <w:r w:rsidR="002D1007" w:rsidRPr="00490C53">
        <w:t>hen using observed competition, the element I displacement factors increase to 74</w:t>
      </w:r>
      <w:r w:rsidR="00427F07">
        <w:t>%</w:t>
      </w:r>
      <w:r w:rsidR="002D1007" w:rsidRPr="00490C53">
        <w:t>-80% for both BBLS and CBILS/C</w:t>
      </w:r>
      <w:r w:rsidR="4FA9DDAD" w:rsidRPr="00490C53">
        <w:t>L</w:t>
      </w:r>
      <w:r w:rsidR="002D1007" w:rsidRPr="00490C53">
        <w:t>BILS recipients</w:t>
      </w:r>
      <w:r w:rsidR="00634A05" w:rsidRPr="00490C53">
        <w:t>.</w:t>
      </w:r>
      <w:r w:rsidR="00926B68" w:rsidRPr="00490C53">
        <w:t xml:space="preserve"> </w:t>
      </w:r>
      <w:r w:rsidR="00B9534C" w:rsidRPr="00490C53">
        <w:t xml:space="preserve">This </w:t>
      </w:r>
      <w:r w:rsidR="002D2123" w:rsidRPr="00490C53">
        <w:t>implies</w:t>
      </w:r>
      <w:r w:rsidR="00926B68" w:rsidRPr="00490C53">
        <w:t xml:space="preserve"> that </w:t>
      </w:r>
      <w:r w:rsidR="00B9534C" w:rsidRPr="00490C53">
        <w:lastRenderedPageBreak/>
        <w:t xml:space="preserve">businesses tend to </w:t>
      </w:r>
      <w:r w:rsidR="00B67668" w:rsidRPr="00490C53">
        <w:t xml:space="preserve">report lower levels of competition than </w:t>
      </w:r>
      <w:r w:rsidR="002D2123" w:rsidRPr="00490C53">
        <w:t>HHIs suggest that they face</w:t>
      </w:r>
      <w:r w:rsidR="007E0671" w:rsidRPr="00490C53">
        <w:t xml:space="preserve">. As a result, product market displacement </w:t>
      </w:r>
      <w:r w:rsidR="008315C5">
        <w:t>increas</w:t>
      </w:r>
      <w:r w:rsidR="007E0671" w:rsidRPr="00490C53">
        <w:t>es when using observed competition, to 51</w:t>
      </w:r>
      <w:r w:rsidR="00427F07">
        <w:t>%</w:t>
      </w:r>
      <w:r w:rsidR="007E0671" w:rsidRPr="00490C53">
        <w:t>-56% for BBLS recipients and 52</w:t>
      </w:r>
      <w:r w:rsidR="00427F07">
        <w:t>%</w:t>
      </w:r>
      <w:r w:rsidR="007E0671" w:rsidRPr="00490C53">
        <w:t xml:space="preserve">-56% for CBILS/CLBILS businesses. </w:t>
      </w:r>
      <w:r w:rsidR="001203CE">
        <w:t>For context, an evaluation of the Enterprise Finance Guarantee scheme</w:t>
      </w:r>
      <w:r w:rsidR="001203CE">
        <w:rPr>
          <w:rStyle w:val="FootnoteReference"/>
        </w:rPr>
        <w:footnoteReference w:id="107"/>
      </w:r>
      <w:r w:rsidR="001203CE">
        <w:t xml:space="preserve"> estimated that 49% of business activity was product market displacing, which is larger than the estimates calculated using self-reported competition in this report but smaller than those calculated using observed competition.</w:t>
      </w:r>
    </w:p>
    <w:p w14:paraId="53504295" w14:textId="68F0AC72" w:rsidR="005551E5" w:rsidRPr="00490C53" w:rsidRDefault="005551E5" w:rsidP="00846F78">
      <w:pPr>
        <w:pStyle w:val="Heading5"/>
      </w:pPr>
      <w:bookmarkStart w:id="151" w:name="_Ref125727256"/>
      <w:r w:rsidRPr="00490C53">
        <w:t xml:space="preserve">Table </w:t>
      </w:r>
      <w:r>
        <w:fldChar w:fldCharType="begin"/>
      </w:r>
      <w:r>
        <w:instrText>SEQ Table \* ARABIC</w:instrText>
      </w:r>
      <w:r>
        <w:fldChar w:fldCharType="separate"/>
      </w:r>
      <w:r w:rsidR="00397D49">
        <w:rPr>
          <w:noProof/>
        </w:rPr>
        <w:t>18</w:t>
      </w:r>
      <w:r>
        <w:fldChar w:fldCharType="end"/>
      </w:r>
      <w:bookmarkEnd w:id="151"/>
      <w:r w:rsidRPr="00490C53">
        <w:t xml:space="preserve">: Product market displacement and </w:t>
      </w:r>
      <w:r w:rsidR="004F091D" w:rsidRPr="00490C53">
        <w:t>the element I displacement factor using self-reported and observed competition</w:t>
      </w:r>
    </w:p>
    <w:tbl>
      <w:tblPr>
        <w:tblStyle w:val="TableGrid"/>
        <w:tblW w:w="10154" w:type="dxa"/>
        <w:jc w:val="right"/>
        <w:tblLayout w:type="fixed"/>
        <w:tblLook w:val="04A0" w:firstRow="1" w:lastRow="0" w:firstColumn="1" w:lastColumn="0" w:noHBand="0" w:noVBand="1"/>
      </w:tblPr>
      <w:tblGrid>
        <w:gridCol w:w="2030"/>
        <w:gridCol w:w="2031"/>
        <w:gridCol w:w="2031"/>
        <w:gridCol w:w="2031"/>
        <w:gridCol w:w="2031"/>
      </w:tblGrid>
      <w:tr w:rsidR="001203CE" w:rsidRPr="00490C53" w14:paraId="2F551533" w14:textId="77777777" w:rsidTr="002D323B">
        <w:trPr>
          <w:cnfStyle w:val="100000000000" w:firstRow="1" w:lastRow="0" w:firstColumn="0" w:lastColumn="0" w:oddVBand="0" w:evenVBand="0" w:oddHBand="0" w:evenHBand="0" w:firstRowFirstColumn="0" w:firstRowLastColumn="0" w:lastRowFirstColumn="0" w:lastRowLastColumn="0"/>
          <w:trHeight w:val="1907"/>
          <w:jc w:val="right"/>
        </w:trPr>
        <w:tc>
          <w:tcPr>
            <w:tcW w:w="2030" w:type="dxa"/>
            <w:noWrap/>
            <w:hideMark/>
          </w:tcPr>
          <w:p w14:paraId="564DB9EA" w14:textId="77777777" w:rsidR="008315C5" w:rsidRPr="002D323B" w:rsidRDefault="008315C5" w:rsidP="002D323B">
            <w:pPr>
              <w:spacing w:after="0"/>
              <w:rPr>
                <w:sz w:val="22"/>
              </w:rPr>
            </w:pPr>
          </w:p>
        </w:tc>
        <w:tc>
          <w:tcPr>
            <w:tcW w:w="2031" w:type="dxa"/>
            <w:vAlign w:val="center"/>
          </w:tcPr>
          <w:p w14:paraId="3CC14F22" w14:textId="71A11100" w:rsidR="008315C5" w:rsidRPr="002D323B" w:rsidRDefault="008315C5" w:rsidP="002D323B">
            <w:pPr>
              <w:spacing w:after="0"/>
              <w:jc w:val="center"/>
              <w:rPr>
                <w:sz w:val="22"/>
              </w:rPr>
            </w:pPr>
            <w:r w:rsidRPr="002D323B">
              <w:rPr>
                <w:sz w:val="22"/>
              </w:rPr>
              <w:t>Element I displacement factor (self-reported competition)</w:t>
            </w:r>
          </w:p>
        </w:tc>
        <w:tc>
          <w:tcPr>
            <w:tcW w:w="2031" w:type="dxa"/>
            <w:noWrap/>
            <w:vAlign w:val="center"/>
            <w:hideMark/>
          </w:tcPr>
          <w:p w14:paraId="7EE237E5" w14:textId="474F000A" w:rsidR="008315C5" w:rsidRPr="002D323B" w:rsidRDefault="008315C5" w:rsidP="002D323B">
            <w:pPr>
              <w:spacing w:after="0"/>
              <w:jc w:val="center"/>
              <w:rPr>
                <w:sz w:val="22"/>
              </w:rPr>
            </w:pPr>
            <w:r w:rsidRPr="002D323B">
              <w:rPr>
                <w:sz w:val="22"/>
              </w:rPr>
              <w:t>Product market displacement (self-reported competition)</w:t>
            </w:r>
          </w:p>
        </w:tc>
        <w:tc>
          <w:tcPr>
            <w:tcW w:w="2031" w:type="dxa"/>
            <w:vAlign w:val="center"/>
          </w:tcPr>
          <w:p w14:paraId="1DFF3CFF" w14:textId="4267EB8B" w:rsidR="008315C5" w:rsidRPr="002D323B" w:rsidRDefault="008315C5" w:rsidP="002D323B">
            <w:pPr>
              <w:spacing w:after="0"/>
              <w:jc w:val="center"/>
              <w:rPr>
                <w:sz w:val="22"/>
              </w:rPr>
            </w:pPr>
            <w:r w:rsidRPr="002D323B">
              <w:rPr>
                <w:sz w:val="22"/>
              </w:rPr>
              <w:t>Element I displacement factor (observed competition)</w:t>
            </w:r>
          </w:p>
        </w:tc>
        <w:tc>
          <w:tcPr>
            <w:tcW w:w="2031" w:type="dxa"/>
            <w:noWrap/>
            <w:vAlign w:val="center"/>
            <w:hideMark/>
          </w:tcPr>
          <w:p w14:paraId="2D148A3B" w14:textId="6960D735" w:rsidR="008315C5" w:rsidRPr="002D323B" w:rsidRDefault="008315C5" w:rsidP="002D323B">
            <w:pPr>
              <w:spacing w:after="0"/>
              <w:jc w:val="center"/>
              <w:rPr>
                <w:sz w:val="22"/>
              </w:rPr>
            </w:pPr>
            <w:r w:rsidRPr="002D323B">
              <w:rPr>
                <w:sz w:val="22"/>
              </w:rPr>
              <w:t>Product market displacement (observed competition)</w:t>
            </w:r>
          </w:p>
        </w:tc>
      </w:tr>
      <w:tr w:rsidR="001203CE" w:rsidRPr="00490C53" w14:paraId="568126D0" w14:textId="77777777" w:rsidTr="002D323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29"/>
          <w:jc w:val="right"/>
        </w:trPr>
        <w:tc>
          <w:tcPr>
            <w:tcW w:w="2030" w:type="dxa"/>
            <w:noWrap/>
            <w:hideMark/>
          </w:tcPr>
          <w:p w14:paraId="6E1B0211" w14:textId="59224C39" w:rsidR="008315C5" w:rsidRPr="002D323B" w:rsidRDefault="008315C5" w:rsidP="008315C5">
            <w:pPr>
              <w:pStyle w:val="Tabletext"/>
              <w:rPr>
                <w:sz w:val="22"/>
              </w:rPr>
            </w:pPr>
            <w:r w:rsidRPr="002D323B">
              <w:rPr>
                <w:sz w:val="22"/>
              </w:rPr>
              <w:t>BBLS borrowers</w:t>
            </w:r>
          </w:p>
        </w:tc>
        <w:tc>
          <w:tcPr>
            <w:tcW w:w="2031" w:type="dxa"/>
            <w:vAlign w:val="center"/>
          </w:tcPr>
          <w:p w14:paraId="75040CF7" w14:textId="4CFA94BC" w:rsidR="008315C5" w:rsidRPr="002D323B" w:rsidRDefault="008315C5" w:rsidP="002D323B">
            <w:pPr>
              <w:pStyle w:val="Tabletext"/>
              <w:jc w:val="center"/>
              <w:rPr>
                <w:sz w:val="22"/>
              </w:rPr>
            </w:pPr>
            <w:r w:rsidRPr="002D323B">
              <w:rPr>
                <w:sz w:val="22"/>
              </w:rPr>
              <w:t>58%</w:t>
            </w:r>
            <w:r w:rsidR="001203CE" w:rsidRPr="002D323B">
              <w:rPr>
                <w:sz w:val="22"/>
              </w:rPr>
              <w:t xml:space="preserve"> (55</w:t>
            </w:r>
            <w:r w:rsidR="00EB4655">
              <w:rPr>
                <w:sz w:val="22"/>
              </w:rPr>
              <w:t>%</w:t>
            </w:r>
            <w:r w:rsidR="001203CE" w:rsidRPr="002D323B">
              <w:rPr>
                <w:sz w:val="22"/>
              </w:rPr>
              <w:t>-60%)</w:t>
            </w:r>
          </w:p>
        </w:tc>
        <w:tc>
          <w:tcPr>
            <w:tcW w:w="2031" w:type="dxa"/>
            <w:noWrap/>
            <w:vAlign w:val="center"/>
            <w:hideMark/>
          </w:tcPr>
          <w:p w14:paraId="1D2B3D64" w14:textId="4F5BA2CB" w:rsidR="008315C5" w:rsidRPr="002D323B" w:rsidRDefault="008315C5" w:rsidP="002D323B">
            <w:pPr>
              <w:pStyle w:val="Tabletext"/>
              <w:jc w:val="center"/>
              <w:rPr>
                <w:sz w:val="22"/>
              </w:rPr>
            </w:pPr>
            <w:r w:rsidRPr="002D323B">
              <w:rPr>
                <w:sz w:val="22"/>
              </w:rPr>
              <w:t>43%</w:t>
            </w:r>
            <w:r w:rsidR="001203CE" w:rsidRPr="002D323B">
              <w:rPr>
                <w:sz w:val="22"/>
              </w:rPr>
              <w:t xml:space="preserve"> (40</w:t>
            </w:r>
            <w:r w:rsidR="00427F07">
              <w:rPr>
                <w:sz w:val="22"/>
              </w:rPr>
              <w:t>%</w:t>
            </w:r>
            <w:r w:rsidR="001203CE" w:rsidRPr="002D323B">
              <w:rPr>
                <w:sz w:val="22"/>
              </w:rPr>
              <w:t>-46%)</w:t>
            </w:r>
          </w:p>
        </w:tc>
        <w:tc>
          <w:tcPr>
            <w:tcW w:w="2031" w:type="dxa"/>
            <w:vAlign w:val="center"/>
          </w:tcPr>
          <w:p w14:paraId="4EEF6653" w14:textId="49F14874" w:rsidR="008315C5" w:rsidRPr="002D323B" w:rsidRDefault="008315C5" w:rsidP="002D323B">
            <w:pPr>
              <w:pStyle w:val="Tabletext"/>
              <w:jc w:val="center"/>
              <w:rPr>
                <w:sz w:val="22"/>
              </w:rPr>
            </w:pPr>
            <w:r w:rsidRPr="002D323B">
              <w:rPr>
                <w:sz w:val="22"/>
              </w:rPr>
              <w:t>74</w:t>
            </w:r>
            <w:r w:rsidR="00427F07">
              <w:rPr>
                <w:sz w:val="22"/>
              </w:rPr>
              <w:t>%</w:t>
            </w:r>
            <w:r w:rsidRPr="002D323B">
              <w:rPr>
                <w:sz w:val="22"/>
              </w:rPr>
              <w:t>-80%</w:t>
            </w:r>
            <w:r w:rsidR="00EB4655">
              <w:rPr>
                <w:sz w:val="22"/>
              </w:rPr>
              <w:br/>
            </w:r>
            <w:r w:rsidR="001203CE" w:rsidRPr="002D323B">
              <w:rPr>
                <w:sz w:val="22"/>
              </w:rPr>
              <w:t>(74</w:t>
            </w:r>
            <w:r w:rsidR="00427F07">
              <w:rPr>
                <w:sz w:val="22"/>
              </w:rPr>
              <w:t>%</w:t>
            </w:r>
            <w:r w:rsidR="001203CE" w:rsidRPr="002D323B">
              <w:rPr>
                <w:sz w:val="22"/>
              </w:rPr>
              <w:t>-81%)</w:t>
            </w:r>
          </w:p>
        </w:tc>
        <w:tc>
          <w:tcPr>
            <w:tcW w:w="2031" w:type="dxa"/>
            <w:noWrap/>
            <w:vAlign w:val="center"/>
            <w:hideMark/>
          </w:tcPr>
          <w:p w14:paraId="6624A906" w14:textId="5812CD01" w:rsidR="008315C5" w:rsidRPr="002D323B" w:rsidRDefault="008315C5" w:rsidP="002D323B">
            <w:pPr>
              <w:pStyle w:val="Tabletext"/>
              <w:jc w:val="center"/>
              <w:rPr>
                <w:sz w:val="22"/>
              </w:rPr>
            </w:pPr>
            <w:r w:rsidRPr="002D323B">
              <w:rPr>
                <w:sz w:val="22"/>
              </w:rPr>
              <w:t>51</w:t>
            </w:r>
            <w:r w:rsidR="00427F07">
              <w:rPr>
                <w:sz w:val="22"/>
              </w:rPr>
              <w:t>%</w:t>
            </w:r>
            <w:r w:rsidRPr="002D323B">
              <w:rPr>
                <w:sz w:val="22"/>
              </w:rPr>
              <w:t>-56%</w:t>
            </w:r>
            <w:r w:rsidR="001203CE" w:rsidRPr="002D323B">
              <w:rPr>
                <w:sz w:val="22"/>
              </w:rPr>
              <w:t xml:space="preserve"> </w:t>
            </w:r>
            <w:r w:rsidR="00EB4655">
              <w:rPr>
                <w:sz w:val="22"/>
              </w:rPr>
              <w:br/>
            </w:r>
            <w:r w:rsidR="001203CE" w:rsidRPr="002D323B">
              <w:rPr>
                <w:sz w:val="22"/>
              </w:rPr>
              <w:t>(48</w:t>
            </w:r>
            <w:r w:rsidR="00427F07">
              <w:rPr>
                <w:sz w:val="22"/>
              </w:rPr>
              <w:t>%</w:t>
            </w:r>
            <w:r w:rsidR="001203CE" w:rsidRPr="002D323B">
              <w:rPr>
                <w:sz w:val="22"/>
              </w:rPr>
              <w:t>-60%)</w:t>
            </w:r>
          </w:p>
        </w:tc>
      </w:tr>
      <w:tr w:rsidR="001203CE" w:rsidRPr="00490C53" w14:paraId="4B934F5C" w14:textId="77777777" w:rsidTr="002D323B">
        <w:tblPrEx>
          <w:tblCellMar>
            <w:left w:w="108" w:type="dxa"/>
            <w:right w:w="108" w:type="dxa"/>
          </w:tblCellMar>
        </w:tblPrEx>
        <w:trPr>
          <w:trHeight w:val="229"/>
          <w:jc w:val="right"/>
        </w:trPr>
        <w:tc>
          <w:tcPr>
            <w:tcW w:w="2030" w:type="dxa"/>
            <w:tcBorders>
              <w:bottom w:val="single" w:sz="4" w:space="0" w:color="0054BA" w:themeColor="accent2"/>
            </w:tcBorders>
            <w:noWrap/>
            <w:hideMark/>
          </w:tcPr>
          <w:p w14:paraId="33BAD367" w14:textId="13D3106F" w:rsidR="008315C5" w:rsidRPr="002D323B" w:rsidRDefault="008315C5" w:rsidP="008315C5">
            <w:pPr>
              <w:pStyle w:val="Tabletext"/>
              <w:rPr>
                <w:sz w:val="22"/>
              </w:rPr>
            </w:pPr>
            <w:r w:rsidRPr="002D323B">
              <w:rPr>
                <w:sz w:val="22"/>
              </w:rPr>
              <w:t>CBILS/CLBILS borrowers</w:t>
            </w:r>
          </w:p>
        </w:tc>
        <w:tc>
          <w:tcPr>
            <w:tcW w:w="2031" w:type="dxa"/>
            <w:tcBorders>
              <w:bottom w:val="single" w:sz="4" w:space="0" w:color="0054BA" w:themeColor="accent2"/>
            </w:tcBorders>
            <w:vAlign w:val="center"/>
          </w:tcPr>
          <w:p w14:paraId="3619F0B6" w14:textId="277750FA" w:rsidR="008315C5" w:rsidRPr="002D323B" w:rsidRDefault="008315C5" w:rsidP="002D323B">
            <w:pPr>
              <w:pStyle w:val="Tabletext"/>
              <w:jc w:val="center"/>
              <w:rPr>
                <w:sz w:val="22"/>
              </w:rPr>
            </w:pPr>
            <w:r w:rsidRPr="002D323B">
              <w:rPr>
                <w:sz w:val="22"/>
              </w:rPr>
              <w:t>63%</w:t>
            </w:r>
            <w:r w:rsidR="001203CE" w:rsidRPr="002D323B">
              <w:rPr>
                <w:sz w:val="22"/>
              </w:rPr>
              <w:t xml:space="preserve"> (60</w:t>
            </w:r>
            <w:r w:rsidR="00EB4655">
              <w:rPr>
                <w:sz w:val="22"/>
              </w:rPr>
              <w:t>%</w:t>
            </w:r>
            <w:r w:rsidR="001203CE" w:rsidRPr="002D323B">
              <w:rPr>
                <w:sz w:val="22"/>
              </w:rPr>
              <w:t>-65%)</w:t>
            </w:r>
          </w:p>
        </w:tc>
        <w:tc>
          <w:tcPr>
            <w:tcW w:w="2031" w:type="dxa"/>
            <w:tcBorders>
              <w:bottom w:val="single" w:sz="4" w:space="0" w:color="0054BA" w:themeColor="accent2"/>
            </w:tcBorders>
            <w:noWrap/>
            <w:vAlign w:val="center"/>
            <w:hideMark/>
          </w:tcPr>
          <w:p w14:paraId="214CE818" w14:textId="79C4321E" w:rsidR="008315C5" w:rsidRPr="002D323B" w:rsidRDefault="008315C5" w:rsidP="002D323B">
            <w:pPr>
              <w:pStyle w:val="Tabletext"/>
              <w:jc w:val="center"/>
              <w:rPr>
                <w:sz w:val="22"/>
              </w:rPr>
            </w:pPr>
            <w:r w:rsidRPr="002D323B">
              <w:rPr>
                <w:sz w:val="22"/>
              </w:rPr>
              <w:t>46%</w:t>
            </w:r>
            <w:r w:rsidR="001203CE" w:rsidRPr="002D323B">
              <w:rPr>
                <w:sz w:val="22"/>
              </w:rPr>
              <w:t xml:space="preserve"> (42</w:t>
            </w:r>
            <w:r w:rsidR="00427F07">
              <w:rPr>
                <w:sz w:val="22"/>
              </w:rPr>
              <w:t>%</w:t>
            </w:r>
            <w:r w:rsidR="001203CE" w:rsidRPr="002D323B">
              <w:rPr>
                <w:sz w:val="22"/>
              </w:rPr>
              <w:t>-49%)</w:t>
            </w:r>
          </w:p>
        </w:tc>
        <w:tc>
          <w:tcPr>
            <w:tcW w:w="2031" w:type="dxa"/>
            <w:tcBorders>
              <w:bottom w:val="single" w:sz="4" w:space="0" w:color="0054BA" w:themeColor="accent2"/>
            </w:tcBorders>
            <w:vAlign w:val="center"/>
          </w:tcPr>
          <w:p w14:paraId="0597874C" w14:textId="4E5C2DEF" w:rsidR="008315C5" w:rsidRPr="002D323B" w:rsidRDefault="008315C5" w:rsidP="002D323B">
            <w:pPr>
              <w:pStyle w:val="Tabletext"/>
              <w:jc w:val="center"/>
              <w:rPr>
                <w:sz w:val="22"/>
              </w:rPr>
            </w:pPr>
            <w:r w:rsidRPr="002D323B">
              <w:rPr>
                <w:sz w:val="22"/>
              </w:rPr>
              <w:t>74</w:t>
            </w:r>
            <w:r w:rsidR="00427F07">
              <w:rPr>
                <w:sz w:val="22"/>
              </w:rPr>
              <w:t>%</w:t>
            </w:r>
            <w:r w:rsidRPr="002D323B">
              <w:rPr>
                <w:sz w:val="22"/>
              </w:rPr>
              <w:t>-80%</w:t>
            </w:r>
            <w:r w:rsidR="001203CE" w:rsidRPr="002D323B">
              <w:rPr>
                <w:sz w:val="22"/>
              </w:rPr>
              <w:t xml:space="preserve"> </w:t>
            </w:r>
            <w:r w:rsidR="00EB4655">
              <w:rPr>
                <w:sz w:val="22"/>
              </w:rPr>
              <w:br/>
            </w:r>
            <w:r w:rsidR="001203CE" w:rsidRPr="002D323B">
              <w:rPr>
                <w:sz w:val="22"/>
              </w:rPr>
              <w:t>(74</w:t>
            </w:r>
            <w:r w:rsidR="00427F07">
              <w:rPr>
                <w:sz w:val="22"/>
              </w:rPr>
              <w:t>%</w:t>
            </w:r>
            <w:r w:rsidR="001203CE" w:rsidRPr="002D323B">
              <w:rPr>
                <w:sz w:val="22"/>
              </w:rPr>
              <w:t>-81%)</w:t>
            </w:r>
          </w:p>
        </w:tc>
        <w:tc>
          <w:tcPr>
            <w:tcW w:w="2031" w:type="dxa"/>
            <w:tcBorders>
              <w:bottom w:val="single" w:sz="4" w:space="0" w:color="0054BA" w:themeColor="accent2"/>
            </w:tcBorders>
            <w:noWrap/>
            <w:vAlign w:val="center"/>
            <w:hideMark/>
          </w:tcPr>
          <w:p w14:paraId="5FE0D49C" w14:textId="2E2E31CE" w:rsidR="008315C5" w:rsidRPr="002D323B" w:rsidRDefault="008315C5" w:rsidP="002D323B">
            <w:pPr>
              <w:pStyle w:val="Tabletext"/>
              <w:jc w:val="center"/>
              <w:rPr>
                <w:sz w:val="22"/>
              </w:rPr>
            </w:pPr>
            <w:r w:rsidRPr="002D323B">
              <w:rPr>
                <w:sz w:val="22"/>
              </w:rPr>
              <w:t>52</w:t>
            </w:r>
            <w:r w:rsidR="00427F07">
              <w:rPr>
                <w:sz w:val="22"/>
              </w:rPr>
              <w:t>%</w:t>
            </w:r>
            <w:r w:rsidRPr="002D323B">
              <w:rPr>
                <w:sz w:val="22"/>
              </w:rPr>
              <w:t>-56%</w:t>
            </w:r>
            <w:r w:rsidR="001203CE" w:rsidRPr="002D323B">
              <w:rPr>
                <w:sz w:val="22"/>
              </w:rPr>
              <w:t xml:space="preserve"> </w:t>
            </w:r>
            <w:r w:rsidR="00EB4655">
              <w:rPr>
                <w:sz w:val="22"/>
              </w:rPr>
              <w:br/>
            </w:r>
            <w:r w:rsidR="001203CE" w:rsidRPr="002D323B">
              <w:rPr>
                <w:sz w:val="22"/>
              </w:rPr>
              <w:t>(49</w:t>
            </w:r>
            <w:r w:rsidR="00427F07">
              <w:rPr>
                <w:sz w:val="22"/>
              </w:rPr>
              <w:t>%</w:t>
            </w:r>
            <w:r w:rsidR="001203CE" w:rsidRPr="002D323B">
              <w:rPr>
                <w:sz w:val="22"/>
              </w:rPr>
              <w:t>-60%)</w:t>
            </w:r>
          </w:p>
        </w:tc>
      </w:tr>
    </w:tbl>
    <w:p w14:paraId="1AF938D0" w14:textId="0C187E56" w:rsidR="000E4826" w:rsidRPr="00490C53" w:rsidRDefault="00FA1A56" w:rsidP="000E4826">
      <w:pPr>
        <w:pStyle w:val="Caption"/>
      </w:pPr>
      <w:r>
        <w:t xml:space="preserve">Note: </w:t>
      </w:r>
      <w:r w:rsidR="00317501">
        <w:t>95% c</w:t>
      </w:r>
      <w:r w:rsidR="001203CE">
        <w:t xml:space="preserve">onfidence intervals are provided in brackets. </w:t>
      </w:r>
      <w:r w:rsidR="000E4826" w:rsidRPr="00490C53">
        <w:t>Source: London Economics’ analysis</w:t>
      </w:r>
      <w:r w:rsidR="006B2DC2">
        <w:t xml:space="preserve"> of survey data and the Business Structure Database. </w:t>
      </w:r>
    </w:p>
    <w:p w14:paraId="14AAF97A" w14:textId="25A0BA64" w:rsidR="00967F71" w:rsidRPr="00490C53" w:rsidRDefault="00C6351A" w:rsidP="00967F71">
      <w:pPr>
        <w:pStyle w:val="Heading2"/>
      </w:pPr>
      <w:bookmarkStart w:id="152" w:name="_Toc151549896"/>
      <w:r w:rsidRPr="00490C53">
        <w:t xml:space="preserve">Business Insights and Conditions </w:t>
      </w:r>
      <w:r w:rsidR="003C612C" w:rsidRPr="00490C53">
        <w:t>S</w:t>
      </w:r>
      <w:r w:rsidRPr="00490C53">
        <w:t>urvey</w:t>
      </w:r>
      <w:bookmarkEnd w:id="152"/>
    </w:p>
    <w:p w14:paraId="333A4EBE" w14:textId="6302717E" w:rsidR="00310AB3" w:rsidRDefault="00712A92" w:rsidP="00846F78">
      <w:bookmarkStart w:id="153" w:name="_Toc120614771"/>
      <w:r w:rsidRPr="00490C53">
        <w:t xml:space="preserve">In this </w:t>
      </w:r>
      <w:r w:rsidR="00951F22" w:rsidRPr="00490C53">
        <w:t>section, the Business Insights and Conditions Survey (BICS)</w:t>
      </w:r>
      <w:r w:rsidR="000C43B6">
        <w:rPr>
          <w:rStyle w:val="FootnoteReference"/>
        </w:rPr>
        <w:footnoteReference w:id="108"/>
      </w:r>
      <w:r w:rsidR="00951F22" w:rsidRPr="00490C53">
        <w:t xml:space="preserve"> will be used to provide</w:t>
      </w:r>
      <w:r w:rsidR="00364A7B" w:rsidRPr="00490C53">
        <w:t xml:space="preserve"> further insights on the </w:t>
      </w:r>
      <w:r w:rsidR="006B2479" w:rsidRPr="00490C53">
        <w:t xml:space="preserve">challenges businesses faced during 2020 and 2021 and to </w:t>
      </w:r>
      <w:r w:rsidR="001F5733">
        <w:t>assess</w:t>
      </w:r>
      <w:r w:rsidR="001F5733" w:rsidRPr="00490C53">
        <w:t xml:space="preserve"> </w:t>
      </w:r>
      <w:r w:rsidR="006B2479" w:rsidRPr="00490C53">
        <w:t xml:space="preserve">the </w:t>
      </w:r>
      <w:r w:rsidR="00310E64" w:rsidRPr="00490C53">
        <w:t>findings of the Year 1 report where possible.</w:t>
      </w:r>
      <w:r w:rsidR="00F527C5">
        <w:t xml:space="preserve"> The key themes addressed include the importance of government support to businesses, business expansion, capital expenditure, innovation, the ability of businesses’ workforces to meet demands</w:t>
      </w:r>
      <w:r w:rsidR="00310AB3">
        <w:t xml:space="preserve"> of the business</w:t>
      </w:r>
      <w:r w:rsidR="00F527C5">
        <w:t>, footfall</w:t>
      </w:r>
      <w:r w:rsidR="00FA1A56">
        <w:t>,</w:t>
      </w:r>
      <w:r w:rsidR="00F527C5">
        <w:t xml:space="preserve"> and </w:t>
      </w:r>
      <w:r w:rsidR="00B343EE">
        <w:t xml:space="preserve">businesses’ </w:t>
      </w:r>
      <w:r w:rsidR="00F527C5">
        <w:lastRenderedPageBreak/>
        <w:t>ability to access goods, materials</w:t>
      </w:r>
      <w:r w:rsidR="00FA1A56">
        <w:t>,</w:t>
      </w:r>
      <w:r w:rsidR="00F527C5">
        <w:t xml:space="preserve"> and services</w:t>
      </w:r>
      <w:r w:rsidR="001A30FE">
        <w:t xml:space="preserve">. </w:t>
      </w:r>
      <w:r w:rsidR="00B343EE">
        <w:t>Across the key themes, borrowers</w:t>
      </w:r>
      <w:r w:rsidR="00671523">
        <w:rPr>
          <w:rStyle w:val="FootnoteReference"/>
        </w:rPr>
        <w:footnoteReference w:id="109"/>
      </w:r>
      <w:r w:rsidR="00B343EE">
        <w:t xml:space="preserve"> tended to be more likely to than non-borrowers to be impacted negatively by the pandemic, such as through reductions in footfall or issues </w:t>
      </w:r>
      <w:r w:rsidR="00310AB3">
        <w:t xml:space="preserve">regarding </w:t>
      </w:r>
      <w:r w:rsidR="00B343EE">
        <w:t xml:space="preserve">access </w:t>
      </w:r>
      <w:r w:rsidR="00310AB3">
        <w:t xml:space="preserve">to </w:t>
      </w:r>
      <w:r w:rsidR="00B343EE">
        <w:t>goods, materials</w:t>
      </w:r>
      <w:r w:rsidR="00FA1A56">
        <w:t>,</w:t>
      </w:r>
      <w:r w:rsidR="00B343EE">
        <w:t xml:space="preserve"> and services. Borrowers also were more likely to </w:t>
      </w:r>
      <w:r w:rsidR="001A30FE">
        <w:t xml:space="preserve">undertake less innovation due to the pandemic, and to </w:t>
      </w:r>
      <w:r w:rsidR="00B343EE">
        <w:t xml:space="preserve">have reduced </w:t>
      </w:r>
      <w:r w:rsidR="001A30FE">
        <w:t xml:space="preserve">or stopped </w:t>
      </w:r>
      <w:r w:rsidR="00AA1290">
        <w:t xml:space="preserve">both </w:t>
      </w:r>
      <w:r w:rsidR="00B343EE">
        <w:t>their capital expenditure</w:t>
      </w:r>
      <w:r w:rsidR="001A30FE">
        <w:t xml:space="preserve"> and</w:t>
      </w:r>
      <w:r w:rsidR="00B343EE">
        <w:t xml:space="preserve"> </w:t>
      </w:r>
      <w:r w:rsidR="00AA1290">
        <w:t xml:space="preserve">their </w:t>
      </w:r>
      <w:r w:rsidR="00B343EE">
        <w:t>expansion plans.</w:t>
      </w:r>
      <w:r w:rsidR="001A30FE">
        <w:t xml:space="preserve"> </w:t>
      </w:r>
      <w:r w:rsidR="00AA1290">
        <w:t xml:space="preserve">Borrowers were more likely than non-borrowers (which received other government support) to report that the government support they received helped them continue trading. </w:t>
      </w:r>
    </w:p>
    <w:p w14:paraId="2C55FD2D" w14:textId="6F6EE4E1" w:rsidR="00712A92" w:rsidRDefault="00AA1290" w:rsidP="00846F78">
      <w:r>
        <w:t xml:space="preserve">These findings suggest that borrowers tended to be impacted more by the pandemic and that the loans they received played an important role in their ability to survive. </w:t>
      </w:r>
      <w:r w:rsidR="00310AB3">
        <w:t>Nevertheless, it</w:t>
      </w:r>
      <w:r>
        <w:t xml:space="preserve"> should be noted that the analysis in this section is purely </w:t>
      </w:r>
      <w:proofErr w:type="gramStart"/>
      <w:r>
        <w:t>descriptive, and</w:t>
      </w:r>
      <w:proofErr w:type="gramEnd"/>
      <w:r>
        <w:t xml:space="preserve"> is provided to add context to the econometric analysis earlier in the report.</w:t>
      </w:r>
      <w:r w:rsidR="00C11702">
        <w:rPr>
          <w:rStyle w:val="FootnoteReference"/>
        </w:rPr>
        <w:footnoteReference w:id="110"/>
      </w:r>
      <w:r w:rsidR="00310AB3">
        <w:t xml:space="preserve"> As such, differences between borrowers and non-borrowers should not be interpreted as a causal impact of government-backed loans. </w:t>
      </w:r>
    </w:p>
    <w:p w14:paraId="7498A7FB" w14:textId="496191C4" w:rsidR="00CB1D32" w:rsidRPr="005D5D23" w:rsidRDefault="00CB1D32" w:rsidP="00236B73">
      <w:bookmarkStart w:id="154" w:name="_Ref138336536"/>
      <w:r w:rsidRPr="00236B73">
        <w:rPr>
          <w:color w:val="142855" w:themeColor="text2"/>
        </w:rPr>
        <w:t>Use and importance of government support</w:t>
      </w:r>
      <w:bookmarkEnd w:id="154"/>
    </w:p>
    <w:p w14:paraId="576BB5B7" w14:textId="0722CA5A" w:rsidR="00CB1D32" w:rsidRPr="00490C53" w:rsidRDefault="00CB1D32" w:rsidP="00CB1D32">
      <w:r w:rsidRPr="00490C53">
        <w:t>On average, between June and October 2020,</w:t>
      </w:r>
      <w:r w:rsidRPr="00490C53">
        <w:rPr>
          <w:rStyle w:val="FootnoteReference"/>
        </w:rPr>
        <w:footnoteReference w:id="111"/>
      </w:r>
      <w:r w:rsidRPr="00490C53">
        <w:t xml:space="preserve"> almost a quarter (23%) of UK businesses reported that they had used a government-backed loan since the start of the pandemic (</w:t>
      </w:r>
      <w:r w:rsidR="00635D50">
        <w:fldChar w:fldCharType="begin"/>
      </w:r>
      <w:r w:rsidR="00635D50">
        <w:instrText xml:space="preserve"> REF _Ref138336386 \h </w:instrText>
      </w:r>
      <w:r w:rsidR="00635D50">
        <w:fldChar w:fldCharType="separate"/>
      </w:r>
      <w:r w:rsidR="00397D49" w:rsidRPr="00490C53">
        <w:t xml:space="preserve">Figure </w:t>
      </w:r>
      <w:r w:rsidR="00397D49">
        <w:rPr>
          <w:noProof/>
        </w:rPr>
        <w:t>14</w:t>
      </w:r>
      <w:r w:rsidR="00635D50">
        <w:fldChar w:fldCharType="end"/>
      </w:r>
      <w:r w:rsidRPr="00490C53">
        <w:t xml:space="preserve">), whilst 42% of businesses had not used a government-backed loan but had used other support and 35% of businesses had used no government support at all. The percentage of businesses that had used a government-backed loan increased throughout the period, from 20% in June 2020 to 26% in October 2020. For the remainder of this analysis, businesses which used a government-backed loan are referred to as borrowers, and those which did not (regardless of whether they used other support or borrowed from other sources) are referred to as non-borrowers. </w:t>
      </w:r>
    </w:p>
    <w:p w14:paraId="5A2708BE" w14:textId="0019D6C7" w:rsidR="00CB1D32" w:rsidRPr="00490C53" w:rsidRDefault="00CB1D32" w:rsidP="00CB1D32">
      <w:pPr>
        <w:pStyle w:val="Heading5"/>
      </w:pPr>
      <w:bookmarkStart w:id="155" w:name="_Ref138336386"/>
      <w:r w:rsidRPr="00490C53">
        <w:lastRenderedPageBreak/>
        <w:t xml:space="preserve">Figure </w:t>
      </w:r>
      <w:r>
        <w:fldChar w:fldCharType="begin"/>
      </w:r>
      <w:r>
        <w:instrText>SEQ Figure \* ARABIC</w:instrText>
      </w:r>
      <w:r>
        <w:fldChar w:fldCharType="separate"/>
      </w:r>
      <w:r w:rsidR="00397D49">
        <w:rPr>
          <w:noProof/>
        </w:rPr>
        <w:t>14</w:t>
      </w:r>
      <w:r>
        <w:fldChar w:fldCharType="end"/>
      </w:r>
      <w:bookmarkEnd w:id="155"/>
      <w:r w:rsidRPr="00490C53">
        <w:t>: Percentage of businesses that had used different types of government support, or no support, June-October 2020</w:t>
      </w:r>
    </w:p>
    <w:p w14:paraId="26874401" w14:textId="77777777" w:rsidR="00CB1D32" w:rsidRPr="00490C53" w:rsidRDefault="00CB1D32" w:rsidP="00CB1D32">
      <w:pPr>
        <w:jc w:val="center"/>
      </w:pPr>
      <w:r w:rsidRPr="00846F78">
        <w:rPr>
          <w:noProof/>
        </w:rPr>
        <w:drawing>
          <wp:inline distT="0" distB="0" distL="0" distR="0" wp14:anchorId="572A9D3A" wp14:editId="57C8F9DE">
            <wp:extent cx="6005195" cy="2938780"/>
            <wp:effectExtent l="0" t="0" r="0" b="0"/>
            <wp:docPr id="12" name="Picture 12" descr="23% of businesses surveyed used a government backed loan, 42% of businesses surveyed used some kind of government support but not a government backed loan and 35% of businesses surveyed used no government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3% of businesses surveyed used a government backed loan, 42% of businesses surveyed used some kind of government support but not a government backed loan and 35% of businesses surveyed used no government suppor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5195" cy="2938780"/>
                    </a:xfrm>
                    <a:prstGeom prst="rect">
                      <a:avLst/>
                    </a:prstGeom>
                    <a:noFill/>
                  </pic:spPr>
                </pic:pic>
              </a:graphicData>
            </a:graphic>
          </wp:inline>
        </w:drawing>
      </w:r>
    </w:p>
    <w:p w14:paraId="2E48B22E" w14:textId="7D57836F" w:rsidR="00CB1D32" w:rsidRPr="00490C53" w:rsidRDefault="00CB1D32" w:rsidP="006D7619">
      <w:pPr>
        <w:pStyle w:val="Caption"/>
      </w:pPr>
      <w:r w:rsidRPr="00490C53">
        <w:t xml:space="preserve">Note: This figure is based on </w:t>
      </w:r>
      <w:proofErr w:type="gramStart"/>
      <w:r w:rsidRPr="00490C53">
        <w:t>a number of</w:t>
      </w:r>
      <w:proofErr w:type="gramEnd"/>
      <w:r w:rsidRPr="00490C53">
        <w:t xml:space="preserve"> questions in the ‘Access to Financial Support’ section of the BICS. More details on how firms were allocated to each group are presented in </w:t>
      </w:r>
      <w:r>
        <w:fldChar w:fldCharType="begin"/>
      </w:r>
      <w:r>
        <w:instrText xml:space="preserve"> REF _Ref126237311 \h </w:instrText>
      </w:r>
      <w:r>
        <w:fldChar w:fldCharType="separate"/>
      </w:r>
      <w:r w:rsidR="00397D49" w:rsidRPr="00490C53">
        <w:t xml:space="preserve">Annex </w:t>
      </w:r>
      <w:r w:rsidR="00397D49">
        <w:t>5</w:t>
      </w:r>
      <w:r>
        <w:fldChar w:fldCharType="end"/>
      </w:r>
      <w:r w:rsidRPr="00490C53">
        <w:t>. ‘Borrowers’ refers to businesses that used a government-backed loan, ‘non-borrowers (used government support)’ refers to businesses that did not use a government-backed loan but did use other support and ‘non-borrowers (no government support)’ refers to businesses that used no government support. The figure shows the mean of the percentage of respondents which were in each category, taken across waves 7-16, which were conducted in and refer to the period between June and October 2020. Percentages may not add to 100% due to rounding. Source: London Economics’ analysis of the Business Insights and Conditions Survey (BICS).</w:t>
      </w:r>
    </w:p>
    <w:p w14:paraId="35E8640E" w14:textId="1BF951D4" w:rsidR="00CB1D32" w:rsidRPr="00490C53" w:rsidRDefault="00CB1D32" w:rsidP="00CB1D32">
      <w:proofErr w:type="gramStart"/>
      <w:r w:rsidRPr="00490C53">
        <w:t>The majority of</w:t>
      </w:r>
      <w:proofErr w:type="gramEnd"/>
      <w:r w:rsidRPr="00490C53">
        <w:t xml:space="preserve"> businesses which received government support, regardless of their use of a government-backed loan, reported that the government support they used helped them continue trading during the pandemic (</w:t>
      </w:r>
      <w:r w:rsidR="00635D50">
        <w:fldChar w:fldCharType="begin"/>
      </w:r>
      <w:r w:rsidR="00635D50">
        <w:instrText xml:space="preserve"> REF _Ref138336413 \h </w:instrText>
      </w:r>
      <w:r w:rsidR="00635D50">
        <w:fldChar w:fldCharType="separate"/>
      </w:r>
      <w:r w:rsidR="00397D49" w:rsidRPr="00490C53">
        <w:t xml:space="preserve">Figure </w:t>
      </w:r>
      <w:r w:rsidR="00397D49">
        <w:rPr>
          <w:noProof/>
        </w:rPr>
        <w:t>15</w:t>
      </w:r>
      <w:r w:rsidR="00635D50">
        <w:fldChar w:fldCharType="end"/>
      </w:r>
      <w:r w:rsidRPr="00490C53">
        <w:t xml:space="preserve">). Nevertheless, the proportion of businesses which stated that the support they received helped them continue trading was higher amongst borrowers (75%) than non-borrowers (57%). </w:t>
      </w:r>
    </w:p>
    <w:p w14:paraId="2F5342A8" w14:textId="25958EF3" w:rsidR="00CB1D32" w:rsidRPr="00490C53" w:rsidRDefault="00CB1D32" w:rsidP="00CB1D32">
      <w:pPr>
        <w:pStyle w:val="Heading5"/>
      </w:pPr>
      <w:bookmarkStart w:id="156" w:name="_Ref138336413"/>
      <w:r w:rsidRPr="00490C53">
        <w:lastRenderedPageBreak/>
        <w:t xml:space="preserve">Figure </w:t>
      </w:r>
      <w:r>
        <w:fldChar w:fldCharType="begin"/>
      </w:r>
      <w:r>
        <w:instrText>SEQ Figure \* ARABIC</w:instrText>
      </w:r>
      <w:r>
        <w:fldChar w:fldCharType="separate"/>
      </w:r>
      <w:r w:rsidR="00397D49">
        <w:rPr>
          <w:noProof/>
        </w:rPr>
        <w:t>15</w:t>
      </w:r>
      <w:r>
        <w:fldChar w:fldCharType="end"/>
      </w:r>
      <w:bookmarkEnd w:id="156"/>
      <w:r w:rsidRPr="00490C53">
        <w:t xml:space="preserve">: Percentage of borrowers and non-borrowers that indicated that government support helped them continue trading, June-October 2020 </w:t>
      </w:r>
    </w:p>
    <w:p w14:paraId="2830EB25" w14:textId="77777777" w:rsidR="00CB1D32" w:rsidRPr="00490C53" w:rsidRDefault="00CB1D32" w:rsidP="00CB1D32">
      <w:pPr>
        <w:jc w:val="center"/>
      </w:pPr>
      <w:r w:rsidRPr="00846F78">
        <w:rPr>
          <w:noProof/>
        </w:rPr>
        <w:drawing>
          <wp:inline distT="0" distB="0" distL="0" distR="0" wp14:anchorId="305E267A" wp14:editId="491B4EBE">
            <wp:extent cx="6010910" cy="2938780"/>
            <wp:effectExtent l="0" t="0" r="8890" b="0"/>
            <wp:docPr id="13" name="Picture 13" descr="75% of borrowers surveyed indicated that government support helped them to continue trading, in comparison to 57% of non-borr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75% of borrowers surveyed indicated that government support helped them to continue trading, in comparison to 57% of non-borrower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0910" cy="2938780"/>
                    </a:xfrm>
                    <a:prstGeom prst="rect">
                      <a:avLst/>
                    </a:prstGeom>
                    <a:noFill/>
                  </pic:spPr>
                </pic:pic>
              </a:graphicData>
            </a:graphic>
          </wp:inline>
        </w:drawing>
      </w:r>
    </w:p>
    <w:p w14:paraId="77B9A22F" w14:textId="77777777" w:rsidR="00CB1D32" w:rsidRPr="00490C53" w:rsidRDefault="00CB1D32" w:rsidP="00CB1D32">
      <w:pPr>
        <w:pStyle w:val="Caption"/>
      </w:pPr>
      <w:r w:rsidRPr="00490C53">
        <w:t>Note: This figure is based on the question ‘Did the support received from these initiatives or schemes help your business continue trading?’, using a mean of the percentage of respondents which answered ‘Yes, it helped us to continue trading’, taken across waves 7-16, which were conducted in and refer to the period between June and October 2020. ‘Borrowers’ refers to businesses that used a government-backed loan and ‘non-borrowers (used government support)’ refers to businesses that did not use a government-backed loan but did use other support. Source: London Economics’ analysis of the Business Insights and Conditions Survey (BICS).</w:t>
      </w:r>
    </w:p>
    <w:p w14:paraId="41CA7D22" w14:textId="609E2A7F" w:rsidR="006B7D3D" w:rsidRDefault="00CB1D32" w:rsidP="00CB1D32">
      <w:r w:rsidRPr="00490C53">
        <w:t xml:space="preserve">Although not completely comparable, these results are consistent with findings from the Year 1 business survival analysis, which found that the Covid-19 Loan Guarantee schemes helped borrowers continue trading during the pandemic </w:t>
      </w:r>
      <w:r w:rsidR="008B4A2B">
        <w:t xml:space="preserve">based on self-reported data </w:t>
      </w:r>
      <w:r w:rsidRPr="00490C53">
        <w:t xml:space="preserve">– specifically it was estimated that 9.9%-34.1% of BBLS borrowers and 6.8%-28.3% of CBILS/CLBILS borrowers could have ceased trading without the Covid-19 Loan Guarantee Schemes. </w:t>
      </w:r>
    </w:p>
    <w:p w14:paraId="422F18E7" w14:textId="0C4F7457" w:rsidR="00CB1D32" w:rsidRPr="00490C53" w:rsidRDefault="006B7D3D" w:rsidP="00846F78">
      <w:r>
        <w:lastRenderedPageBreak/>
        <w:t xml:space="preserve">Nevertheless, as mentioned above, results from this analysis </w:t>
      </w:r>
      <w:r w:rsidR="00C876EB">
        <w:t xml:space="preserve">(as well as that presented in the following sub-sections) </w:t>
      </w:r>
      <w:r>
        <w:t>should not be treated as causal impacts of government-backed loans but as additional context to analysis presented earlier in the report.</w:t>
      </w:r>
      <w:r>
        <w:rPr>
          <w:rStyle w:val="FootnoteReference"/>
        </w:rPr>
        <w:footnoteReference w:id="112"/>
      </w:r>
      <w:r>
        <w:t xml:space="preserve"> </w:t>
      </w:r>
    </w:p>
    <w:p w14:paraId="3AA77849" w14:textId="77777777" w:rsidR="00EE2F25" w:rsidRPr="005D5D23" w:rsidRDefault="00EE2F25" w:rsidP="00236B73">
      <w:r w:rsidRPr="00236B73">
        <w:rPr>
          <w:color w:val="142855" w:themeColor="text2"/>
        </w:rPr>
        <w:t>Expansion</w:t>
      </w:r>
      <w:bookmarkEnd w:id="153"/>
    </w:p>
    <w:p w14:paraId="6FAA052C" w14:textId="063F9A43" w:rsidR="00CD5E08" w:rsidRPr="00490C53" w:rsidRDefault="00711825" w:rsidP="00437D12">
      <w:r w:rsidRPr="00490C53">
        <w:t>Government-backed loan recipients (hereafter referred to as borrowers) were more likely than non-borrowers to see their plans for expansion impacted by the pandemic</w:t>
      </w:r>
      <w:r w:rsidR="00735D51" w:rsidRPr="00490C53">
        <w:t xml:space="preserve"> (</w:t>
      </w:r>
      <w:r w:rsidR="00CB7436" w:rsidRPr="00490C53">
        <w:fldChar w:fldCharType="begin"/>
      </w:r>
      <w:r w:rsidR="00CB7436" w:rsidRPr="00490C53">
        <w:instrText xml:space="preserve"> REF _Ref122596754 \h </w:instrText>
      </w:r>
      <w:r w:rsidR="00CB7436" w:rsidRPr="00490C53">
        <w:fldChar w:fldCharType="separate"/>
      </w:r>
      <w:r w:rsidR="00397D49" w:rsidRPr="00490C53">
        <w:t xml:space="preserve">Figure </w:t>
      </w:r>
      <w:r w:rsidR="00397D49">
        <w:rPr>
          <w:noProof/>
        </w:rPr>
        <w:t>16</w:t>
      </w:r>
      <w:r w:rsidR="00CB7436" w:rsidRPr="00490C53">
        <w:fldChar w:fldCharType="end"/>
      </w:r>
      <w:r w:rsidR="00735D51" w:rsidRPr="00490C53">
        <w:t>)</w:t>
      </w:r>
      <w:r w:rsidRPr="00490C53">
        <w:t>. Borrowers were more likely to have reduced the ambition of their expansion plans than non-borrowers (18% compared to 12%) and to have postponed or cancelled their expansion plans altogether (34% compared to 19%). Consequently, borrowers were less likely (43%) to have seen no impact on their expansion than non-borrowers (67%).</w:t>
      </w:r>
    </w:p>
    <w:p w14:paraId="60E3BFA7" w14:textId="611FE57C" w:rsidR="00755ED7" w:rsidRPr="00490C53" w:rsidRDefault="003D3773" w:rsidP="00437D12">
      <w:pPr>
        <w:pStyle w:val="Heading5"/>
      </w:pPr>
      <w:bookmarkStart w:id="157" w:name="_Ref122596754"/>
      <w:r w:rsidRPr="00490C53">
        <w:t xml:space="preserve">Figure </w:t>
      </w:r>
      <w:r>
        <w:fldChar w:fldCharType="begin"/>
      </w:r>
      <w:r>
        <w:instrText>SEQ Figure \* ARABIC</w:instrText>
      </w:r>
      <w:r>
        <w:fldChar w:fldCharType="separate"/>
      </w:r>
      <w:r w:rsidR="00397D49">
        <w:rPr>
          <w:noProof/>
        </w:rPr>
        <w:t>16</w:t>
      </w:r>
      <w:r>
        <w:fldChar w:fldCharType="end"/>
      </w:r>
      <w:bookmarkEnd w:id="157"/>
      <w:r w:rsidRPr="00490C53">
        <w:t xml:space="preserve">: </w:t>
      </w:r>
      <w:bookmarkStart w:id="158" w:name="_Toc120614782"/>
      <w:r w:rsidR="00FF0291" w:rsidRPr="00490C53">
        <w:t>Change in expansion plans of borrowers and non-borrowers compared to before the pandemic, August-</w:t>
      </w:r>
      <w:r w:rsidR="00CD6F74" w:rsidRPr="00490C53">
        <w:t xml:space="preserve">October </w:t>
      </w:r>
      <w:r w:rsidR="00FF0291" w:rsidRPr="00490C53">
        <w:t>2020</w:t>
      </w:r>
      <w:bookmarkEnd w:id="158"/>
    </w:p>
    <w:p w14:paraId="41AA2ADE" w14:textId="595A4E89" w:rsidR="007B401D" w:rsidRPr="00490C53" w:rsidRDefault="00EB5D90" w:rsidP="00EB5D90">
      <w:pPr>
        <w:spacing w:after="160" w:line="259" w:lineRule="auto"/>
        <w:jc w:val="center"/>
      </w:pPr>
      <w:r w:rsidRPr="00846F78">
        <w:rPr>
          <w:noProof/>
        </w:rPr>
        <w:drawing>
          <wp:inline distT="0" distB="0" distL="0" distR="0" wp14:anchorId="277095B1" wp14:editId="30823FA0">
            <wp:extent cx="6357099" cy="3028208"/>
            <wp:effectExtent l="0" t="0" r="5715" b="1270"/>
            <wp:docPr id="23" name="Picture 23" descr="Among borrowers surveyed, 34% indicated their expansion plans were postponed or cancelled, 18% indicated their expansion plans were less ambitious, 43% said there was no change in their expansion plans and 4% said their expansion plans were more ambitious. Among non-borrowers surveyed, 19% said their expansion plans were postponed or cancelled, 12% said their expansion plans were less ambitious, 67% said there was no change in their expansion plans and 3% said their expansion plans were more ambit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mong borrowers surveyed, 34% indicated their expansion plans were postponed or cancelled, 18% indicated their expansion plans were less ambitious, 43% said there was no change in their expansion plans and 4% said their expansion plans were more ambitious. Among non-borrowers surveyed, 19% said their expansion plans were postponed or cancelled, 12% said their expansion plans were less ambitious, 67% said there was no change in their expansion plans and 3% said their expansion plans were more ambitiou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3373" cy="3031197"/>
                    </a:xfrm>
                    <a:prstGeom prst="rect">
                      <a:avLst/>
                    </a:prstGeom>
                    <a:noFill/>
                  </pic:spPr>
                </pic:pic>
              </a:graphicData>
            </a:graphic>
          </wp:inline>
        </w:drawing>
      </w:r>
    </w:p>
    <w:p w14:paraId="48D5402D" w14:textId="22BE1AC2" w:rsidR="00D5218A" w:rsidRPr="00490C53" w:rsidRDefault="007B401D" w:rsidP="00437D12">
      <w:pPr>
        <w:pStyle w:val="Caption"/>
      </w:pPr>
      <w:r w:rsidRPr="00490C53">
        <w:t>Note: This figure is based on the question ‘How has the coronavirus (</w:t>
      </w:r>
      <w:r w:rsidR="00FA1A56">
        <w:t>Covid</w:t>
      </w:r>
      <w:r w:rsidRPr="00490C53">
        <w:t xml:space="preserve">-19) pandemic affected your business's plans for expanding the business?’. The figure shows the mean of the percentage of respondents which answered each response, taken across waves 12, 13 and 15, </w:t>
      </w:r>
      <w:r w:rsidRPr="00490C53">
        <w:lastRenderedPageBreak/>
        <w:t xml:space="preserve">which were conducted between </w:t>
      </w:r>
      <w:r w:rsidR="00CD6F74" w:rsidRPr="00490C53">
        <w:t xml:space="preserve">and refer to the period between </w:t>
      </w:r>
      <w:r w:rsidR="002E67EA" w:rsidRPr="00490C53">
        <w:t>August and October 2020</w:t>
      </w:r>
      <w:r w:rsidRPr="00490C53">
        <w:t xml:space="preserve">. </w:t>
      </w:r>
      <w:r w:rsidR="00D800FF" w:rsidRPr="00490C53">
        <w:t xml:space="preserve">‘Borrowers’ refers to businesses that used a government-backed loan and ‘non-borrowers’ refers to businesses that did not use a government-backed loan. </w:t>
      </w:r>
      <w:r w:rsidRPr="00490C53">
        <w:t>Respondents which answered ‘not sure’ are not included in the percentages presented. Percentages may not add to 100% due to rounding. Source: London Economics’ analysis of the Business Insights and Conditions Survey (BICS)</w:t>
      </w:r>
      <w:r w:rsidR="00476D3C" w:rsidRPr="00490C53">
        <w:t>.</w:t>
      </w:r>
    </w:p>
    <w:p w14:paraId="50500F86" w14:textId="783B384E" w:rsidR="00D5218A" w:rsidRPr="00490C53" w:rsidRDefault="00D5218A" w:rsidP="00D5218A">
      <w:r w:rsidRPr="00490C53">
        <w:t xml:space="preserve">It is of note that borrowers were substantially more likely to have </w:t>
      </w:r>
      <w:proofErr w:type="gramStart"/>
      <w:r w:rsidRPr="00490C53">
        <w:t>actually had</w:t>
      </w:r>
      <w:proofErr w:type="gramEnd"/>
      <w:r w:rsidRPr="00490C53">
        <w:t xml:space="preserve"> plans to expand before the pandemic than non-borrowers. Whilst 2</w:t>
      </w:r>
      <w:r w:rsidR="00EE691F" w:rsidRPr="00490C53">
        <w:t>5</w:t>
      </w:r>
      <w:r w:rsidRPr="00490C53">
        <w:t xml:space="preserve">% of non-borrowers reported previous plans to expand, </w:t>
      </w:r>
      <w:r w:rsidR="00116BFC" w:rsidRPr="00490C53">
        <w:t>over</w:t>
      </w:r>
      <w:r w:rsidRPr="00490C53">
        <w:t xml:space="preserve"> half of borrowers (</w:t>
      </w:r>
      <w:r w:rsidR="00116BFC" w:rsidRPr="00490C53">
        <w:t>54</w:t>
      </w:r>
      <w:r w:rsidRPr="00490C53">
        <w:t>%) had plans to expand before the pandemic.</w:t>
      </w:r>
      <w:r w:rsidR="00995335" w:rsidRPr="00490C53">
        <w:rPr>
          <w:rStyle w:val="FootnoteReference"/>
        </w:rPr>
        <w:footnoteReference w:id="113"/>
      </w:r>
    </w:p>
    <w:p w14:paraId="28982FB3" w14:textId="13E284D4" w:rsidR="00BD4862" w:rsidRPr="00490C53" w:rsidRDefault="00D5218A" w:rsidP="00D5218A">
      <w:r w:rsidRPr="00490C53">
        <w:t>When looking only at those businesses which had plans to expand before the pandemic, differences between borrowers and non-borrowers are mostly removed</w:t>
      </w:r>
      <w:r w:rsidR="00025EFE" w:rsidRPr="00490C53">
        <w:t xml:space="preserve"> (</w:t>
      </w:r>
      <w:r w:rsidR="00025EFE" w:rsidRPr="00490C53">
        <w:fldChar w:fldCharType="begin"/>
      </w:r>
      <w:r w:rsidR="00025EFE" w:rsidRPr="00490C53">
        <w:instrText xml:space="preserve"> REF _Ref122596792 \h </w:instrText>
      </w:r>
      <w:r w:rsidR="00025EFE" w:rsidRPr="00490C53">
        <w:fldChar w:fldCharType="separate"/>
      </w:r>
      <w:r w:rsidR="00397D49" w:rsidRPr="00490C53">
        <w:t xml:space="preserve">Figure </w:t>
      </w:r>
      <w:r w:rsidR="00397D49">
        <w:rPr>
          <w:noProof/>
        </w:rPr>
        <w:t>17</w:t>
      </w:r>
      <w:r w:rsidR="00025EFE" w:rsidRPr="00490C53">
        <w:fldChar w:fldCharType="end"/>
      </w:r>
      <w:r w:rsidR="00025EFE" w:rsidRPr="00490C53">
        <w:t>)</w:t>
      </w:r>
      <w:r w:rsidRPr="00490C53">
        <w:t xml:space="preserve">. For both </w:t>
      </w:r>
      <w:r w:rsidR="005510F4" w:rsidRPr="00490C53">
        <w:t>borrowers and non-borrowers</w:t>
      </w:r>
      <w:r w:rsidRPr="00490C53">
        <w:t>, just over half of companies which had plans to expand before the pandemic (</w:t>
      </w:r>
      <w:r w:rsidR="005510F4" w:rsidRPr="00490C53">
        <w:t xml:space="preserve">respectively </w:t>
      </w:r>
      <w:r w:rsidRPr="00490C53">
        <w:t xml:space="preserve">55% and 56%) postponed or cancelled their plans </w:t>
      </w:r>
      <w:proofErr w:type="gramStart"/>
      <w:r w:rsidRPr="00490C53">
        <w:t>as a consequence of</w:t>
      </w:r>
      <w:proofErr w:type="gramEnd"/>
      <w:r w:rsidRPr="00490C53">
        <w:t xml:space="preserve"> the pandemic. Only 15% of both borrowers and non-borrowers reported that they had not changed their expansion plans due to the pandemic.</w:t>
      </w:r>
      <w:r w:rsidR="00BD4862">
        <w:t xml:space="preserve"> </w:t>
      </w:r>
      <w:r w:rsidR="00497773">
        <w:t xml:space="preserve">This suggests that, despite their use of a government-backed loan, borrowers </w:t>
      </w:r>
      <w:r w:rsidR="00773B11">
        <w:t xml:space="preserve">may have </w:t>
      </w:r>
      <w:r w:rsidR="00497773">
        <w:t>had similar struggles to non-borrowers during this period</w:t>
      </w:r>
      <w:r w:rsidR="001203CE">
        <w:t xml:space="preserve">, </w:t>
      </w:r>
      <w:r w:rsidR="00773B11">
        <w:t>which may have led</w:t>
      </w:r>
      <w:r w:rsidR="00497773">
        <w:t xml:space="preserve"> them to stop or reduce their expansion plans. This is consistent with the </w:t>
      </w:r>
      <w:r w:rsidR="001203CE">
        <w:t>findings from the survival analysis</w:t>
      </w:r>
      <w:r w:rsidR="00F527C5">
        <w:t xml:space="preserve">, which </w:t>
      </w:r>
      <w:r w:rsidR="00773B11">
        <w:t>suggest</w:t>
      </w:r>
      <w:r w:rsidR="00F527C5">
        <w:t xml:space="preserve"> that many borrowers </w:t>
      </w:r>
      <w:r w:rsidR="005C246F">
        <w:t xml:space="preserve">expect that they </w:t>
      </w:r>
      <w:r w:rsidR="00F527C5">
        <w:t xml:space="preserve">would have </w:t>
      </w:r>
      <w:r w:rsidR="004550ED">
        <w:t xml:space="preserve">permanently closed </w:t>
      </w:r>
      <w:r w:rsidR="00F527C5">
        <w:t xml:space="preserve">without access to a </w:t>
      </w:r>
      <w:proofErr w:type="gramStart"/>
      <w:r w:rsidR="00F527C5">
        <w:t>loan</w:t>
      </w:r>
      <w:r w:rsidR="00773B11">
        <w:t>, and</w:t>
      </w:r>
      <w:proofErr w:type="gramEnd"/>
      <w:r w:rsidR="00773B11">
        <w:t xml:space="preserve"> may have therefore used the finance to ‘keep their business afloat’ rather than expand</w:t>
      </w:r>
      <w:r w:rsidR="00F527C5">
        <w:t>.</w:t>
      </w:r>
    </w:p>
    <w:p w14:paraId="54FBF402" w14:textId="686441D3" w:rsidR="002D0728" w:rsidRPr="00490C53" w:rsidRDefault="003D3773" w:rsidP="00476D3C">
      <w:pPr>
        <w:pStyle w:val="Heading5"/>
      </w:pPr>
      <w:bookmarkStart w:id="159" w:name="_Ref122596792"/>
      <w:bookmarkStart w:id="160" w:name="_Ref119421703"/>
      <w:bookmarkStart w:id="161" w:name="_Toc120614783"/>
      <w:r w:rsidRPr="00490C53">
        <w:lastRenderedPageBreak/>
        <w:t xml:space="preserve">Figure </w:t>
      </w:r>
      <w:r>
        <w:fldChar w:fldCharType="begin"/>
      </w:r>
      <w:r>
        <w:instrText>SEQ Figure \* ARABIC</w:instrText>
      </w:r>
      <w:r>
        <w:fldChar w:fldCharType="separate"/>
      </w:r>
      <w:r w:rsidR="00397D49">
        <w:rPr>
          <w:noProof/>
        </w:rPr>
        <w:t>17</w:t>
      </w:r>
      <w:r>
        <w:fldChar w:fldCharType="end"/>
      </w:r>
      <w:bookmarkEnd w:id="159"/>
      <w:r w:rsidRPr="00490C53">
        <w:t xml:space="preserve">: </w:t>
      </w:r>
      <w:r w:rsidR="002D0728" w:rsidRPr="00490C53">
        <w:t>Change in expansion plans of borrowers and non-borrowers compared to before the pandemic for businesses which were planning to expand before the pandemic, August-</w:t>
      </w:r>
      <w:r w:rsidR="0066463B" w:rsidRPr="00490C53">
        <w:t xml:space="preserve">October </w:t>
      </w:r>
      <w:r w:rsidR="002D0728" w:rsidRPr="00490C53">
        <w:t>2020</w:t>
      </w:r>
      <w:bookmarkEnd w:id="160"/>
      <w:bookmarkEnd w:id="161"/>
      <w:r w:rsidR="002D0728" w:rsidRPr="00490C53">
        <w:t xml:space="preserve"> </w:t>
      </w:r>
    </w:p>
    <w:p w14:paraId="16F6C2FC" w14:textId="50DE28E0" w:rsidR="00FA1892" w:rsidRPr="00490C53" w:rsidRDefault="004B0A16" w:rsidP="004B0A16">
      <w:pPr>
        <w:spacing w:after="160" w:line="259" w:lineRule="auto"/>
        <w:jc w:val="center"/>
      </w:pPr>
      <w:r w:rsidRPr="00846F78">
        <w:rPr>
          <w:noProof/>
        </w:rPr>
        <w:drawing>
          <wp:inline distT="0" distB="0" distL="0" distR="0" wp14:anchorId="2FB0A6AF" wp14:editId="33E32374">
            <wp:extent cx="6312361" cy="3016333"/>
            <wp:effectExtent l="0" t="0" r="0" b="0"/>
            <wp:docPr id="24" name="Picture 24" descr="Among borrowers surveyed that were planning to expand before the pandemic, 55% said their expansion plans had been postponed or cancelled, 24% said their expansion plans are less ambitious, 15% said there was no change in their expansion plans and 6% said their expansion plans were more ambitious. Among non-borrowers surveyed that were planning to expand before the pandemic, 56% said their expansion plans had been postponed or cancelled, 23% said their expansion plans were less ambitious, 15% said there was no change in their expansion plans and 6% said their expansion plans were more ambit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mong borrowers surveyed that were planning to expand before the pandemic, 55% said their expansion plans had been postponed or cancelled, 24% said their expansion plans are less ambitious, 15% said there was no change in their expansion plans and 6% said their expansion plans were more ambitious. Among non-borrowers surveyed that were planning to expand before the pandemic, 56% said their expansion plans had been postponed or cancelled, 23% said their expansion plans were less ambitious, 15% said there was no change in their expansion plans and 6% said their expansion plans were more ambitiou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18697" cy="3019361"/>
                    </a:xfrm>
                    <a:prstGeom prst="rect">
                      <a:avLst/>
                    </a:prstGeom>
                    <a:noFill/>
                  </pic:spPr>
                </pic:pic>
              </a:graphicData>
            </a:graphic>
          </wp:inline>
        </w:drawing>
      </w:r>
    </w:p>
    <w:p w14:paraId="7FBB0364" w14:textId="740E64FF" w:rsidR="009462EC" w:rsidRPr="00490C53" w:rsidRDefault="00A44AB8" w:rsidP="00476D3C">
      <w:pPr>
        <w:pStyle w:val="Caption"/>
      </w:pPr>
      <w:r w:rsidRPr="00490C53">
        <w:t>Note: This figure is based on the question ‘How has the coronavirus (</w:t>
      </w:r>
      <w:r w:rsidR="00FA1A56" w:rsidRPr="00490C53">
        <w:t>C</w:t>
      </w:r>
      <w:r w:rsidR="00FA1A56">
        <w:t>ovid</w:t>
      </w:r>
      <w:r w:rsidRPr="00490C53">
        <w:t xml:space="preserve">-19) pandemic affected your business's plans for expanding the business?’, only including those that </w:t>
      </w:r>
      <w:proofErr w:type="gramStart"/>
      <w:r w:rsidRPr="00490C53">
        <w:t>responded</w:t>
      </w:r>
      <w:proofErr w:type="gramEnd"/>
      <w:r w:rsidRPr="00490C53">
        <w:t xml:space="preserve"> ‘Yes’ to the question ‘Was your business planning to expand its business before the coronavirus (C</w:t>
      </w:r>
      <w:r w:rsidR="00994BE7">
        <w:t>ovid</w:t>
      </w:r>
      <w:r w:rsidRPr="00490C53">
        <w:t xml:space="preserve">-19) pandemic?’. The figure shows the mean of the percentage of respondents which answered each response, taken across waves 12, 13 and 15, which were conducted between </w:t>
      </w:r>
      <w:r w:rsidR="007167F2" w:rsidRPr="00490C53">
        <w:t>and refer to the period between August and October 2020</w:t>
      </w:r>
      <w:r w:rsidRPr="00490C53">
        <w:t xml:space="preserve">. </w:t>
      </w:r>
      <w:r w:rsidR="004011CB" w:rsidRPr="00490C53">
        <w:t xml:space="preserve">‘Borrowers’ refers to businesses that used a government-backed loan and ‘non-borrowers’ refers to businesses that did not use a government-backed loan. </w:t>
      </w:r>
      <w:r w:rsidRPr="00490C53">
        <w:t xml:space="preserve">Respondents which answered ‘not sure’ are not included in the percentages presented. Percentages may not add to 100% due to rounding. </w:t>
      </w:r>
      <w:r w:rsidR="00476D3C" w:rsidRPr="00490C53">
        <w:t>S</w:t>
      </w:r>
      <w:r w:rsidRPr="00490C53">
        <w:t>ource: London Economics’ analysis of the Business Insights and Conditions Survey (BICS)</w:t>
      </w:r>
      <w:r w:rsidR="00476D3C" w:rsidRPr="00490C53">
        <w:t>.</w:t>
      </w:r>
    </w:p>
    <w:p w14:paraId="3B67EEB2" w14:textId="77777777" w:rsidR="009462EC" w:rsidRPr="005D5D23" w:rsidRDefault="009462EC" w:rsidP="00236B73">
      <w:bookmarkStart w:id="162" w:name="_Toc120614772"/>
      <w:r w:rsidRPr="00236B73">
        <w:rPr>
          <w:color w:val="142855" w:themeColor="text2"/>
        </w:rPr>
        <w:t>Capital Expenditure</w:t>
      </w:r>
      <w:bookmarkEnd w:id="162"/>
    </w:p>
    <w:p w14:paraId="7C4D486A" w14:textId="6E806D91" w:rsidR="00EF54B0" w:rsidRDefault="004C3761" w:rsidP="00E406D0">
      <w:r w:rsidRPr="00490C53">
        <w:t>As with business expansion, borrowers were more likely than non-borrowers to have both stopped (</w:t>
      </w:r>
      <w:r w:rsidR="002A1ABA" w:rsidRPr="00490C53">
        <w:t>23</w:t>
      </w:r>
      <w:r w:rsidRPr="00490C53">
        <w:t>% compared to 1</w:t>
      </w:r>
      <w:r w:rsidR="002A1ABA" w:rsidRPr="00490C53">
        <w:t>7</w:t>
      </w:r>
      <w:r w:rsidRPr="00490C53">
        <w:t>%) and reduced (1</w:t>
      </w:r>
      <w:r w:rsidR="00543B6D" w:rsidRPr="00490C53">
        <w:t>8</w:t>
      </w:r>
      <w:r w:rsidRPr="00490C53">
        <w:t>% compared to 1</w:t>
      </w:r>
      <w:r w:rsidR="00543B6D" w:rsidRPr="00490C53">
        <w:t>5</w:t>
      </w:r>
      <w:r w:rsidRPr="00490C53">
        <w:t>%) their capital expenditure</w:t>
      </w:r>
      <w:r w:rsidR="00025EFE" w:rsidRPr="00490C53">
        <w:t xml:space="preserve"> </w:t>
      </w:r>
      <w:r w:rsidR="00E406D0">
        <w:t>compared to non-borrowers (</w:t>
      </w:r>
      <w:r w:rsidR="00E406D0">
        <w:fldChar w:fldCharType="begin"/>
      </w:r>
      <w:r w:rsidR="00E406D0">
        <w:instrText xml:space="preserve"> REF _Ref126238329 \h </w:instrText>
      </w:r>
      <w:r w:rsidR="00E406D0">
        <w:fldChar w:fldCharType="separate"/>
      </w:r>
      <w:r w:rsidR="00397D49" w:rsidRPr="00490C53">
        <w:t xml:space="preserve">Figure </w:t>
      </w:r>
      <w:r w:rsidR="00397D49">
        <w:rPr>
          <w:noProof/>
        </w:rPr>
        <w:t>18</w:t>
      </w:r>
      <w:r w:rsidR="00E406D0">
        <w:fldChar w:fldCharType="end"/>
      </w:r>
      <w:r w:rsidR="47324356">
        <w:t>)</w:t>
      </w:r>
      <w:r w:rsidR="076AC334">
        <w:t>.</w:t>
      </w:r>
      <w:r w:rsidRPr="00490C53">
        <w:t xml:space="preserve"> </w:t>
      </w:r>
      <w:r w:rsidR="00EF54B0">
        <w:t xml:space="preserve">For these borrowers, </w:t>
      </w:r>
      <w:proofErr w:type="gramStart"/>
      <w:r w:rsidR="00EF54B0">
        <w:t>debt</w:t>
      </w:r>
      <w:proofErr w:type="gramEnd"/>
      <w:r w:rsidR="00EF54B0">
        <w:t xml:space="preserve"> and interest payments (or, if these had not yet begun, expected interest payments) may have constrained new investment and capital expenditure. </w:t>
      </w:r>
    </w:p>
    <w:p w14:paraId="45C2B327" w14:textId="7E4A1D26" w:rsidR="004E3EEC" w:rsidRPr="00490C53" w:rsidRDefault="004C3761" w:rsidP="00E406D0">
      <w:r w:rsidRPr="00490C53">
        <w:lastRenderedPageBreak/>
        <w:t>Yet, borrowers (</w:t>
      </w:r>
      <w:r w:rsidR="00543B6D" w:rsidRPr="00490C53">
        <w:t>20</w:t>
      </w:r>
      <w:r w:rsidRPr="00490C53">
        <w:t xml:space="preserve">%) were also </w:t>
      </w:r>
      <w:r w:rsidR="00543B6D" w:rsidRPr="00490C53">
        <w:t>almost</w:t>
      </w:r>
      <w:r w:rsidRPr="00490C53">
        <w:t xml:space="preserve"> twice as likely to have experienced an increase in capital expenditure since before the pandemic when compared to non-borrowers (</w:t>
      </w:r>
      <w:r w:rsidR="00543B6D" w:rsidRPr="00490C53">
        <w:t>11</w:t>
      </w:r>
      <w:r w:rsidRPr="00490C53">
        <w:t xml:space="preserve">%). </w:t>
      </w:r>
      <w:r w:rsidR="00DC36A4" w:rsidRPr="00490C53">
        <w:t>Borrowers (40%) were therefore less likely than non</w:t>
      </w:r>
      <w:bookmarkStart w:id="163" w:name="_Ref122596806"/>
      <w:r w:rsidR="00DC36A4" w:rsidRPr="00490C53">
        <w:t xml:space="preserve">-borrowers (56%) </w:t>
      </w:r>
      <w:r w:rsidR="00E775E7" w:rsidRPr="00490C53">
        <w:t>to have had their capital expenditure unaffected by the pandemic.</w:t>
      </w:r>
    </w:p>
    <w:p w14:paraId="4E8EDC6F" w14:textId="2FF0DE03" w:rsidR="003D3773" w:rsidRPr="00490C53" w:rsidRDefault="003D3773" w:rsidP="004E3EEC">
      <w:pPr>
        <w:pStyle w:val="Heading5"/>
      </w:pPr>
      <w:bookmarkStart w:id="164" w:name="_Ref126238329"/>
      <w:r w:rsidRPr="00490C53">
        <w:t xml:space="preserve">Figure </w:t>
      </w:r>
      <w:fldSimple w:instr=" SEQ Figure \* ARABIC ">
        <w:r w:rsidR="00397D49">
          <w:rPr>
            <w:noProof/>
          </w:rPr>
          <w:t>18</w:t>
        </w:r>
      </w:fldSimple>
      <w:bookmarkEnd w:id="163"/>
      <w:bookmarkEnd w:id="164"/>
      <w:r w:rsidRPr="00490C53">
        <w:t xml:space="preserve">: </w:t>
      </w:r>
      <w:bookmarkStart w:id="165" w:name="_Toc120614784"/>
      <w:r w:rsidRPr="00490C53">
        <w:t>Effect of the pandemic on capital expenditure of borrowers and non-borrowers, June 2020-January 2021</w:t>
      </w:r>
      <w:bookmarkEnd w:id="165"/>
    </w:p>
    <w:p w14:paraId="240D140B" w14:textId="2065B51F" w:rsidR="00C52C3D" w:rsidRPr="00490C53" w:rsidRDefault="00E73C6B" w:rsidP="00E73C6B">
      <w:r w:rsidRPr="00846F78">
        <w:rPr>
          <w:noProof/>
        </w:rPr>
        <w:drawing>
          <wp:inline distT="0" distB="0" distL="0" distR="0" wp14:anchorId="4B0E24DF" wp14:editId="6D5D2D61">
            <wp:extent cx="6394450" cy="2958813"/>
            <wp:effectExtent l="0" t="0" r="6350" b="0"/>
            <wp:docPr id="25" name="Picture 25" descr="23% of borrowers surveyed said their capital expenditure had stopped, 18% said their capital expenditure was lower, 40% said their capital expenditure was unaffected and 20% said their capital expenditure had increased. Among non-borrowers surveyed, 17% said their capital expenditure had stopped, 15% said their capital expenditure was lower, 56% said their capital expenditure had not been affected and 11% said their capital expenditure was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23% of borrowers surveyed said their capital expenditure had stopped, 18% said their capital expenditure was lower, 40% said their capital expenditure was unaffected and 20% said their capital expenditure had increased. Among non-borrowers surveyed, 17% said their capital expenditure had stopped, 15% said their capital expenditure was lower, 56% said their capital expenditure had not been affected and 11% said their capital expenditure was high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15476" cy="2968542"/>
                    </a:xfrm>
                    <a:prstGeom prst="rect">
                      <a:avLst/>
                    </a:prstGeom>
                    <a:noFill/>
                  </pic:spPr>
                </pic:pic>
              </a:graphicData>
            </a:graphic>
          </wp:inline>
        </w:drawing>
      </w:r>
    </w:p>
    <w:p w14:paraId="38320427" w14:textId="31F2EA08" w:rsidR="00675289" w:rsidRDefault="00C52C3D" w:rsidP="00476D3C">
      <w:pPr>
        <w:pStyle w:val="Caption"/>
      </w:pPr>
      <w:r w:rsidRPr="00490C53">
        <w:t>Note: This figure is based on the question ‘How has the coronavirus (C</w:t>
      </w:r>
      <w:r w:rsidR="00FA1A56">
        <w:t>ovid</w:t>
      </w:r>
      <w:r w:rsidRPr="00490C53">
        <w:t xml:space="preserve">-19) pandemic affected your business's capital expenditure?’. The figure shows the mean of the percentage of respondents which answered each response, taken across waves 7, 9, 11, 13, 15, 17, 19, 21 and 23, which were conducted between June 2020 and </w:t>
      </w:r>
      <w:r w:rsidR="00A71390" w:rsidRPr="00490C53">
        <w:t xml:space="preserve">February </w:t>
      </w:r>
      <w:r w:rsidRPr="00490C53">
        <w:t>2021</w:t>
      </w:r>
      <w:r w:rsidR="00A71390" w:rsidRPr="00490C53">
        <w:t xml:space="preserve"> and refer to the period between June 2020 and January 2021</w:t>
      </w:r>
      <w:r w:rsidRPr="00490C53">
        <w:t xml:space="preserve">. </w:t>
      </w:r>
      <w:r w:rsidR="004011CB" w:rsidRPr="00490C53">
        <w:t xml:space="preserve">‘Borrowers’ refers to businesses that used a government-backed loan and ‘non-borrowers’ refers to businesses that did not use a government-backed loan. </w:t>
      </w:r>
      <w:r w:rsidRPr="00490C53">
        <w:t>Respondents which answered ‘not sure’ are not included in the percentages presented</w:t>
      </w:r>
      <w:r w:rsidR="00F617AE" w:rsidRPr="00490C53">
        <w:t xml:space="preserve">. Not applicable responses, which was answered by </w:t>
      </w:r>
      <w:r w:rsidR="00543B6D" w:rsidRPr="00490C53">
        <w:t xml:space="preserve">22% </w:t>
      </w:r>
      <w:r w:rsidR="00F617AE" w:rsidRPr="00490C53">
        <w:t>of borrower</w:t>
      </w:r>
      <w:r w:rsidR="004E3EEC" w:rsidRPr="00490C53">
        <w:t>s</w:t>
      </w:r>
      <w:r w:rsidR="00F617AE" w:rsidRPr="00490C53">
        <w:t xml:space="preserve"> and </w:t>
      </w:r>
      <w:r w:rsidR="00543B6D" w:rsidRPr="00490C53">
        <w:t>35</w:t>
      </w:r>
      <w:r w:rsidR="00F617AE" w:rsidRPr="00490C53">
        <w:t>% of non-borrowers, are also excluded from the analysis</w:t>
      </w:r>
      <w:r w:rsidRPr="00490C53">
        <w:t>. Percentages may not add to 100% due to rounding. Source: London Economics’ analysis of the Business Insights and Conditions Survey (BICS)</w:t>
      </w:r>
      <w:r w:rsidR="00476D3C" w:rsidRPr="00490C53">
        <w:t>.</w:t>
      </w:r>
    </w:p>
    <w:p w14:paraId="2A98F5AA" w14:textId="4F09083A" w:rsidR="00A74EB6" w:rsidRDefault="001203CE" w:rsidP="001203CE">
      <w:r>
        <w:lastRenderedPageBreak/>
        <w:t xml:space="preserve">During 2021, </w:t>
      </w:r>
      <w:r w:rsidR="00A74EB6">
        <w:t xml:space="preserve">there was a reduction in </w:t>
      </w:r>
      <w:r>
        <w:t>the proportion of businesses whose capital expenditure was lower than normal expectations or had stopped altogether. In</w:t>
      </w:r>
      <w:r w:rsidR="00A74EB6">
        <w:t>deed, in</w:t>
      </w:r>
      <w:r>
        <w:t xml:space="preserve"> February 2021,</w:t>
      </w:r>
      <w:r>
        <w:rPr>
          <w:rStyle w:val="FootnoteReference"/>
        </w:rPr>
        <w:footnoteReference w:id="114"/>
      </w:r>
      <w:r>
        <w:t xml:space="preserve"> 31% of borrowers and 21% of non-borrowers had stopped their capital expenditure, but only 8% and 13% respectively answered in this way in December 2021. </w:t>
      </w:r>
    </w:p>
    <w:p w14:paraId="57F36B8C" w14:textId="288D7250" w:rsidR="00A74EB6" w:rsidRDefault="001203CE" w:rsidP="001203CE">
      <w:r>
        <w:t xml:space="preserve">Similarly, </w:t>
      </w:r>
      <w:r w:rsidR="00A74EB6">
        <w:t xml:space="preserve">while </w:t>
      </w:r>
      <w:r>
        <w:t xml:space="preserve">17% of borrowers and 26% of non-borrowers reported that their capital expenditure was lower in February 2021 than normal expectations for the time of year, this reduced to 8% and 19% by December 2021. </w:t>
      </w:r>
    </w:p>
    <w:p w14:paraId="55758BC4" w14:textId="15678FC4" w:rsidR="001203CE" w:rsidRPr="00BE039E" w:rsidRDefault="00A74EB6" w:rsidP="001203CE">
      <w:r>
        <w:t>At the same time</w:t>
      </w:r>
      <w:r w:rsidR="001203CE">
        <w:t xml:space="preserve">, there </w:t>
      </w:r>
      <w:r>
        <w:t xml:space="preserve">was </w:t>
      </w:r>
      <w:r w:rsidR="001203CE">
        <w:t>little change in the proportion of businesses that respond</w:t>
      </w:r>
      <w:r>
        <w:t>ed</w:t>
      </w:r>
      <w:r w:rsidR="001203CE">
        <w:t xml:space="preserve"> that their capital expenditure </w:t>
      </w:r>
      <w:r>
        <w:t>was</w:t>
      </w:r>
      <w:r w:rsidR="001203CE">
        <w:t xml:space="preserve"> higher than normal expectations throughout the period. Instead, an increasing proportion of businesses report</w:t>
      </w:r>
      <w:r>
        <w:t>ed</w:t>
      </w:r>
      <w:r w:rsidR="001203CE">
        <w:t xml:space="preserve"> that their capital expenditure </w:t>
      </w:r>
      <w:r>
        <w:t>was</w:t>
      </w:r>
      <w:r w:rsidR="001203CE">
        <w:t xml:space="preserve"> ‘not affected’, suggesting that investment </w:t>
      </w:r>
      <w:r w:rsidR="007F57A4">
        <w:t>may be</w:t>
      </w:r>
      <w:r w:rsidR="001203CE">
        <w:t xml:space="preserve"> </w:t>
      </w:r>
      <w:r w:rsidR="006106B2">
        <w:t xml:space="preserve">in the process of </w:t>
      </w:r>
      <w:r w:rsidR="001203CE">
        <w:t>revert</w:t>
      </w:r>
      <w:r w:rsidR="007F57A4">
        <w:t>ing</w:t>
      </w:r>
      <w:r w:rsidR="001203CE">
        <w:t xml:space="preserve"> to normal expected levels rather than compensating for any decrease during the pandemic.</w:t>
      </w:r>
    </w:p>
    <w:p w14:paraId="2A7154EB" w14:textId="77777777" w:rsidR="003F34CD" w:rsidRPr="005D5D23" w:rsidRDefault="003F34CD" w:rsidP="00236B73">
      <w:bookmarkStart w:id="166" w:name="_Toc120614773"/>
      <w:r w:rsidRPr="00236B73">
        <w:rPr>
          <w:color w:val="142855" w:themeColor="text2"/>
        </w:rPr>
        <w:t>Innovation</w:t>
      </w:r>
      <w:bookmarkEnd w:id="166"/>
    </w:p>
    <w:p w14:paraId="58D39090" w14:textId="7DC4ED31" w:rsidR="003F34CD" w:rsidRDefault="003F34CD" w:rsidP="003F34CD">
      <w:r w:rsidRPr="00490C53">
        <w:t>Borrowers (</w:t>
      </w:r>
      <w:r w:rsidR="00326825" w:rsidRPr="00490C53">
        <w:t>15</w:t>
      </w:r>
      <w:r w:rsidRPr="00490C53">
        <w:t>%) were more than two times as likely to have reduced their innovation due to the pandemic than non-borrowers (</w:t>
      </w:r>
      <w:r w:rsidR="00F247F1" w:rsidRPr="00490C53">
        <w:t>7</w:t>
      </w:r>
      <w:r w:rsidRPr="00490C53">
        <w:t xml:space="preserve">%) in June </w:t>
      </w:r>
      <w:r w:rsidR="00F27AB8" w:rsidRPr="00490C53">
        <w:t xml:space="preserve">and July </w:t>
      </w:r>
      <w:r w:rsidRPr="00490C53">
        <w:t>2020</w:t>
      </w:r>
      <w:r w:rsidR="006F5ADB" w:rsidRPr="00490C53">
        <w:t xml:space="preserve"> (</w:t>
      </w:r>
      <w:r w:rsidR="006B441B">
        <w:t>Figure 19</w:t>
      </w:r>
      <w:r w:rsidR="006F5ADB" w:rsidRPr="00490C53">
        <w:fldChar w:fldCharType="begin"/>
      </w:r>
      <w:r w:rsidR="006F5ADB" w:rsidRPr="00490C53">
        <w:instrText xml:space="preserve"> REF _Ref122596851 \h </w:instrText>
      </w:r>
      <w:r w:rsidR="006F5ADB" w:rsidRPr="00490C53">
        <w:fldChar w:fldCharType="end"/>
      </w:r>
      <w:r w:rsidR="006F5ADB" w:rsidRPr="00490C53">
        <w:t>)</w:t>
      </w:r>
      <w:r w:rsidRPr="00490C53">
        <w:t>.</w:t>
      </w:r>
      <w:r w:rsidR="006203E1" w:rsidRPr="00490C53">
        <w:t xml:space="preserve"> While both groups of companies were more likely to have increased their innovation than reduced it, borrowers were more likely than non-borrowers to have increased their innovation since the pandemic (</w:t>
      </w:r>
      <w:r w:rsidR="00D94576" w:rsidRPr="00490C53">
        <w:t>32</w:t>
      </w:r>
      <w:r w:rsidR="006203E1" w:rsidRPr="00490C53">
        <w:t xml:space="preserve">% compared to </w:t>
      </w:r>
      <w:r w:rsidR="00D94576" w:rsidRPr="00490C53">
        <w:t>29</w:t>
      </w:r>
      <w:r w:rsidR="006203E1" w:rsidRPr="00490C53">
        <w:t>%)</w:t>
      </w:r>
      <w:r w:rsidRPr="00490C53">
        <w:t>. Similarly, the Year 1 quantitative survey found that borrowers were more likely than non-borrowers to be ‘trading in new goods, services, and/or markets’ during the pandemic.</w:t>
      </w:r>
    </w:p>
    <w:p w14:paraId="746E7EA1" w14:textId="5133CB5F" w:rsidR="00341AE5" w:rsidRPr="00490C53" w:rsidRDefault="00341AE5" w:rsidP="00236B73">
      <w:pPr>
        <w:pStyle w:val="Heading5"/>
      </w:pPr>
      <w:r w:rsidRPr="00490C53">
        <w:lastRenderedPageBreak/>
        <w:t xml:space="preserve">Figure </w:t>
      </w:r>
      <w:fldSimple w:instr=" SEQ Figure \* ARABIC ">
        <w:r w:rsidR="00397D49">
          <w:rPr>
            <w:noProof/>
          </w:rPr>
          <w:t>19</w:t>
        </w:r>
      </w:fldSimple>
      <w:r w:rsidRPr="00490C53">
        <w:t xml:space="preserve">: Effect of the pandemic on </w:t>
      </w:r>
      <w:r>
        <w:t>innovation of borrowers and non-borrowers (June and July 2020)</w:t>
      </w:r>
    </w:p>
    <w:p w14:paraId="1071ADEF" w14:textId="7F64EA3A" w:rsidR="00B7749F" w:rsidRPr="00490C53" w:rsidRDefault="00B70B05" w:rsidP="000F71FE">
      <w:pPr>
        <w:jc w:val="center"/>
      </w:pPr>
      <w:r w:rsidRPr="00846F78">
        <w:rPr>
          <w:noProof/>
        </w:rPr>
        <w:drawing>
          <wp:inline distT="0" distB="0" distL="0" distR="0" wp14:anchorId="7C0AC91C" wp14:editId="7B35194D">
            <wp:extent cx="6172623" cy="2472659"/>
            <wp:effectExtent l="0" t="0" r="0" b="4445"/>
            <wp:docPr id="5" name="Picture 5" descr="Among borrowers surveyed, 15% said they were less innovative as a result of the pandemic, 52% said their level of innovation was unchanged and 32% said they were more innovative. Among non-borrowers surveyed, 7% said they were less innovative as a result of the pandemic, 63% said there was no change in their level of innovation and 29% said they were more innovative as a result of the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mong borrowers surveyed, 15% said they were less innovative as a result of the pandemic, 52% said their level of innovation was unchanged and 32% said they were more innovative. Among non-borrowers surveyed, 7% said they were less innovative as a result of the pandemic, 63% said there was no change in their level of innovation and 29% said they were more innovative as a result of the pandemic.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7160" cy="2478482"/>
                    </a:xfrm>
                    <a:prstGeom prst="rect">
                      <a:avLst/>
                    </a:prstGeom>
                    <a:noFill/>
                  </pic:spPr>
                </pic:pic>
              </a:graphicData>
            </a:graphic>
          </wp:inline>
        </w:drawing>
      </w:r>
    </w:p>
    <w:p w14:paraId="177B90AB" w14:textId="5CAD03BE" w:rsidR="00D446CC" w:rsidRPr="00490C53" w:rsidRDefault="00D446CC" w:rsidP="000F71FE">
      <w:pPr>
        <w:pStyle w:val="Caption"/>
      </w:pPr>
      <w:r w:rsidRPr="00490C53">
        <w:t>Note: This figure is based on the question ‘How has your business</w:t>
      </w:r>
      <w:r w:rsidR="006F5ADB" w:rsidRPr="00490C53">
        <w:t>’</w:t>
      </w:r>
      <w:r w:rsidRPr="00490C53">
        <w:t>s level of innovation been affected by the coronavirus (C</w:t>
      </w:r>
      <w:r w:rsidR="00FA1A56">
        <w:t>ovid</w:t>
      </w:r>
      <w:r w:rsidRPr="00490C53">
        <w:t xml:space="preserve">-19) pandemic?’. The </w:t>
      </w:r>
      <w:r w:rsidR="00B70B05" w:rsidRPr="00490C53">
        <w:t>figure</w:t>
      </w:r>
      <w:r w:rsidRPr="00490C53">
        <w:t xml:space="preserve"> show</w:t>
      </w:r>
      <w:r w:rsidR="00B70B05" w:rsidRPr="00490C53">
        <w:t>s</w:t>
      </w:r>
      <w:r w:rsidRPr="00490C53">
        <w:t xml:space="preserve"> the mean of the percentage of respondents which answered each response, taken across waves 8 and 9</w:t>
      </w:r>
      <w:r w:rsidR="00D22162" w:rsidRPr="00490C53">
        <w:t>, which were conducted between and refer to the period between June</w:t>
      </w:r>
      <w:r w:rsidR="002C1870" w:rsidRPr="00490C53">
        <w:t xml:space="preserve"> and July </w:t>
      </w:r>
      <w:r w:rsidR="00D22162" w:rsidRPr="00490C53">
        <w:t>2020</w:t>
      </w:r>
      <w:r w:rsidRPr="00490C53">
        <w:t xml:space="preserve">. </w:t>
      </w:r>
      <w:r w:rsidR="004011CB" w:rsidRPr="00490C53">
        <w:t xml:space="preserve">‘Borrowers’ refers to businesses that used a government-backed loan and ‘non-borrowers’ refers to businesses that did not use a government-backed loan. </w:t>
      </w:r>
      <w:r w:rsidRPr="00490C53">
        <w:t xml:space="preserve">Respondents which answered ‘not sure’ are not included in the percentages presented. </w:t>
      </w:r>
      <w:r w:rsidR="00315612" w:rsidRPr="00490C53">
        <w:t xml:space="preserve">Not applicable responses, which was answered by </w:t>
      </w:r>
      <w:r w:rsidR="002D26C4" w:rsidRPr="00490C53">
        <w:t>31</w:t>
      </w:r>
      <w:r w:rsidR="00315612" w:rsidRPr="00490C53">
        <w:t xml:space="preserve">% of borrowers and </w:t>
      </w:r>
      <w:r w:rsidR="002D26C4" w:rsidRPr="00490C53">
        <w:t>4</w:t>
      </w:r>
      <w:r w:rsidR="00315612" w:rsidRPr="00490C53">
        <w:t xml:space="preserve">5% of non-borrowers, are also excluded from the analysis. </w:t>
      </w:r>
      <w:r w:rsidRPr="00490C53">
        <w:t>Percentages may not add to 100% due to rounding. Source: London Economics’ analysis of the Business Insights and Conditions Survey (BICS)</w:t>
      </w:r>
      <w:r w:rsidR="000F71FE" w:rsidRPr="00490C53">
        <w:t>.</w:t>
      </w:r>
      <w:r w:rsidR="00C4108B">
        <w:t xml:space="preserve">  </w:t>
      </w:r>
    </w:p>
    <w:p w14:paraId="5ED660A2" w14:textId="77777777" w:rsidR="00E50968" w:rsidRPr="005D5D23" w:rsidRDefault="00E50968" w:rsidP="00236B73">
      <w:bookmarkStart w:id="167" w:name="_Toc120614774"/>
      <w:r w:rsidRPr="00236B73">
        <w:rPr>
          <w:color w:val="142855" w:themeColor="text2"/>
        </w:rPr>
        <w:t>Workforce</w:t>
      </w:r>
      <w:bookmarkEnd w:id="167"/>
    </w:p>
    <w:p w14:paraId="38C7750C" w14:textId="38CA256B" w:rsidR="00DB3171" w:rsidRPr="00490C53" w:rsidRDefault="00DB3171" w:rsidP="00DB3171">
      <w:proofErr w:type="gramStart"/>
      <w:r w:rsidRPr="00490C53">
        <w:t>The vast majority of</w:t>
      </w:r>
      <w:proofErr w:type="gramEnd"/>
      <w:r w:rsidRPr="00490C53">
        <w:t xml:space="preserve"> companies (between 91% and 93%) reported that their workforce could meet the demands of the business between March and May 2020</w:t>
      </w:r>
      <w:r w:rsidR="006F5ADB" w:rsidRPr="00490C53">
        <w:t xml:space="preserve"> (</w:t>
      </w:r>
      <w:r w:rsidR="006F5ADB" w:rsidRPr="00490C53">
        <w:fldChar w:fldCharType="begin"/>
      </w:r>
      <w:r w:rsidR="006F5ADB" w:rsidRPr="00490C53">
        <w:instrText xml:space="preserve"> REF _Ref122596877 \h </w:instrText>
      </w:r>
      <w:r w:rsidR="006F5ADB" w:rsidRPr="00490C53">
        <w:fldChar w:fldCharType="separate"/>
      </w:r>
      <w:r w:rsidR="00397D49" w:rsidRPr="00490C53">
        <w:t xml:space="preserve">Figure </w:t>
      </w:r>
      <w:r w:rsidR="00397D49">
        <w:rPr>
          <w:noProof/>
        </w:rPr>
        <w:t>20</w:t>
      </w:r>
      <w:r w:rsidR="006F5ADB" w:rsidRPr="00490C53">
        <w:fldChar w:fldCharType="end"/>
      </w:r>
      <w:r w:rsidR="006F5ADB" w:rsidRPr="00490C53">
        <w:t>)</w:t>
      </w:r>
      <w:r w:rsidRPr="00490C53">
        <w:t>.</w:t>
      </w:r>
      <w:r w:rsidR="00280C0C">
        <w:t xml:space="preserve"> </w:t>
      </w:r>
      <w:r w:rsidR="00BF46B6">
        <w:t>Business surveys indicate that the capacity used by firms at this time was below average</w:t>
      </w:r>
      <w:r w:rsidR="00280C0C">
        <w:t>,</w:t>
      </w:r>
      <w:r w:rsidR="00280C0C">
        <w:rPr>
          <w:rStyle w:val="FootnoteReference"/>
        </w:rPr>
        <w:footnoteReference w:id="115"/>
      </w:r>
      <w:r w:rsidR="00280C0C">
        <w:t xml:space="preserve"> </w:t>
      </w:r>
      <w:r w:rsidR="00BF46B6">
        <w:t xml:space="preserve">which may have </w:t>
      </w:r>
      <w:r w:rsidR="00280C0C">
        <w:t>mean</w:t>
      </w:r>
      <w:r w:rsidR="00BF46B6">
        <w:t>t</w:t>
      </w:r>
      <w:r w:rsidR="00280C0C">
        <w:t xml:space="preserve"> that</w:t>
      </w:r>
      <w:r w:rsidR="00D54DAE">
        <w:t xml:space="preserve"> the workforce</w:t>
      </w:r>
      <w:r w:rsidR="00280C0C">
        <w:t xml:space="preserve"> </w:t>
      </w:r>
      <w:proofErr w:type="gramStart"/>
      <w:r w:rsidR="00280C0C">
        <w:t>were</w:t>
      </w:r>
      <w:proofErr w:type="gramEnd"/>
      <w:r w:rsidR="00280C0C">
        <w:t xml:space="preserve"> more likely to be able to meet demands </w:t>
      </w:r>
      <w:r w:rsidR="00D54DAE">
        <w:t xml:space="preserve">of businesses </w:t>
      </w:r>
      <w:r w:rsidR="00280C0C">
        <w:t>even if they had to adjust their working practices.</w:t>
      </w:r>
      <w:r w:rsidRPr="00490C53">
        <w:t xml:space="preserve"> Looking at May 2020 only, 94% of both borrowers and non-borrowers suggested that their workforce could meet the demands of the </w:t>
      </w:r>
      <w:r w:rsidRPr="00490C53">
        <w:lastRenderedPageBreak/>
        <w:t>business.</w:t>
      </w:r>
      <w:r w:rsidR="000A4C78">
        <w:t xml:space="preserve"> </w:t>
      </w:r>
      <w:r w:rsidR="00280C0C">
        <w:t xml:space="preserve">Similarly, the Year 1 report found that a relatively small proportion of borrowers </w:t>
      </w:r>
      <w:r w:rsidR="001A6F09">
        <w:t xml:space="preserve">(approximately one tenth) </w:t>
      </w:r>
      <w:r w:rsidR="00280C0C">
        <w:t xml:space="preserve">used their loans to </w:t>
      </w:r>
      <w:r w:rsidR="000A4C78" w:rsidRPr="000A4C78">
        <w:t>make "other adjustments to working practices (</w:t>
      </w:r>
      <w:r w:rsidR="00994BE7">
        <w:t xml:space="preserve">for example </w:t>
      </w:r>
      <w:r w:rsidR="000A4C78" w:rsidRPr="000A4C78">
        <w:t>ensure workplace is Covid-19 safe)"</w:t>
      </w:r>
      <w:r w:rsidR="000A4C78">
        <w:t>, suggesting that borrowers and non-borrowers were similarly equipped to manage Covid-19 requirements.</w:t>
      </w:r>
    </w:p>
    <w:p w14:paraId="216940FA" w14:textId="1147F21A" w:rsidR="003D3773" w:rsidRPr="00490C53" w:rsidRDefault="003D3773" w:rsidP="003D3773">
      <w:pPr>
        <w:pStyle w:val="Heading5"/>
      </w:pPr>
      <w:bookmarkStart w:id="168" w:name="_Ref122596877"/>
      <w:r w:rsidRPr="00490C53">
        <w:t xml:space="preserve">Figure </w:t>
      </w:r>
      <w:fldSimple w:instr=" SEQ Figure \* ARABIC ">
        <w:r w:rsidR="00397D49">
          <w:rPr>
            <w:noProof/>
          </w:rPr>
          <w:t>20</w:t>
        </w:r>
      </w:fldSimple>
      <w:bookmarkEnd w:id="168"/>
      <w:r w:rsidRPr="00490C53">
        <w:t xml:space="preserve">: </w:t>
      </w:r>
      <w:bookmarkStart w:id="169" w:name="_Ref120288768"/>
      <w:bookmarkStart w:id="170" w:name="_Toc120614786"/>
      <w:r w:rsidRPr="00490C53">
        <w:t>Percentage of businesses reporting that their workforce was able to meet the demands of the business for all firms (March-</w:t>
      </w:r>
      <w:r w:rsidR="00434C1F" w:rsidRPr="00490C53">
        <w:t>May</w:t>
      </w:r>
      <w:r w:rsidRPr="00490C53">
        <w:t xml:space="preserve"> 2020), borrowers and non-borrowers (May 2020</w:t>
      </w:r>
      <w:bookmarkEnd w:id="169"/>
      <w:bookmarkEnd w:id="170"/>
      <w:r w:rsidRPr="00490C53">
        <w:t>)</w:t>
      </w:r>
    </w:p>
    <w:p w14:paraId="3B486AB8" w14:textId="0D646B91" w:rsidR="00854670" w:rsidRPr="00490C53" w:rsidRDefault="00C70EE6" w:rsidP="000F71FE">
      <w:pPr>
        <w:jc w:val="center"/>
      </w:pPr>
      <w:r>
        <w:rPr>
          <w:noProof/>
        </w:rPr>
        <w:drawing>
          <wp:inline distT="0" distB="0" distL="0" distR="0" wp14:anchorId="67980A62" wp14:editId="35622460">
            <wp:extent cx="6084570" cy="2987469"/>
            <wp:effectExtent l="0" t="0" r="0" b="3810"/>
            <wp:docPr id="65345763" name="Picture 65345763" descr="The percentage of businesses reporting that their workforce was able to meet the demands of the business rose from 91% in March 2020 to 94% in May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5763" name="Picture 65345763" descr="The percentage of businesses reporting that their workforce was able to meet the demands of the business rose from 91% in March 2020 to 94% in May 2020. "/>
                    <pic:cNvPicPr>
                      <a:picLocks noChangeAspect="1" noChangeArrowheads="1"/>
                    </pic:cNvPicPr>
                  </pic:nvPicPr>
                  <pic:blipFill rotWithShape="1">
                    <a:blip r:embed="rId57">
                      <a:extLst>
                        <a:ext uri="{28A0092B-C50C-407E-A947-70E740481C1C}">
                          <a14:useLocalDpi xmlns:a14="http://schemas.microsoft.com/office/drawing/2010/main" val="0"/>
                        </a:ext>
                      </a:extLst>
                    </a:blip>
                    <a:srcRect t="7022"/>
                    <a:stretch/>
                  </pic:blipFill>
                  <pic:spPr bwMode="auto">
                    <a:xfrm>
                      <a:off x="0" y="0"/>
                      <a:ext cx="6084570" cy="2987469"/>
                    </a:xfrm>
                    <a:prstGeom prst="rect">
                      <a:avLst/>
                    </a:prstGeom>
                    <a:noFill/>
                    <a:ln>
                      <a:noFill/>
                    </a:ln>
                    <a:extLst>
                      <a:ext uri="{53640926-AAD7-44D8-BBD7-CCE9431645EC}">
                        <a14:shadowObscured xmlns:a14="http://schemas.microsoft.com/office/drawing/2010/main"/>
                      </a:ext>
                    </a:extLst>
                  </pic:spPr>
                </pic:pic>
              </a:graphicData>
            </a:graphic>
          </wp:inline>
        </w:drawing>
      </w:r>
    </w:p>
    <w:p w14:paraId="09E05196" w14:textId="2C81AA8C" w:rsidR="00AA4EC7" w:rsidRPr="00490C53" w:rsidRDefault="00AA4EC7" w:rsidP="000F71FE">
      <w:pPr>
        <w:pStyle w:val="Caption"/>
      </w:pPr>
      <w:bookmarkStart w:id="171" w:name="_Hlk122520025"/>
      <w:r w:rsidRPr="00490C53">
        <w:t xml:space="preserve">Note: This figure is based on the question ‘Was your business's workforce able to meet the demands of the business in the last two weeks?’, showing the percentage of respondents which answered ‘Yes, the workforce could meet the business’s demands’. In the waves </w:t>
      </w:r>
      <w:r w:rsidR="007F534F" w:rsidRPr="00490C53">
        <w:t xml:space="preserve">that refer to the period </w:t>
      </w:r>
      <w:r w:rsidRPr="00490C53">
        <w:t>between March-</w:t>
      </w:r>
      <w:r w:rsidR="00865C5F" w:rsidRPr="00490C53">
        <w:t xml:space="preserve">May </w:t>
      </w:r>
      <w:r w:rsidRPr="00490C53">
        <w:t>2020 (waves 1-4</w:t>
      </w:r>
      <w:r w:rsidR="00865C5F" w:rsidRPr="00490C53">
        <w:t>, also conducted between March and May 2020</w:t>
      </w:r>
      <w:r w:rsidRPr="00490C53">
        <w:t xml:space="preserve">), responses could not be broken down by </w:t>
      </w:r>
      <w:r w:rsidR="00D800FF" w:rsidRPr="00490C53">
        <w:t>borrower</w:t>
      </w:r>
      <w:r w:rsidRPr="00490C53">
        <w:t xml:space="preserve"> status, so the percentage for all businesses is shown. In the wave </w:t>
      </w:r>
      <w:r w:rsidR="00865C5F" w:rsidRPr="00490C53">
        <w:t>referring to</w:t>
      </w:r>
      <w:r w:rsidRPr="00490C53">
        <w:t xml:space="preserve"> May 2020 (Wave 5</w:t>
      </w:r>
      <w:r w:rsidR="00865C5F" w:rsidRPr="00490C53">
        <w:t>, also conducted in May 2020</w:t>
      </w:r>
      <w:r w:rsidRPr="00490C53">
        <w:t xml:space="preserve">), the question regarding the use of government-backed loans is asked, so borrowers and non-borrowers can be broken down. </w:t>
      </w:r>
      <w:r w:rsidR="00030F3E" w:rsidRPr="00490C53">
        <w:t xml:space="preserve">‘Borrowers’ refers to businesses that used a government-backed loan and ‘non-borrowers’ refers to businesses that did not use a government-backed loan. </w:t>
      </w:r>
      <w:r w:rsidRPr="00490C53">
        <w:t>Percentages in this figure are unweighted, as weights are not available in the BICS until Wave 7.</w:t>
      </w:r>
      <w:r w:rsidR="0079208E" w:rsidRPr="0079208E">
        <w:t xml:space="preserve"> Bars with the same percentage can be different heights due to rounding.</w:t>
      </w:r>
      <w:r w:rsidRPr="00490C53">
        <w:t xml:space="preserve"> Source: London Economics’ analysis of the Business Insights and Conditions Survey (BICS)</w:t>
      </w:r>
      <w:bookmarkEnd w:id="171"/>
      <w:r w:rsidR="000F71FE" w:rsidRPr="00490C53">
        <w:t>.</w:t>
      </w:r>
    </w:p>
    <w:p w14:paraId="1A21CDEB" w14:textId="77777777" w:rsidR="00E216A5" w:rsidRPr="005D5D23" w:rsidRDefault="00E216A5" w:rsidP="00236B73">
      <w:bookmarkStart w:id="172" w:name="_Toc120614775"/>
      <w:r w:rsidRPr="00236B73">
        <w:rPr>
          <w:color w:val="142855" w:themeColor="text2"/>
        </w:rPr>
        <w:lastRenderedPageBreak/>
        <w:t>Footfall</w:t>
      </w:r>
      <w:bookmarkEnd w:id="172"/>
    </w:p>
    <w:p w14:paraId="1DE56CB1" w14:textId="5EC7CE0A" w:rsidR="00E216A5" w:rsidRPr="00490C53" w:rsidRDefault="00C41C94" w:rsidP="00E216A5">
      <w:bookmarkStart w:id="173" w:name="_Hlk122520065"/>
      <w:r w:rsidRPr="00490C53">
        <w:t>Over two thirds</w:t>
      </w:r>
      <w:r w:rsidR="00E216A5" w:rsidRPr="00490C53">
        <w:t xml:space="preserve"> (</w:t>
      </w:r>
      <w:r w:rsidRPr="00490C53">
        <w:t>67</w:t>
      </w:r>
      <w:r w:rsidR="00E216A5" w:rsidRPr="00490C53">
        <w:t xml:space="preserve">%) of borrowers experienced a decrease in footfall due to the pandemic, compared to </w:t>
      </w:r>
      <w:r w:rsidRPr="00490C53">
        <w:t>6</w:t>
      </w:r>
      <w:r w:rsidR="00E216A5" w:rsidRPr="00490C53">
        <w:t>3% of non-borrowers</w:t>
      </w:r>
      <w:r w:rsidR="006F5ADB" w:rsidRPr="00490C53">
        <w:t xml:space="preserve"> (</w:t>
      </w:r>
      <w:r w:rsidR="006F5ADB" w:rsidRPr="00490C53">
        <w:fldChar w:fldCharType="begin"/>
      </w:r>
      <w:r w:rsidR="006F5ADB" w:rsidRPr="00490C53">
        <w:instrText xml:space="preserve"> REF _Ref122596895 \h </w:instrText>
      </w:r>
      <w:r w:rsidR="006F5ADB" w:rsidRPr="00490C53">
        <w:fldChar w:fldCharType="separate"/>
      </w:r>
      <w:r w:rsidR="00397D49" w:rsidRPr="00490C53">
        <w:t xml:space="preserve">Figure </w:t>
      </w:r>
      <w:r w:rsidR="00397D49">
        <w:rPr>
          <w:noProof/>
        </w:rPr>
        <w:t>21</w:t>
      </w:r>
      <w:r w:rsidR="006F5ADB" w:rsidRPr="00490C53">
        <w:fldChar w:fldCharType="end"/>
      </w:r>
      <w:r w:rsidR="006F5ADB" w:rsidRPr="00490C53">
        <w:t>)</w:t>
      </w:r>
      <w:r w:rsidR="00E216A5" w:rsidRPr="00490C53">
        <w:t xml:space="preserve">. Borrowers were also </w:t>
      </w:r>
      <w:r w:rsidR="007F34E0" w:rsidRPr="00490C53">
        <w:t xml:space="preserve">slightly </w:t>
      </w:r>
      <w:r w:rsidR="00E216A5" w:rsidRPr="00490C53">
        <w:t>more likely to see an increase in footfall (</w:t>
      </w:r>
      <w:r w:rsidR="007F34E0" w:rsidRPr="00490C53">
        <w:t>7</w:t>
      </w:r>
      <w:r w:rsidR="00E216A5" w:rsidRPr="00490C53">
        <w:t xml:space="preserve">% and </w:t>
      </w:r>
      <w:r w:rsidR="007F34E0" w:rsidRPr="00490C53">
        <w:t>6</w:t>
      </w:r>
      <w:r w:rsidR="00E216A5" w:rsidRPr="00490C53">
        <w:t xml:space="preserve">%), </w:t>
      </w:r>
      <w:r w:rsidR="007F34E0" w:rsidRPr="00490C53">
        <w:t>meaning therefore that borrowers (25%) were less likely than non-borrowers (31%) to experience no change in footfall due to the pandemic</w:t>
      </w:r>
      <w:r w:rsidR="00E216A5" w:rsidRPr="00490C53">
        <w:t xml:space="preserve">. </w:t>
      </w:r>
    </w:p>
    <w:p w14:paraId="63602804" w14:textId="32382B94" w:rsidR="00E216A5" w:rsidRPr="00490C53" w:rsidRDefault="003D3773" w:rsidP="00636152">
      <w:pPr>
        <w:pStyle w:val="Heading5"/>
      </w:pPr>
      <w:bookmarkStart w:id="174" w:name="_Ref122596895"/>
      <w:bookmarkStart w:id="175" w:name="_Ref119491804"/>
      <w:bookmarkStart w:id="176" w:name="_Toc120614787"/>
      <w:bookmarkStart w:id="177" w:name="_Hlk122520077"/>
      <w:bookmarkEnd w:id="173"/>
      <w:r w:rsidRPr="00490C53">
        <w:t xml:space="preserve">Figure </w:t>
      </w:r>
      <w:r>
        <w:fldChar w:fldCharType="begin"/>
      </w:r>
      <w:r>
        <w:instrText>SEQ Figure \* ARABIC</w:instrText>
      </w:r>
      <w:r>
        <w:fldChar w:fldCharType="separate"/>
      </w:r>
      <w:r w:rsidR="00397D49">
        <w:rPr>
          <w:noProof/>
        </w:rPr>
        <w:t>21</w:t>
      </w:r>
      <w:r>
        <w:fldChar w:fldCharType="end"/>
      </w:r>
      <w:bookmarkEnd w:id="174"/>
      <w:r w:rsidRPr="00490C53">
        <w:t xml:space="preserve">: </w:t>
      </w:r>
      <w:r w:rsidR="00EB7994" w:rsidRPr="00490C53">
        <w:t>Effect of the pandemic on footfall of borrowers and non-borrowers compared to normal expectations for the time of year, July-</w:t>
      </w:r>
      <w:r w:rsidR="009A701E" w:rsidRPr="00490C53">
        <w:t xml:space="preserve">October </w:t>
      </w:r>
      <w:r w:rsidR="00EB7994" w:rsidRPr="00490C53">
        <w:t>2020</w:t>
      </w:r>
      <w:bookmarkEnd w:id="175"/>
      <w:bookmarkEnd w:id="176"/>
      <w:bookmarkEnd w:id="177"/>
    </w:p>
    <w:p w14:paraId="6F5F1C76" w14:textId="37B771A7" w:rsidR="001237C2" w:rsidRPr="00490C53" w:rsidRDefault="006B4A0C" w:rsidP="00636152">
      <w:pPr>
        <w:jc w:val="center"/>
      </w:pPr>
      <w:r w:rsidRPr="00846F78">
        <w:rPr>
          <w:noProof/>
        </w:rPr>
        <w:drawing>
          <wp:inline distT="0" distB="0" distL="0" distR="0" wp14:anchorId="20ED6B9F" wp14:editId="4A12D15C">
            <wp:extent cx="6495415" cy="2782965"/>
            <wp:effectExtent l="0" t="0" r="635" b="0"/>
            <wp:docPr id="28" name="Picture 28" descr="67% of borrowers surveyed experienced a decrease in footfall, with 25% experiencing no change and 7% experiencing increased footfall. 63% of non-borrowers surveyed experienced a decrease in footfall, with 31% experiencing no change and 6% experiencing increased foot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67% of borrowers surveyed experienced a decrease in footfall, with 25% experiencing no change and 7% experiencing increased footfall. 63% of non-borrowers surveyed experienced a decrease in footfall, with 31% experiencing no change and 6% experiencing increased footfall.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08340" cy="2788503"/>
                    </a:xfrm>
                    <a:prstGeom prst="rect">
                      <a:avLst/>
                    </a:prstGeom>
                    <a:noFill/>
                  </pic:spPr>
                </pic:pic>
              </a:graphicData>
            </a:graphic>
          </wp:inline>
        </w:drawing>
      </w:r>
    </w:p>
    <w:p w14:paraId="6E170E22" w14:textId="63DAEE57" w:rsidR="000E2139" w:rsidRPr="00490C53" w:rsidRDefault="000E2139" w:rsidP="00636152">
      <w:pPr>
        <w:pStyle w:val="Caption"/>
      </w:pPr>
      <w:bookmarkStart w:id="178" w:name="_Hlk122520088"/>
      <w:r w:rsidRPr="00490C53">
        <w:t>Note: This figure is based on the question ‘In the last two weeks, how has the coronavirus (C</w:t>
      </w:r>
      <w:r w:rsidR="00FA1A56">
        <w:t>ovid</w:t>
      </w:r>
      <w:r w:rsidRPr="00490C53">
        <w:t>-19) pandemic affected your business's footfall, compared with normal expectations for this time of year?’. The figure shows the mean of the percentage of respondents which answered each response, taken across waves 11, 12, 13 and 15</w:t>
      </w:r>
      <w:r w:rsidR="009A701E" w:rsidRPr="00490C53">
        <w:t xml:space="preserve">, which were conducted between </w:t>
      </w:r>
      <w:r w:rsidR="00503984" w:rsidRPr="00490C53">
        <w:t>August and October</w:t>
      </w:r>
      <w:r w:rsidR="009A701E" w:rsidRPr="00490C53">
        <w:t xml:space="preserve"> 2020 and refer to the period between </w:t>
      </w:r>
      <w:r w:rsidR="00503984" w:rsidRPr="00490C53">
        <w:t>July and October</w:t>
      </w:r>
      <w:r w:rsidR="009A701E" w:rsidRPr="00490C53">
        <w:t xml:space="preserve"> 2020</w:t>
      </w:r>
      <w:r w:rsidR="00503984" w:rsidRPr="00490C53">
        <w:t>.</w:t>
      </w:r>
      <w:r w:rsidRPr="00490C53">
        <w:t xml:space="preserve"> </w:t>
      </w:r>
      <w:r w:rsidR="00030F3E" w:rsidRPr="00490C53">
        <w:t xml:space="preserve">‘Borrowers’ refers to businesses that used a government-backed loan and ‘non-borrowers’ refers to businesses that did not use a government-backed loan. </w:t>
      </w:r>
      <w:r w:rsidR="007F1CDE" w:rsidRPr="00490C53">
        <w:t xml:space="preserve">Respondents which answered ‘not sure’ are not included in the percentages presented. </w:t>
      </w:r>
      <w:r w:rsidR="00073FEF" w:rsidRPr="00490C53">
        <w:t xml:space="preserve">Not applicable responses, which was answered by </w:t>
      </w:r>
      <w:r w:rsidR="00BD79C7" w:rsidRPr="00490C53">
        <w:t>44</w:t>
      </w:r>
      <w:r w:rsidR="00073FEF" w:rsidRPr="00490C53">
        <w:t xml:space="preserve">% of borrowers and </w:t>
      </w:r>
      <w:r w:rsidR="00BD79C7" w:rsidRPr="00490C53">
        <w:t>60</w:t>
      </w:r>
      <w:r w:rsidR="00073FEF" w:rsidRPr="00490C53">
        <w:t xml:space="preserve">% of non-borrowers, are also excluded from the analysis. </w:t>
      </w:r>
      <w:r w:rsidRPr="00490C53">
        <w:t>Percentages may not add to 100% due to rounding. Source: London Economics’ analysis of the Business Insights and Conditions Survey (BICS)</w:t>
      </w:r>
      <w:bookmarkEnd w:id="178"/>
      <w:r w:rsidR="00636152" w:rsidRPr="00490C53">
        <w:t>.</w:t>
      </w:r>
    </w:p>
    <w:p w14:paraId="6B335D4C" w14:textId="3829E1B4" w:rsidR="00E55E5F" w:rsidRPr="00490C53" w:rsidRDefault="00E55E5F" w:rsidP="00236B73">
      <w:bookmarkStart w:id="179" w:name="_Toc120614776"/>
      <w:bookmarkStart w:id="180" w:name="_Hlk122520124"/>
      <w:r w:rsidRPr="00236B73">
        <w:rPr>
          <w:color w:val="142855" w:themeColor="text2"/>
        </w:rPr>
        <w:t>Accessing Goods</w:t>
      </w:r>
      <w:r w:rsidR="009D6BA1" w:rsidRPr="00236B73">
        <w:rPr>
          <w:color w:val="142855" w:themeColor="text2"/>
        </w:rPr>
        <w:t xml:space="preserve">, </w:t>
      </w:r>
      <w:r w:rsidRPr="00236B73">
        <w:rPr>
          <w:color w:val="142855" w:themeColor="text2"/>
        </w:rPr>
        <w:t>Materials</w:t>
      </w:r>
      <w:bookmarkEnd w:id="179"/>
      <w:r w:rsidR="00FA1A56" w:rsidRPr="00236B73">
        <w:rPr>
          <w:color w:val="142855" w:themeColor="text2"/>
        </w:rPr>
        <w:t>,</w:t>
      </w:r>
      <w:r w:rsidR="009D6BA1" w:rsidRPr="00236B73">
        <w:rPr>
          <w:color w:val="142855" w:themeColor="text2"/>
        </w:rPr>
        <w:t xml:space="preserve"> and Services</w:t>
      </w:r>
    </w:p>
    <w:bookmarkEnd w:id="180"/>
    <w:p w14:paraId="2C8F0CE5" w14:textId="314A4C57" w:rsidR="00E55E5F" w:rsidRPr="00490C53" w:rsidRDefault="00E55E5F" w:rsidP="00E55E5F">
      <w:r w:rsidRPr="00490C53">
        <w:lastRenderedPageBreak/>
        <w:t>With regards to businesses’ ability to access goods</w:t>
      </w:r>
      <w:r w:rsidR="009D6BA1" w:rsidRPr="00490C53">
        <w:t>,</w:t>
      </w:r>
      <w:r w:rsidRPr="00490C53">
        <w:t xml:space="preserve"> materials</w:t>
      </w:r>
      <w:r w:rsidR="00FA1A56">
        <w:t>,</w:t>
      </w:r>
      <w:r w:rsidRPr="00490C53">
        <w:t xml:space="preserve"> </w:t>
      </w:r>
      <w:r w:rsidR="009D6BA1" w:rsidRPr="00490C53">
        <w:t xml:space="preserve">and services </w:t>
      </w:r>
      <w:r w:rsidRPr="00490C53">
        <w:t>from within the UK, the most frequent response for borrowers (</w:t>
      </w:r>
      <w:r w:rsidR="008D0368" w:rsidRPr="00490C53">
        <w:t>68</w:t>
      </w:r>
      <w:r w:rsidRPr="00490C53">
        <w:t>%) and non-borrowers (</w:t>
      </w:r>
      <w:r w:rsidR="008D0368" w:rsidRPr="00490C53">
        <w:t>7</w:t>
      </w:r>
      <w:r w:rsidRPr="00490C53">
        <w:t>5%) was that they could access them without having to change supplier</w:t>
      </w:r>
      <w:r w:rsidR="00366652" w:rsidRPr="00490C53">
        <w:t xml:space="preserve"> (</w:t>
      </w:r>
      <w:r w:rsidR="00366652" w:rsidRPr="00490C53">
        <w:fldChar w:fldCharType="begin"/>
      </w:r>
      <w:r w:rsidR="00366652" w:rsidRPr="00490C53">
        <w:instrText xml:space="preserve"> REF _Ref122596917 \h </w:instrText>
      </w:r>
      <w:r w:rsidR="00366652" w:rsidRPr="00490C53">
        <w:fldChar w:fldCharType="separate"/>
      </w:r>
      <w:r w:rsidR="00397D49" w:rsidRPr="00490C53">
        <w:t xml:space="preserve">Figure </w:t>
      </w:r>
      <w:r w:rsidR="00397D49">
        <w:rPr>
          <w:noProof/>
        </w:rPr>
        <w:t>22</w:t>
      </w:r>
      <w:r w:rsidR="00366652" w:rsidRPr="00490C53">
        <w:fldChar w:fldCharType="end"/>
      </w:r>
      <w:r w:rsidR="00366652" w:rsidRPr="00490C53">
        <w:t>)</w:t>
      </w:r>
      <w:r w:rsidRPr="00490C53">
        <w:t>. A</w:t>
      </w:r>
      <w:r w:rsidR="007B4692" w:rsidRPr="00490C53">
        <w:t>lmost a third</w:t>
      </w:r>
      <w:r w:rsidRPr="00490C53">
        <w:t xml:space="preserve"> of borrowers had issues with accessing goods</w:t>
      </w:r>
      <w:r w:rsidR="009D6BA1" w:rsidRPr="00490C53">
        <w:t xml:space="preserve">, </w:t>
      </w:r>
      <w:r w:rsidRPr="00490C53">
        <w:t>materials</w:t>
      </w:r>
      <w:r w:rsidR="00FA1A56">
        <w:t>,</w:t>
      </w:r>
      <w:r w:rsidR="009D6BA1" w:rsidRPr="00490C53">
        <w:t xml:space="preserve"> and services</w:t>
      </w:r>
      <w:r w:rsidRPr="00490C53">
        <w:t>, either being unable to access them at all (</w:t>
      </w:r>
      <w:r w:rsidR="007B4692" w:rsidRPr="00490C53">
        <w:t>12</w:t>
      </w:r>
      <w:r w:rsidRPr="00490C53">
        <w:t>%) or having to change supplier or find alternative solutions (</w:t>
      </w:r>
      <w:r w:rsidR="007B4692" w:rsidRPr="00490C53">
        <w:t>20</w:t>
      </w:r>
      <w:r w:rsidRPr="00490C53">
        <w:t xml:space="preserve">%). In comparison, </w:t>
      </w:r>
      <w:r w:rsidR="007B4692" w:rsidRPr="00490C53">
        <w:t>10</w:t>
      </w:r>
      <w:r w:rsidRPr="00490C53">
        <w:t>% of non-borrowers could not access goods</w:t>
      </w:r>
      <w:r w:rsidR="009D6BA1" w:rsidRPr="00490C53">
        <w:t>,</w:t>
      </w:r>
      <w:r w:rsidRPr="00490C53">
        <w:t xml:space="preserve"> materials</w:t>
      </w:r>
      <w:r w:rsidR="00FA1A56">
        <w:t>,</w:t>
      </w:r>
      <w:r w:rsidRPr="00490C53">
        <w:t xml:space="preserve"> </w:t>
      </w:r>
      <w:r w:rsidR="009D6BA1" w:rsidRPr="00490C53">
        <w:t xml:space="preserve">and services </w:t>
      </w:r>
      <w:r w:rsidRPr="00490C53">
        <w:t>and 1</w:t>
      </w:r>
      <w:r w:rsidR="007B4692" w:rsidRPr="00490C53">
        <w:t>6</w:t>
      </w:r>
      <w:r w:rsidRPr="00490C53">
        <w:t xml:space="preserve">% could but needed </w:t>
      </w:r>
      <w:r w:rsidR="00277BA1">
        <w:t xml:space="preserve">to </w:t>
      </w:r>
      <w:r w:rsidRPr="00490C53">
        <w:t xml:space="preserve">change supplier or find alternative solutions. The Year 1 quantitative survey also found that supply chain disruptions were a common obstacle to businesses, and that borrowers were more likely to report these issues than non-borrowers. </w:t>
      </w:r>
    </w:p>
    <w:p w14:paraId="0F8B4877" w14:textId="09DD4A4B" w:rsidR="00E55E5F" w:rsidRPr="00490C53" w:rsidRDefault="003D3773" w:rsidP="00636152">
      <w:pPr>
        <w:pStyle w:val="Heading5"/>
      </w:pPr>
      <w:bookmarkStart w:id="181" w:name="_Ref122596917"/>
      <w:bookmarkStart w:id="182" w:name="_Ref120526934"/>
      <w:bookmarkStart w:id="183" w:name="_Toc120614788"/>
      <w:r w:rsidRPr="00490C53">
        <w:t xml:space="preserve">Figure </w:t>
      </w:r>
      <w:r>
        <w:fldChar w:fldCharType="begin"/>
      </w:r>
      <w:r>
        <w:instrText>SEQ Figure \* ARABIC</w:instrText>
      </w:r>
      <w:r>
        <w:fldChar w:fldCharType="separate"/>
      </w:r>
      <w:r w:rsidR="00397D49">
        <w:rPr>
          <w:noProof/>
        </w:rPr>
        <w:t>22</w:t>
      </w:r>
      <w:r>
        <w:fldChar w:fldCharType="end"/>
      </w:r>
      <w:bookmarkEnd w:id="181"/>
      <w:r w:rsidRPr="00490C53">
        <w:t xml:space="preserve">: </w:t>
      </w:r>
      <w:r w:rsidR="00C37921" w:rsidRPr="00490C53">
        <w:t>Ability of borrowers and non-borrowers to access goods, materials and services from the UK, June 2020-</w:t>
      </w:r>
      <w:r w:rsidR="000B3685" w:rsidRPr="00490C53">
        <w:t xml:space="preserve">September </w:t>
      </w:r>
      <w:r w:rsidR="00C37921" w:rsidRPr="00490C53">
        <w:t>2021</w:t>
      </w:r>
      <w:bookmarkEnd w:id="182"/>
      <w:bookmarkEnd w:id="183"/>
    </w:p>
    <w:p w14:paraId="64F41CF3" w14:textId="2EBFF3F6" w:rsidR="004B73A1" w:rsidRPr="00490C53" w:rsidRDefault="00400AAB" w:rsidP="000E2139">
      <w:r w:rsidRPr="00846F78">
        <w:rPr>
          <w:noProof/>
        </w:rPr>
        <w:drawing>
          <wp:inline distT="0" distB="0" distL="0" distR="0" wp14:anchorId="4D8006AF" wp14:editId="2ED82279">
            <wp:extent cx="6306820" cy="3044165"/>
            <wp:effectExtent l="0" t="0" r="0" b="4445"/>
            <wp:docPr id="29" name="Picture 29" descr="12% of borrowers could not access goods and materials from the UK, compared to 10% of non-borrowers. 20% of borrowers could access goods and materials from the UK but by changing supplier or finding alternative solutions, compared to 16% of non-borrowers. 68% and 75% respectively of borrowers and non-borrowers could access goods and materials without changing supp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12% of borrowers could not access goods and materials from the UK, compared to 10% of non-borrowers. 20% of borrowers could access goods and materials from the UK but by changing supplier or finding alternative solutions, compared to 16% of non-borrowers. 68% and 75% respectively of borrowers and non-borrowers could access goods and materials without changing supplie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7619" cy="3054204"/>
                    </a:xfrm>
                    <a:prstGeom prst="rect">
                      <a:avLst/>
                    </a:prstGeom>
                    <a:noFill/>
                  </pic:spPr>
                </pic:pic>
              </a:graphicData>
            </a:graphic>
          </wp:inline>
        </w:drawing>
      </w:r>
    </w:p>
    <w:p w14:paraId="5170D498" w14:textId="7E21CE5C" w:rsidR="00B01ADB" w:rsidRPr="00490C53" w:rsidRDefault="00B01ADB" w:rsidP="00636152">
      <w:pPr>
        <w:pStyle w:val="Caption"/>
      </w:pPr>
      <w:r w:rsidRPr="00490C53">
        <w:t xml:space="preserve">Note: This figure is based on the question ‘Was your business able to get the materials, goods or services it needed from within the UK in the last two weeks?’. The figure shows the mean of the percentage of respondents which answered each response, taken across waves 7, 8, 9, 10, 11, 12, 13, 15, 17, 19, 21, 22, 23, 24, 25, 35, 37, and 39, </w:t>
      </w:r>
      <w:r w:rsidR="00AB1493" w:rsidRPr="00490C53">
        <w:t xml:space="preserve">which were conducted in and </w:t>
      </w:r>
      <w:r w:rsidRPr="00490C53">
        <w:t>refer to the period between June</w:t>
      </w:r>
      <w:r w:rsidR="00636152" w:rsidRPr="00490C53">
        <w:t xml:space="preserve"> </w:t>
      </w:r>
      <w:r w:rsidRPr="00490C53">
        <w:t xml:space="preserve">2020 and </w:t>
      </w:r>
      <w:r w:rsidR="000B3685" w:rsidRPr="00490C53">
        <w:t xml:space="preserve">September </w:t>
      </w:r>
      <w:r w:rsidRPr="00490C53">
        <w:t xml:space="preserve">2021. </w:t>
      </w:r>
      <w:r w:rsidR="00030F3E" w:rsidRPr="00490C53">
        <w:t xml:space="preserve">‘Borrowers’ refers to businesses that used a government-backed loan and ‘non-borrowers’ refers to businesses that did not use a government-backed loan. </w:t>
      </w:r>
      <w:r w:rsidR="00F84209" w:rsidRPr="00490C53">
        <w:t xml:space="preserve">Not applicable responses, which was answered by </w:t>
      </w:r>
      <w:r w:rsidR="006E612E" w:rsidRPr="00490C53">
        <w:t>23</w:t>
      </w:r>
      <w:r w:rsidR="00F84209" w:rsidRPr="00490C53">
        <w:t xml:space="preserve">% of borrowers and </w:t>
      </w:r>
      <w:r w:rsidR="006E612E" w:rsidRPr="00490C53">
        <w:t>4</w:t>
      </w:r>
      <w:r w:rsidR="00F84209" w:rsidRPr="00490C53">
        <w:t xml:space="preserve">0% of non-borrowers, are also excluded from the analysis. </w:t>
      </w:r>
      <w:r w:rsidRPr="00490C53">
        <w:t xml:space="preserve">Percentages may not add to </w:t>
      </w:r>
      <w:r w:rsidRPr="00490C53">
        <w:lastRenderedPageBreak/>
        <w:t>100% due to rounding. Source: London Economics’ analysis of the Business Insights and Conditions Survey (BICS)</w:t>
      </w:r>
      <w:r w:rsidR="00636152" w:rsidRPr="00490C53">
        <w:t>.</w:t>
      </w:r>
    </w:p>
    <w:p w14:paraId="7204B559" w14:textId="5EF51BC8" w:rsidR="002502C0" w:rsidRDefault="002502C0" w:rsidP="00636152">
      <w:r w:rsidRPr="00490C53">
        <w:t>Looking at how supply chain issues changed throughout the pandemic, the proportion of both borrowers and non-borrowers that reported issues with access to goods</w:t>
      </w:r>
      <w:r w:rsidR="00A67A77" w:rsidRPr="00490C53">
        <w:t>,</w:t>
      </w:r>
      <w:r w:rsidRPr="00490C53">
        <w:t xml:space="preserve"> materials </w:t>
      </w:r>
      <w:r w:rsidR="00A67A77" w:rsidRPr="00490C53">
        <w:t xml:space="preserve">and services </w:t>
      </w:r>
      <w:r w:rsidRPr="00490C53">
        <w:t>from the UK reduced throughout 2020</w:t>
      </w:r>
      <w:r w:rsidR="00366652" w:rsidRPr="00490C53">
        <w:t xml:space="preserve"> (</w:t>
      </w:r>
      <w:r w:rsidR="00980BA1">
        <w:t>Figure 23</w:t>
      </w:r>
      <w:r w:rsidR="00366652" w:rsidRPr="00490C53">
        <w:fldChar w:fldCharType="begin"/>
      </w:r>
      <w:r w:rsidR="00366652" w:rsidRPr="00490C53">
        <w:instrText xml:space="preserve"> REF _Ref122596933 \h </w:instrText>
      </w:r>
      <w:r w:rsidR="00366652" w:rsidRPr="00490C53">
        <w:fldChar w:fldCharType="end"/>
      </w:r>
      <w:r w:rsidR="00366652">
        <w:t>)</w:t>
      </w:r>
      <w:r>
        <w:t>.</w:t>
      </w:r>
      <w:r w:rsidRPr="00490C53">
        <w:t xml:space="preserve"> The most striking example of this relates to the proportion of borrowers having to change supplier or find alternative solutions, which decreased from 2</w:t>
      </w:r>
      <w:r w:rsidR="00297290" w:rsidRPr="00490C53">
        <w:t>4</w:t>
      </w:r>
      <w:r w:rsidRPr="00490C53">
        <w:t>% in the June-</w:t>
      </w:r>
      <w:r w:rsidR="00480F9D" w:rsidRPr="00490C53">
        <w:t>September</w:t>
      </w:r>
      <w:r w:rsidRPr="00490C53">
        <w:t xml:space="preserve"> 2020 period to </w:t>
      </w:r>
      <w:r w:rsidR="00297290" w:rsidRPr="00490C53">
        <w:t>13</w:t>
      </w:r>
      <w:r w:rsidRPr="00490C53">
        <w:t>% in the December 2020-February 2021 period. However, an increase in the proportion of companies reporting issues can be seen between the December 2020-February 2021 period and the June-</w:t>
      </w:r>
      <w:r w:rsidR="00480F9D" w:rsidRPr="00490C53">
        <w:t>September</w:t>
      </w:r>
      <w:r w:rsidRPr="00490C53">
        <w:t xml:space="preserve"> 2021 period. During each period, borrowers were more likely to report issues than non-borrowers</w:t>
      </w:r>
      <w:r w:rsidR="00D42BC5" w:rsidRPr="00490C53">
        <w:t>.</w:t>
      </w:r>
    </w:p>
    <w:p w14:paraId="02ECF4EA" w14:textId="067714D5" w:rsidR="00341AE5" w:rsidRPr="00490C53" w:rsidRDefault="00341AE5" w:rsidP="00236B73">
      <w:pPr>
        <w:pStyle w:val="Heading5"/>
      </w:pPr>
      <w:r w:rsidRPr="00490C53">
        <w:t xml:space="preserve">Figure </w:t>
      </w:r>
      <w:r>
        <w:fldChar w:fldCharType="begin"/>
      </w:r>
      <w:r>
        <w:instrText>SEQ Figure \* ARABIC</w:instrText>
      </w:r>
      <w:r>
        <w:fldChar w:fldCharType="separate"/>
      </w:r>
      <w:r w:rsidR="00397D49">
        <w:rPr>
          <w:noProof/>
        </w:rPr>
        <w:t>23</w:t>
      </w:r>
      <w:r>
        <w:fldChar w:fldCharType="end"/>
      </w:r>
      <w:r w:rsidRPr="00490C53">
        <w:t xml:space="preserve">: </w:t>
      </w:r>
      <w:r>
        <w:t xml:space="preserve">Difficulties of borrowers and non-borrowers in accessing goods, </w:t>
      </w:r>
      <w:proofErr w:type="gramStart"/>
      <w:r>
        <w:t>materials</w:t>
      </w:r>
      <w:proofErr w:type="gramEnd"/>
      <w:r>
        <w:t xml:space="preserve"> and services from the UK across time, June 2020-September 2021</w:t>
      </w:r>
    </w:p>
    <w:p w14:paraId="174C4D4B" w14:textId="6091DC32" w:rsidR="00C05404" w:rsidRPr="00490C53" w:rsidRDefault="008A3567" w:rsidP="009A6608">
      <w:r w:rsidRPr="00846F78">
        <w:rPr>
          <w:noProof/>
        </w:rPr>
        <w:drawing>
          <wp:inline distT="0" distB="0" distL="0" distR="0" wp14:anchorId="3DC95DB5" wp14:editId="4DD44F90">
            <wp:extent cx="6313805" cy="2738326"/>
            <wp:effectExtent l="0" t="0" r="0" b="5080"/>
            <wp:docPr id="3" name="Picture 3" descr="13% of borrowers could not access goods and materials from the UK in June to September 2020, falling to 10% and 8% respectively in September to November 2020 and December 2020 to February 2021 before rising to 16% in June to September 2021. The corresponding proportions of non-borrowers were 11%, 8%, 7% and 12%. 24% of borrowers could access goods, materials and services from the UK but needed to change provider or find alternative solutions in June to September 2020, falling to 23% and 13% respectively in September to November 2020 and December to February 2021 before rising to 20% in June to September 2021. The corresponding proportions for non-borrowers were 17%, 17%, 12% and 15%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3% of borrowers could not access goods and materials from the UK in June to September 2020, falling to 10% and 8% respectively in September to November 2020 and December 2020 to February 2021 before rising to 16% in June to September 2021. The corresponding proportions of non-borrowers were 11%, 8%, 7% and 12%. 24% of borrowers could access goods, materials and services from the UK but needed to change provider or find alternative solutions in June to September 2020, falling to 23% and 13% respectively in September to November 2020 and December to February 2021 before rising to 20% in June to September 2021. The corresponding proportions for non-borrowers were 17%, 17%, 12% and 15% respectivel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5134" cy="2743239"/>
                    </a:xfrm>
                    <a:prstGeom prst="rect">
                      <a:avLst/>
                    </a:prstGeom>
                    <a:noFill/>
                  </pic:spPr>
                </pic:pic>
              </a:graphicData>
            </a:graphic>
          </wp:inline>
        </w:drawing>
      </w:r>
    </w:p>
    <w:p w14:paraId="6A57BF88" w14:textId="5213DDF0" w:rsidR="00C05404" w:rsidRPr="00490C53" w:rsidRDefault="00C05404" w:rsidP="00636152">
      <w:pPr>
        <w:pStyle w:val="Caption"/>
      </w:pPr>
      <w:r w:rsidRPr="00490C53">
        <w:t>Note: This figure is based on the question ‘Was your business able to get the materials, goods or services it needed from within the UK in the last two weeks?’. The figure shows the mean of the percentage of respondents which answered each response, taken across relevant waves. ‘June-</w:t>
      </w:r>
      <w:r w:rsidR="00BE3091" w:rsidRPr="00490C53">
        <w:t xml:space="preserve">September </w:t>
      </w:r>
      <w:r w:rsidRPr="00490C53">
        <w:t>2020’ refers to waves 7-13</w:t>
      </w:r>
      <w:r w:rsidR="00DD5B00" w:rsidRPr="00490C53">
        <w:t xml:space="preserve">, which were conducted between </w:t>
      </w:r>
      <w:r w:rsidR="00BE3091" w:rsidRPr="00490C53">
        <w:t>June and September 2020</w:t>
      </w:r>
      <w:r w:rsidRPr="00490C53">
        <w:t>. ‘September-November 2020’ refers to waves 15, 17 and 19</w:t>
      </w:r>
      <w:r w:rsidR="00F15579" w:rsidRPr="00490C53">
        <w:t>, which were conducted between October and December 2020</w:t>
      </w:r>
      <w:r w:rsidRPr="00490C53">
        <w:t>. ‘December 2020-February 2021’ refers to waves 21-25</w:t>
      </w:r>
      <w:r w:rsidR="0051490E" w:rsidRPr="00490C53">
        <w:t>, which were conducted between December 2020 and March 2021</w:t>
      </w:r>
      <w:r w:rsidRPr="00490C53">
        <w:t>. ‘June-</w:t>
      </w:r>
      <w:r w:rsidR="00BE3091" w:rsidRPr="00490C53">
        <w:t xml:space="preserve">September </w:t>
      </w:r>
      <w:r w:rsidRPr="00490C53">
        <w:t>2021’ refers to waves 35, 37 and 39</w:t>
      </w:r>
      <w:r w:rsidR="0051490E" w:rsidRPr="00490C53">
        <w:t xml:space="preserve">, which were conducted between July and </w:t>
      </w:r>
      <w:r w:rsidR="0051490E" w:rsidRPr="00490C53">
        <w:lastRenderedPageBreak/>
        <w:t>September 2021</w:t>
      </w:r>
      <w:r w:rsidRPr="00490C53">
        <w:t xml:space="preserve">. </w:t>
      </w:r>
      <w:r w:rsidR="00030F3E" w:rsidRPr="00490C53">
        <w:t xml:space="preserve">‘Borrowers’ refers to businesses that used a government-backed loan and ‘non-borrowers’ refers to businesses that did not use a government-backed loan. </w:t>
      </w:r>
      <w:r w:rsidR="00A914AB" w:rsidRPr="00490C53">
        <w:t xml:space="preserve">Not applicable responses were excluded from the percentages presented. </w:t>
      </w:r>
      <w:r w:rsidRPr="00490C53">
        <w:t>Due to a break in the question being asked in the survey, no data is available between March and May 2021.</w:t>
      </w:r>
      <w:r w:rsidR="00636152" w:rsidRPr="00490C53">
        <w:t xml:space="preserve"> </w:t>
      </w:r>
      <w:r w:rsidRPr="00490C53">
        <w:t>Source: London Economics’ analysis of the Business Insights and Conditions Survey (BICS)</w:t>
      </w:r>
      <w:r w:rsidR="00636152" w:rsidRPr="00490C53">
        <w:t>.</w:t>
      </w:r>
    </w:p>
    <w:p w14:paraId="64A4F96F" w14:textId="5A130201" w:rsidR="00316CA3" w:rsidRPr="00490C53" w:rsidRDefault="00A0680F" w:rsidP="00491D03">
      <w:proofErr w:type="gramStart"/>
      <w:r w:rsidRPr="00490C53">
        <w:t>The</w:t>
      </w:r>
      <w:r w:rsidR="00491D03" w:rsidRPr="00490C53">
        <w:t xml:space="preserve"> majority of</w:t>
      </w:r>
      <w:proofErr w:type="gramEnd"/>
      <w:r w:rsidR="00491D03" w:rsidRPr="00490C53">
        <w:t xml:space="preserve"> both borrowers </w:t>
      </w:r>
      <w:r w:rsidRPr="00490C53">
        <w:t xml:space="preserve">(63%) </w:t>
      </w:r>
      <w:r w:rsidR="00491D03" w:rsidRPr="00490C53">
        <w:t xml:space="preserve">and non-borrowers </w:t>
      </w:r>
      <w:r w:rsidRPr="00490C53">
        <w:t xml:space="preserve">(70%) </w:t>
      </w:r>
      <w:r w:rsidR="00491D03" w:rsidRPr="00490C53">
        <w:t>reported no issues with their ability to access goods, materials</w:t>
      </w:r>
      <w:r w:rsidR="00FA1A56">
        <w:t>,</w:t>
      </w:r>
      <w:r w:rsidR="00491D03" w:rsidRPr="00490C53">
        <w:t xml:space="preserve"> and services from the EU</w:t>
      </w:r>
      <w:r w:rsidRPr="00490C53">
        <w:t xml:space="preserve">, although </w:t>
      </w:r>
      <w:r w:rsidR="00471F88" w:rsidRPr="00490C53">
        <w:t>non-borrowers were again less likely to have issues than borrowers</w:t>
      </w:r>
      <w:r w:rsidR="005255CB" w:rsidRPr="00490C53">
        <w:t xml:space="preserve"> (</w:t>
      </w:r>
      <w:r w:rsidR="005255CB" w:rsidRPr="00490C53">
        <w:fldChar w:fldCharType="begin"/>
      </w:r>
      <w:r w:rsidR="005255CB" w:rsidRPr="00490C53">
        <w:instrText xml:space="preserve"> REF _Ref122596948 \h </w:instrText>
      </w:r>
      <w:r w:rsidR="005255CB" w:rsidRPr="00490C53">
        <w:fldChar w:fldCharType="separate"/>
      </w:r>
      <w:r w:rsidR="00397D49" w:rsidRPr="00490C53">
        <w:t xml:space="preserve">Figure </w:t>
      </w:r>
      <w:r w:rsidR="00397D49">
        <w:rPr>
          <w:noProof/>
        </w:rPr>
        <w:t>24</w:t>
      </w:r>
      <w:r w:rsidR="005255CB" w:rsidRPr="00490C53">
        <w:fldChar w:fldCharType="end"/>
      </w:r>
      <w:r w:rsidR="005255CB" w:rsidRPr="00490C53">
        <w:t>)</w:t>
      </w:r>
      <w:r w:rsidR="00491D03" w:rsidRPr="00490C53">
        <w:t xml:space="preserve">. </w:t>
      </w:r>
      <w:r w:rsidR="00A2277D" w:rsidRPr="00490C53">
        <w:t>Borrowers were more likely than non-borrowers to not be able to access goods, materials</w:t>
      </w:r>
      <w:r w:rsidR="00FA1A56">
        <w:t>,</w:t>
      </w:r>
      <w:r w:rsidR="00A2277D" w:rsidRPr="00490C53">
        <w:t xml:space="preserve"> and services from the EU </w:t>
      </w:r>
      <w:r w:rsidR="005255CB" w:rsidRPr="00490C53">
        <w:t>(19% and 17% respectively) and to have had to change supplier or find alternative solutions (17% and 14%).</w:t>
      </w:r>
    </w:p>
    <w:p w14:paraId="7419A90A" w14:textId="6B2C927F" w:rsidR="00491D03" w:rsidRPr="00490C53" w:rsidRDefault="00491D03" w:rsidP="00491D03">
      <w:r w:rsidRPr="00490C53">
        <w:t xml:space="preserve">The proportion of borrowers that could not access goods, materials and services from the EU peaked at </w:t>
      </w:r>
      <w:r w:rsidR="00723F2E" w:rsidRPr="00490C53">
        <w:t>24</w:t>
      </w:r>
      <w:r w:rsidRPr="00490C53">
        <w:t>% in J</w:t>
      </w:r>
      <w:r w:rsidR="00723F2E" w:rsidRPr="00490C53">
        <w:t>une</w:t>
      </w:r>
      <w:r w:rsidRPr="00490C53">
        <w:t xml:space="preserve"> 2021 and was at its smallest in </w:t>
      </w:r>
      <w:r w:rsidR="0037683A" w:rsidRPr="00490C53">
        <w:t xml:space="preserve">April and </w:t>
      </w:r>
      <w:r w:rsidRPr="00490C53">
        <w:t>May 2021 (</w:t>
      </w:r>
      <w:r w:rsidR="0037683A" w:rsidRPr="00490C53">
        <w:t>1</w:t>
      </w:r>
      <w:r w:rsidRPr="00490C53">
        <w:t xml:space="preserve">3%). For non-borrowers, the percentage of businesses which could not access goods, materials and services imported from the EU ranged from </w:t>
      </w:r>
      <w:r w:rsidR="0037683A" w:rsidRPr="00490C53">
        <w:t>1</w:t>
      </w:r>
      <w:r w:rsidRPr="00490C53">
        <w:t xml:space="preserve">3% (in March 2021) to </w:t>
      </w:r>
      <w:r w:rsidR="0037683A" w:rsidRPr="00490C53">
        <w:t>22</w:t>
      </w:r>
      <w:r w:rsidRPr="00490C53">
        <w:t xml:space="preserve">% (June </w:t>
      </w:r>
      <w:r w:rsidR="0037683A" w:rsidRPr="00490C53">
        <w:t xml:space="preserve">and August </w:t>
      </w:r>
      <w:r w:rsidRPr="00490C53">
        <w:t>2021).</w:t>
      </w:r>
      <w:r w:rsidR="00A0680F" w:rsidRPr="00490C53">
        <w:t xml:space="preserve"> </w:t>
      </w:r>
      <w:r w:rsidR="0037683A" w:rsidRPr="00490C53">
        <w:t xml:space="preserve">It should be noted </w:t>
      </w:r>
      <w:r w:rsidR="00AC50C9" w:rsidRPr="00490C53">
        <w:t>th</w:t>
      </w:r>
      <w:r w:rsidR="0037683A" w:rsidRPr="00490C53">
        <w:t xml:space="preserve">at </w:t>
      </w:r>
      <w:proofErr w:type="gramStart"/>
      <w:r w:rsidR="0037683A" w:rsidRPr="00490C53">
        <w:t>the majority of</w:t>
      </w:r>
      <w:proofErr w:type="gramEnd"/>
      <w:r w:rsidR="0037683A" w:rsidRPr="00490C53">
        <w:t xml:space="preserve"> respondents (an average of </w:t>
      </w:r>
      <w:r w:rsidR="00A0680F" w:rsidRPr="00490C53">
        <w:t>71% of borrowers and 78% of non-borrowers</w:t>
      </w:r>
      <w:r w:rsidR="0037683A" w:rsidRPr="00490C53">
        <w:t xml:space="preserve"> across the waves analysed) answered ‘not applicable’ to this question</w:t>
      </w:r>
      <w:r w:rsidR="00AC50C9" w:rsidRPr="00490C53">
        <w:t xml:space="preserve"> and are therefore excluded from this analysis</w:t>
      </w:r>
      <w:r w:rsidR="0037683A" w:rsidRPr="00490C53">
        <w:t xml:space="preserve">. </w:t>
      </w:r>
    </w:p>
    <w:p w14:paraId="4A5851FB" w14:textId="1D4B0205" w:rsidR="00491D03" w:rsidRPr="00490C53" w:rsidRDefault="00C8109B" w:rsidP="00636152">
      <w:pPr>
        <w:pStyle w:val="Heading5"/>
      </w:pPr>
      <w:bookmarkStart w:id="184" w:name="_Ref122596948"/>
      <w:bookmarkStart w:id="185" w:name="_Ref120528458"/>
      <w:bookmarkStart w:id="186" w:name="_Toc120614790"/>
      <w:r w:rsidRPr="00490C53">
        <w:lastRenderedPageBreak/>
        <w:t xml:space="preserve">Figure </w:t>
      </w:r>
      <w:r>
        <w:fldChar w:fldCharType="begin"/>
      </w:r>
      <w:r>
        <w:instrText>SEQ Figure \* ARABIC</w:instrText>
      </w:r>
      <w:r>
        <w:fldChar w:fldCharType="separate"/>
      </w:r>
      <w:r w:rsidR="00397D49">
        <w:rPr>
          <w:noProof/>
        </w:rPr>
        <w:t>24</w:t>
      </w:r>
      <w:r>
        <w:fldChar w:fldCharType="end"/>
      </w:r>
      <w:bookmarkEnd w:id="184"/>
      <w:r w:rsidR="003D3773" w:rsidRPr="00490C53">
        <w:t>:</w:t>
      </w:r>
      <w:r w:rsidRPr="00490C53">
        <w:t xml:space="preserve"> </w:t>
      </w:r>
      <w:r w:rsidR="00817E36" w:rsidRPr="00490C53">
        <w:t>Ability of borrowers and non-borrowers to access goods, materials and services from the EU, January</w:t>
      </w:r>
      <w:r w:rsidR="00905FF7" w:rsidRPr="00490C53">
        <w:t>-September</w:t>
      </w:r>
      <w:r w:rsidR="00817E36" w:rsidRPr="00490C53">
        <w:t xml:space="preserve"> 2021</w:t>
      </w:r>
      <w:bookmarkEnd w:id="185"/>
      <w:bookmarkEnd w:id="186"/>
    </w:p>
    <w:p w14:paraId="46B351D4" w14:textId="4B6D514F" w:rsidR="0043306C" w:rsidRPr="00490C53" w:rsidRDefault="00AB2CD2" w:rsidP="00636152">
      <w:pPr>
        <w:jc w:val="center"/>
      </w:pPr>
      <w:r w:rsidRPr="00846F78">
        <w:rPr>
          <w:noProof/>
        </w:rPr>
        <w:drawing>
          <wp:inline distT="0" distB="0" distL="0" distR="0" wp14:anchorId="18DE41C7" wp14:editId="73780207">
            <wp:extent cx="6393700" cy="3086100"/>
            <wp:effectExtent l="0" t="0" r="7620" b="0"/>
            <wp:docPr id="31" name="Picture 31" descr="19% of borrowers could not access goods, materials and services from the EU, 17% could do so but by changing supplier or finding alternative solutions and 63% could do so without changing supplier. 17% of non-borrowers could not access goods and materials from the EU, 14% could do so by changing supplier or finding an alternative solution and 70% could continue to do so without changing supp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19% of borrowers could not access goods, materials and services from the EU, 17% could do so but by changing supplier or finding alternative solutions and 63% could do so without changing supplier. 17% of non-borrowers could not access goods and materials from the EU, 14% could do so by changing supplier or finding an alternative solution and 70% could continue to do so without changing supplie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4440" cy="3091284"/>
                    </a:xfrm>
                    <a:prstGeom prst="rect">
                      <a:avLst/>
                    </a:prstGeom>
                    <a:noFill/>
                  </pic:spPr>
                </pic:pic>
              </a:graphicData>
            </a:graphic>
          </wp:inline>
        </w:drawing>
      </w:r>
    </w:p>
    <w:p w14:paraId="26BF5AA8" w14:textId="202CFDB0" w:rsidR="00E61738" w:rsidRPr="00490C53" w:rsidRDefault="00E61738" w:rsidP="00636152">
      <w:pPr>
        <w:pStyle w:val="Caption"/>
      </w:pPr>
      <w:r w:rsidRPr="00490C53">
        <w:t>Note: This figure is based on the question ‘Was your business able to get the materials, goods or services it needed from the EU in the last two weeks?’. The figure shows the mean of the percentage of respondents which answered each response, taken across waves 24-31, 33, 35, 37 and 39</w:t>
      </w:r>
      <w:r w:rsidR="00905FF7" w:rsidRPr="00490C53">
        <w:t xml:space="preserve">, which refer to the period between January and September 2021 and were </w:t>
      </w:r>
      <w:r w:rsidR="00F515CB" w:rsidRPr="00490C53">
        <w:t>conducted between February and September 2021</w:t>
      </w:r>
      <w:r w:rsidRPr="00490C53">
        <w:t xml:space="preserve">. </w:t>
      </w:r>
      <w:r w:rsidR="00030F3E" w:rsidRPr="00490C53">
        <w:t xml:space="preserve">‘Borrowers’ refers to businesses that used a government-backed loan and ‘non-borrowers’ refers to businesses that did not use a government-backed loan. </w:t>
      </w:r>
      <w:r w:rsidR="0037683A" w:rsidRPr="00490C53">
        <w:t xml:space="preserve">Not applicable responses, which was answered by 71% of borrowers and 78% of non-borrowers, are also excluded from the analysis. </w:t>
      </w:r>
      <w:r w:rsidRPr="00490C53">
        <w:t>Percentages may not add to 100% due to rounding. Source: London Economics’ analysis of the Business Insights and Conditions Survey (BICS)</w:t>
      </w:r>
      <w:r w:rsidR="00636152" w:rsidRPr="00490C53">
        <w:t>.</w:t>
      </w:r>
    </w:p>
    <w:p w14:paraId="09F68402" w14:textId="77777777" w:rsidR="003F34CD" w:rsidRPr="00490C53" w:rsidRDefault="003F34CD" w:rsidP="00C52C3D">
      <w:pPr>
        <w:spacing w:after="160" w:line="259" w:lineRule="auto"/>
      </w:pPr>
    </w:p>
    <w:p w14:paraId="35D67D30" w14:textId="77777777" w:rsidR="00675289" w:rsidRPr="00490C53" w:rsidRDefault="00675289">
      <w:pPr>
        <w:spacing w:after="160" w:line="259" w:lineRule="auto"/>
        <w:rPr>
          <w:rFonts w:asciiTheme="majorHAnsi" w:eastAsiaTheme="majorEastAsia" w:hAnsiTheme="majorHAnsi" w:cstheme="majorBidi"/>
          <w:b/>
          <w:color w:val="142855" w:themeColor="text2"/>
          <w:sz w:val="44"/>
          <w:szCs w:val="32"/>
        </w:rPr>
      </w:pPr>
      <w:r w:rsidRPr="00490C53">
        <w:br w:type="page"/>
      </w:r>
    </w:p>
    <w:p w14:paraId="70A23855" w14:textId="1598F019" w:rsidR="00427B94" w:rsidRPr="00490C53" w:rsidRDefault="2E11DFD0" w:rsidP="00427B94">
      <w:pPr>
        <w:pStyle w:val="Heading1"/>
      </w:pPr>
      <w:bookmarkStart w:id="187" w:name="_Toc151549897"/>
      <w:r>
        <w:lastRenderedPageBreak/>
        <w:t>Annex 1</w:t>
      </w:r>
      <w:r w:rsidR="4EE67284">
        <w:t xml:space="preserve"> – Process Evaluation Framework</w:t>
      </w:r>
      <w:bookmarkEnd w:id="187"/>
    </w:p>
    <w:p w14:paraId="132715EA" w14:textId="3F05D977" w:rsidR="006C18C9" w:rsidRDefault="006C18C9">
      <w:pPr>
        <w:spacing w:after="160" w:line="259" w:lineRule="auto"/>
      </w:pPr>
      <w:r>
        <w:t>The table below provides the process evaluation framework of the Year 2 and Year 3 process evaluation of the Covid-19 Loan Guarantee Schemes. This shows the key evaluation questions for each process, and the data sources which are used to provide evidence to answer the questions. The process evaluation framework was developed following a review of Covid-19 Loan Guarantee Scheme documentation</w:t>
      </w:r>
      <w:r w:rsidR="00616A1A">
        <w:t>,</w:t>
      </w:r>
      <w:r>
        <w:t xml:space="preserve"> wider published information, </w:t>
      </w:r>
      <w:r w:rsidR="00616A1A">
        <w:t xml:space="preserve">and workshops with </w:t>
      </w:r>
      <w:r>
        <w:t xml:space="preserve">key stakeholders including BBB, </w:t>
      </w:r>
      <w:r w:rsidR="00616A1A">
        <w:t>DBT</w:t>
      </w:r>
      <w:r>
        <w:t xml:space="preserve"> and HM Treasury. The process evaluation </w:t>
      </w:r>
      <w:r w:rsidR="00BC15E8">
        <w:t xml:space="preserve">framework </w:t>
      </w:r>
      <w:r>
        <w:t xml:space="preserve">was developed alongside </w:t>
      </w:r>
      <w:r w:rsidR="00616A1A">
        <w:t xml:space="preserve">the process maps presented in </w:t>
      </w:r>
      <w:r w:rsidR="00BC15E8">
        <w:t>the Process Evaluation section of the main report</w:t>
      </w:r>
      <w:r>
        <w:t xml:space="preserve"> process map, which detailed all the mechanisms and processes used to deliver the Covid-19 Loan Guarantee Scheme.</w:t>
      </w:r>
    </w:p>
    <w:p w14:paraId="19BDBF48" w14:textId="77777777" w:rsidR="002E7ABE" w:rsidRDefault="002E7ABE" w:rsidP="00E06941">
      <w:pPr>
        <w:pStyle w:val="Heading5"/>
        <w:sectPr w:rsidR="002E7ABE" w:rsidSect="00240A4C">
          <w:pgSz w:w="11906" w:h="16838" w:code="9"/>
          <w:pgMar w:top="1701" w:right="845" w:bottom="1531" w:left="907" w:header="624" w:footer="454" w:gutter="0"/>
          <w:cols w:space="720"/>
          <w:titlePg/>
          <w:docGrid w:linePitch="360"/>
        </w:sectPr>
      </w:pPr>
    </w:p>
    <w:p w14:paraId="6900299E" w14:textId="57BDFCB4" w:rsidR="00254147" w:rsidRDefault="00254147" w:rsidP="00F2246F">
      <w:pPr>
        <w:pStyle w:val="Heading5"/>
      </w:pPr>
      <w:r>
        <w:lastRenderedPageBreak/>
        <w:t xml:space="preserve">Table </w:t>
      </w:r>
      <w:fldSimple w:instr=" SEQ Table \* ARABIC ">
        <w:r w:rsidR="00397D49">
          <w:rPr>
            <w:noProof/>
          </w:rPr>
          <w:t>19</w:t>
        </w:r>
      </w:fldSimple>
      <w:r>
        <w:t>: Process evaluation framework</w:t>
      </w:r>
    </w:p>
    <w:tbl>
      <w:tblPr>
        <w:tblStyle w:val="TableGrid"/>
        <w:tblW w:w="5000" w:type="pct"/>
        <w:tblLook w:val="04A0" w:firstRow="1" w:lastRow="0" w:firstColumn="1" w:lastColumn="0" w:noHBand="0" w:noVBand="1"/>
      </w:tblPr>
      <w:tblGrid>
        <w:gridCol w:w="5670"/>
        <w:gridCol w:w="3220"/>
        <w:gridCol w:w="1033"/>
        <w:gridCol w:w="992"/>
        <w:gridCol w:w="851"/>
        <w:gridCol w:w="1022"/>
        <w:gridCol w:w="818"/>
      </w:tblGrid>
      <w:tr w:rsidR="00E15C78" w14:paraId="2BD11705" w14:textId="77777777" w:rsidTr="00113135">
        <w:trPr>
          <w:cnfStyle w:val="100000000000" w:firstRow="1" w:lastRow="0" w:firstColumn="0" w:lastColumn="0" w:oddVBand="0" w:evenVBand="0" w:oddHBand="0" w:evenHBand="0" w:firstRowFirstColumn="0" w:firstRowLastColumn="0" w:lastRowFirstColumn="0" w:lastRowLastColumn="0"/>
          <w:tblHeader/>
        </w:trPr>
        <w:tc>
          <w:tcPr>
            <w:tcW w:w="5670" w:type="dxa"/>
            <w:vMerge w:val="restart"/>
          </w:tcPr>
          <w:p w14:paraId="0BB4B8A5" w14:textId="36168ED9" w:rsidR="00E15C78" w:rsidRDefault="00E15C78">
            <w:pPr>
              <w:spacing w:after="160" w:line="259" w:lineRule="auto"/>
            </w:pPr>
            <w:r>
              <w:t>Evaluation question</w:t>
            </w:r>
          </w:p>
        </w:tc>
        <w:tc>
          <w:tcPr>
            <w:tcW w:w="3220" w:type="dxa"/>
            <w:vMerge w:val="restart"/>
          </w:tcPr>
          <w:p w14:paraId="2F1C50BC" w14:textId="05EF1E4B" w:rsidR="00E15C78" w:rsidRDefault="00E15C78">
            <w:pPr>
              <w:spacing w:after="160" w:line="259" w:lineRule="auto"/>
            </w:pPr>
            <w:r>
              <w:t>Metrics</w:t>
            </w:r>
          </w:p>
        </w:tc>
        <w:tc>
          <w:tcPr>
            <w:tcW w:w="4716" w:type="dxa"/>
            <w:gridSpan w:val="5"/>
          </w:tcPr>
          <w:p w14:paraId="4B8E43EF" w14:textId="20BF4E51" w:rsidR="00E15C78" w:rsidRDefault="00E15C78">
            <w:pPr>
              <w:spacing w:after="160" w:line="259" w:lineRule="auto"/>
            </w:pPr>
            <w:r>
              <w:t>Source of data</w:t>
            </w:r>
          </w:p>
        </w:tc>
      </w:tr>
      <w:tr w:rsidR="00113135" w14:paraId="37663371" w14:textId="77777777" w:rsidTr="00113135">
        <w:trPr>
          <w:cnfStyle w:val="100000000000" w:firstRow="1" w:lastRow="0" w:firstColumn="0" w:lastColumn="0" w:oddVBand="0" w:evenVBand="0" w:oddHBand="0" w:evenHBand="0" w:firstRowFirstColumn="0" w:firstRowLastColumn="0" w:lastRowFirstColumn="0" w:lastRowLastColumn="0"/>
          <w:cantSplit/>
          <w:trHeight w:val="2373"/>
          <w:tblHeader/>
        </w:trPr>
        <w:tc>
          <w:tcPr>
            <w:tcW w:w="5670" w:type="dxa"/>
            <w:vMerge/>
          </w:tcPr>
          <w:p w14:paraId="782481DE" w14:textId="76F9CAD8" w:rsidR="00E15C78" w:rsidRDefault="00E15C78" w:rsidP="00E15C78">
            <w:pPr>
              <w:spacing w:after="160" w:line="259" w:lineRule="auto"/>
            </w:pPr>
          </w:p>
        </w:tc>
        <w:tc>
          <w:tcPr>
            <w:tcW w:w="3220" w:type="dxa"/>
            <w:vMerge/>
          </w:tcPr>
          <w:p w14:paraId="2B971CFB" w14:textId="2FC1A4AF" w:rsidR="00E15C78" w:rsidRDefault="00E15C78" w:rsidP="00E15C78">
            <w:pPr>
              <w:spacing w:after="160" w:line="259" w:lineRule="auto"/>
            </w:pPr>
          </w:p>
        </w:tc>
        <w:tc>
          <w:tcPr>
            <w:tcW w:w="1033" w:type="dxa"/>
            <w:textDirection w:val="tbRl"/>
          </w:tcPr>
          <w:p w14:paraId="5F3FA26C" w14:textId="3DC9255B" w:rsidR="00E15C78" w:rsidRDefault="00E15C78" w:rsidP="00F2246F">
            <w:pPr>
              <w:spacing w:after="160" w:line="259" w:lineRule="auto"/>
              <w:ind w:left="113" w:right="113"/>
            </w:pPr>
            <w:r>
              <w:t>Monitoring data</w:t>
            </w:r>
          </w:p>
        </w:tc>
        <w:tc>
          <w:tcPr>
            <w:tcW w:w="992" w:type="dxa"/>
            <w:textDirection w:val="tbRl"/>
          </w:tcPr>
          <w:p w14:paraId="2746EFE3" w14:textId="2E910EA5" w:rsidR="00E15C78" w:rsidRDefault="00E15C78" w:rsidP="00F2246F">
            <w:pPr>
              <w:spacing w:after="160" w:line="259" w:lineRule="auto"/>
              <w:ind w:left="113" w:right="113"/>
            </w:pPr>
            <w:r>
              <w:t>Document /</w:t>
            </w:r>
            <w:r w:rsidR="00113135">
              <w:t xml:space="preserve"> </w:t>
            </w:r>
            <w:r>
              <w:t>literature review</w:t>
            </w:r>
          </w:p>
        </w:tc>
        <w:tc>
          <w:tcPr>
            <w:tcW w:w="851" w:type="dxa"/>
            <w:textDirection w:val="tbRl"/>
          </w:tcPr>
          <w:p w14:paraId="676DAB75" w14:textId="445A68F5" w:rsidR="00E15C78" w:rsidRDefault="00E15C78" w:rsidP="00F2246F">
            <w:pPr>
              <w:spacing w:after="160" w:line="259" w:lineRule="auto"/>
              <w:ind w:left="113" w:right="113"/>
            </w:pPr>
            <w:r>
              <w:t>BBB</w:t>
            </w:r>
            <w:r w:rsidR="00113135">
              <w:t xml:space="preserve"> </w:t>
            </w:r>
            <w:r>
              <w:t>/</w:t>
            </w:r>
            <w:r w:rsidR="00113135">
              <w:t xml:space="preserve"> </w:t>
            </w:r>
            <w:r>
              <w:t>DBT</w:t>
            </w:r>
            <w:r w:rsidR="00113135">
              <w:t xml:space="preserve"> </w:t>
            </w:r>
            <w:r>
              <w:t>/</w:t>
            </w:r>
            <w:r w:rsidR="00113135">
              <w:t xml:space="preserve"> </w:t>
            </w:r>
            <w:r>
              <w:t xml:space="preserve">HMT interview </w:t>
            </w:r>
          </w:p>
        </w:tc>
        <w:tc>
          <w:tcPr>
            <w:tcW w:w="1022" w:type="dxa"/>
            <w:textDirection w:val="tbRl"/>
          </w:tcPr>
          <w:p w14:paraId="75579918" w14:textId="4DA14BFF" w:rsidR="00E15C78" w:rsidRDefault="00E15C78" w:rsidP="00F2246F">
            <w:pPr>
              <w:spacing w:after="160" w:line="259" w:lineRule="auto"/>
              <w:ind w:left="113" w:right="113"/>
            </w:pPr>
            <w:r>
              <w:t>Lender interview</w:t>
            </w:r>
          </w:p>
        </w:tc>
        <w:tc>
          <w:tcPr>
            <w:tcW w:w="818" w:type="dxa"/>
            <w:textDirection w:val="tbRl"/>
          </w:tcPr>
          <w:p w14:paraId="3C9915A5" w14:textId="3FED4836" w:rsidR="00E15C78" w:rsidRDefault="00E15C78" w:rsidP="00F2246F">
            <w:pPr>
              <w:spacing w:after="160" w:line="259" w:lineRule="auto"/>
              <w:ind w:left="113" w:right="113"/>
            </w:pPr>
            <w:r>
              <w:t>Wider stakeholder interview</w:t>
            </w:r>
          </w:p>
        </w:tc>
      </w:tr>
      <w:tr w:rsidR="00E15C78" w14:paraId="1F6A14B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606" w:type="dxa"/>
            <w:gridSpan w:val="7"/>
          </w:tcPr>
          <w:p w14:paraId="110C4970" w14:textId="36D5FFEC" w:rsidR="00E15C78" w:rsidRPr="00F2246F" w:rsidRDefault="00E15C78" w:rsidP="00F2246F">
            <w:pPr>
              <w:spacing w:after="160" w:line="259" w:lineRule="auto"/>
              <w:jc w:val="center"/>
              <w:rPr>
                <w:rFonts w:ascii="Arial" w:hAnsi="Arial" w:cs="Arial"/>
                <w:b/>
                <w:bCs/>
                <w:szCs w:val="24"/>
              </w:rPr>
            </w:pPr>
            <w:r w:rsidRPr="00F2246F">
              <w:rPr>
                <w:rFonts w:ascii="Arial" w:hAnsi="Arial" w:cs="Arial"/>
                <w:b/>
                <w:bCs/>
                <w:szCs w:val="24"/>
              </w:rPr>
              <w:t>Monitoring</w:t>
            </w:r>
          </w:p>
        </w:tc>
      </w:tr>
      <w:tr w:rsidR="00E15C78" w14:paraId="75013925" w14:textId="77777777" w:rsidTr="00F2246F">
        <w:tblPrEx>
          <w:tblCellMar>
            <w:left w:w="108" w:type="dxa"/>
            <w:right w:w="108" w:type="dxa"/>
          </w:tblCellMar>
        </w:tblPrEx>
        <w:tc>
          <w:tcPr>
            <w:tcW w:w="5670" w:type="dxa"/>
            <w:vAlign w:val="top"/>
          </w:tcPr>
          <w:p w14:paraId="43A9B82D" w14:textId="1976D916"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Was all relevant data included in the data dashboards to monitor the performance of a lender’s portfolio?</w:t>
            </w:r>
          </w:p>
        </w:tc>
        <w:tc>
          <w:tcPr>
            <w:tcW w:w="3220" w:type="dxa"/>
            <w:vAlign w:val="top"/>
          </w:tcPr>
          <w:p w14:paraId="610B6E50" w14:textId="77777777" w:rsidR="00E15C78" w:rsidRPr="00236B73" w:rsidRDefault="00E15C78" w:rsidP="00E15C78">
            <w:pPr>
              <w:spacing w:after="160" w:line="259" w:lineRule="auto"/>
              <w:rPr>
                <w:rFonts w:ascii="Arial" w:hAnsi="Arial" w:cs="Arial"/>
                <w:color w:val="auto"/>
                <w:szCs w:val="24"/>
              </w:rPr>
            </w:pPr>
          </w:p>
        </w:tc>
        <w:tc>
          <w:tcPr>
            <w:tcW w:w="1033" w:type="dxa"/>
            <w:vAlign w:val="center"/>
          </w:tcPr>
          <w:p w14:paraId="0E93D659" w14:textId="2BE6B4E7"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5892BB4B" w14:textId="77777777" w:rsidR="00E15C78" w:rsidRPr="00236B73" w:rsidRDefault="00E15C78" w:rsidP="00F2246F">
            <w:pPr>
              <w:spacing w:after="160" w:line="259" w:lineRule="auto"/>
              <w:jc w:val="center"/>
              <w:rPr>
                <w:rFonts w:ascii="Arial" w:hAnsi="Arial" w:cs="Arial"/>
                <w:color w:val="auto"/>
                <w:szCs w:val="24"/>
              </w:rPr>
            </w:pPr>
          </w:p>
        </w:tc>
        <w:tc>
          <w:tcPr>
            <w:tcW w:w="851" w:type="dxa"/>
            <w:vAlign w:val="center"/>
          </w:tcPr>
          <w:p w14:paraId="10281779" w14:textId="68C119AC"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1022" w:type="dxa"/>
            <w:vAlign w:val="center"/>
          </w:tcPr>
          <w:p w14:paraId="6D192DA8" w14:textId="548B14C9"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18" w:type="dxa"/>
            <w:vAlign w:val="center"/>
          </w:tcPr>
          <w:p w14:paraId="79F988C7" w14:textId="77777777" w:rsidR="00E15C78" w:rsidRPr="00236B73" w:rsidRDefault="00E15C78" w:rsidP="00F2246F">
            <w:pPr>
              <w:spacing w:after="160" w:line="259" w:lineRule="auto"/>
              <w:jc w:val="center"/>
              <w:rPr>
                <w:color w:val="auto"/>
              </w:rPr>
            </w:pPr>
          </w:p>
        </w:tc>
      </w:tr>
      <w:tr w:rsidR="00F2246F" w14:paraId="573B4B37"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4AFA2E36" w14:textId="7F72D5E4"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 xml:space="preserve">Was data provided in a timely manner to and from Lenders to inform counter fraud actions? </w:t>
            </w:r>
          </w:p>
        </w:tc>
        <w:tc>
          <w:tcPr>
            <w:tcW w:w="3220" w:type="dxa"/>
            <w:vAlign w:val="top"/>
          </w:tcPr>
          <w:p w14:paraId="7ACBAB80" w14:textId="73847A4F"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Frequency of data from lenders</w:t>
            </w:r>
          </w:p>
        </w:tc>
        <w:tc>
          <w:tcPr>
            <w:tcW w:w="1033" w:type="dxa"/>
            <w:vAlign w:val="center"/>
          </w:tcPr>
          <w:p w14:paraId="727F3E30" w14:textId="4CB6DBE8"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1681BED6" w14:textId="77777777" w:rsidR="00E15C78" w:rsidRPr="00236B73" w:rsidRDefault="00E15C78" w:rsidP="00F2246F">
            <w:pPr>
              <w:spacing w:after="160" w:line="259" w:lineRule="auto"/>
              <w:jc w:val="center"/>
              <w:rPr>
                <w:rFonts w:ascii="Arial" w:hAnsi="Arial" w:cs="Arial"/>
                <w:color w:val="auto"/>
                <w:szCs w:val="24"/>
              </w:rPr>
            </w:pPr>
          </w:p>
        </w:tc>
        <w:tc>
          <w:tcPr>
            <w:tcW w:w="0" w:type="dxa"/>
            <w:vAlign w:val="center"/>
          </w:tcPr>
          <w:p w14:paraId="0A82D3EA" w14:textId="5302CDD3"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58086603" w14:textId="76A9525C"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553E6F29" w14:textId="77777777" w:rsidR="00E15C78" w:rsidRPr="00236B73" w:rsidRDefault="00E15C78" w:rsidP="00F2246F">
            <w:pPr>
              <w:spacing w:after="160" w:line="259" w:lineRule="auto"/>
              <w:jc w:val="center"/>
              <w:rPr>
                <w:color w:val="auto"/>
              </w:rPr>
            </w:pPr>
          </w:p>
        </w:tc>
      </w:tr>
      <w:tr w:rsidR="00E15C78" w14:paraId="3E19B33F" w14:textId="77777777" w:rsidTr="00F2246F">
        <w:tblPrEx>
          <w:tblCellMar>
            <w:left w:w="108" w:type="dxa"/>
            <w:right w:w="108" w:type="dxa"/>
          </w:tblCellMar>
        </w:tblPrEx>
        <w:tc>
          <w:tcPr>
            <w:tcW w:w="5670" w:type="dxa"/>
            <w:vAlign w:val="top"/>
          </w:tcPr>
          <w:p w14:paraId="18C15639" w14:textId="3C550F47" w:rsidR="00E15C78" w:rsidRPr="00876E5A" w:rsidRDefault="00E15C78" w:rsidP="00E15C78">
            <w:pPr>
              <w:spacing w:after="160" w:line="259" w:lineRule="auto"/>
              <w:rPr>
                <w:rFonts w:ascii="Arial" w:hAnsi="Arial" w:cs="Arial"/>
                <w:color w:val="auto"/>
                <w:szCs w:val="24"/>
              </w:rPr>
            </w:pPr>
            <w:r w:rsidRPr="00876E5A">
              <w:rPr>
                <w:rFonts w:ascii="Arial" w:hAnsi="Arial" w:cs="Arial"/>
                <w:color w:val="auto"/>
                <w:kern w:val="24"/>
                <w:szCs w:val="24"/>
              </w:rPr>
              <w:t>In what ways did the publication of data impact upon lender behaviour?</w:t>
            </w:r>
          </w:p>
        </w:tc>
        <w:tc>
          <w:tcPr>
            <w:tcW w:w="3220" w:type="dxa"/>
            <w:vAlign w:val="top"/>
          </w:tcPr>
          <w:p w14:paraId="4C1588FF" w14:textId="77777777" w:rsidR="00E15C78" w:rsidRPr="00876E5A" w:rsidRDefault="00E15C78" w:rsidP="00E15C78">
            <w:pPr>
              <w:spacing w:after="160" w:line="259" w:lineRule="auto"/>
              <w:rPr>
                <w:rFonts w:ascii="Arial" w:hAnsi="Arial" w:cs="Arial"/>
                <w:color w:val="auto"/>
                <w:szCs w:val="24"/>
              </w:rPr>
            </w:pPr>
          </w:p>
        </w:tc>
        <w:tc>
          <w:tcPr>
            <w:tcW w:w="1033" w:type="dxa"/>
            <w:vAlign w:val="center"/>
          </w:tcPr>
          <w:p w14:paraId="713572A1" w14:textId="77777777" w:rsidR="00E15C78" w:rsidRPr="00876E5A" w:rsidRDefault="00E15C78" w:rsidP="00F2246F">
            <w:pPr>
              <w:spacing w:after="160" w:line="259" w:lineRule="auto"/>
              <w:jc w:val="center"/>
              <w:rPr>
                <w:rFonts w:ascii="Arial" w:hAnsi="Arial" w:cs="Arial"/>
                <w:color w:val="auto"/>
                <w:szCs w:val="24"/>
              </w:rPr>
            </w:pPr>
          </w:p>
        </w:tc>
        <w:tc>
          <w:tcPr>
            <w:tcW w:w="992" w:type="dxa"/>
            <w:vAlign w:val="center"/>
          </w:tcPr>
          <w:p w14:paraId="2A7B7C15" w14:textId="77777777" w:rsidR="00E15C78" w:rsidRPr="00876E5A" w:rsidRDefault="00E15C78" w:rsidP="00F2246F">
            <w:pPr>
              <w:spacing w:after="160" w:line="259" w:lineRule="auto"/>
              <w:jc w:val="center"/>
              <w:rPr>
                <w:rFonts w:ascii="Arial" w:hAnsi="Arial" w:cs="Arial"/>
                <w:color w:val="auto"/>
                <w:szCs w:val="24"/>
              </w:rPr>
            </w:pPr>
          </w:p>
        </w:tc>
        <w:tc>
          <w:tcPr>
            <w:tcW w:w="851" w:type="dxa"/>
            <w:vAlign w:val="center"/>
          </w:tcPr>
          <w:p w14:paraId="5E53F331" w14:textId="77777777" w:rsidR="00E15C78" w:rsidRPr="00876E5A" w:rsidRDefault="00E15C78" w:rsidP="00F2246F">
            <w:pPr>
              <w:spacing w:after="160" w:line="259" w:lineRule="auto"/>
              <w:jc w:val="center"/>
              <w:rPr>
                <w:rFonts w:ascii="Arial" w:hAnsi="Arial" w:cs="Arial"/>
                <w:color w:val="auto"/>
                <w:szCs w:val="24"/>
              </w:rPr>
            </w:pPr>
          </w:p>
        </w:tc>
        <w:tc>
          <w:tcPr>
            <w:tcW w:w="1022" w:type="dxa"/>
            <w:vAlign w:val="center"/>
          </w:tcPr>
          <w:p w14:paraId="55A5762B" w14:textId="77777777" w:rsidR="00E15C78" w:rsidRPr="00876E5A" w:rsidRDefault="00E15C78" w:rsidP="00F2246F">
            <w:pPr>
              <w:spacing w:after="160" w:line="259" w:lineRule="auto"/>
              <w:jc w:val="center"/>
              <w:rPr>
                <w:rFonts w:ascii="Arial" w:hAnsi="Arial" w:cs="Arial"/>
                <w:color w:val="auto"/>
                <w:szCs w:val="24"/>
              </w:rPr>
            </w:pPr>
          </w:p>
        </w:tc>
        <w:tc>
          <w:tcPr>
            <w:tcW w:w="818" w:type="dxa"/>
            <w:vAlign w:val="center"/>
          </w:tcPr>
          <w:p w14:paraId="47B32184" w14:textId="77777777" w:rsidR="00E15C78" w:rsidRPr="00876E5A" w:rsidRDefault="00E15C78" w:rsidP="00F2246F">
            <w:pPr>
              <w:spacing w:after="160" w:line="259" w:lineRule="auto"/>
              <w:jc w:val="center"/>
              <w:rPr>
                <w:color w:val="auto"/>
              </w:rPr>
            </w:pPr>
          </w:p>
        </w:tc>
      </w:tr>
      <w:tr w:rsidR="00F2246F" w14:paraId="64728902"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7AFE601C" w14:textId="2637E3E5" w:rsidR="00E15C78" w:rsidRPr="00876E5A" w:rsidRDefault="00E15C78" w:rsidP="00E15C78">
            <w:pPr>
              <w:spacing w:after="160" w:line="259" w:lineRule="auto"/>
              <w:rPr>
                <w:rFonts w:ascii="Arial" w:hAnsi="Arial" w:cs="Arial"/>
                <w:color w:val="auto"/>
                <w:szCs w:val="24"/>
              </w:rPr>
            </w:pPr>
            <w:r w:rsidRPr="00876E5A">
              <w:rPr>
                <w:rFonts w:ascii="Arial" w:hAnsi="Arial" w:cs="Arial"/>
                <w:color w:val="auto"/>
                <w:kern w:val="24"/>
                <w:szCs w:val="24"/>
              </w:rPr>
              <w:t>How effective was the lender challenge process in influencing lender behaviour?</w:t>
            </w:r>
          </w:p>
        </w:tc>
        <w:tc>
          <w:tcPr>
            <w:tcW w:w="3220" w:type="dxa"/>
            <w:vAlign w:val="top"/>
          </w:tcPr>
          <w:p w14:paraId="492E9E82" w14:textId="77777777" w:rsidR="00E15C78" w:rsidRPr="00876E5A" w:rsidRDefault="00E15C78" w:rsidP="00E15C78">
            <w:pPr>
              <w:pStyle w:val="NormalWeb"/>
              <w:spacing w:before="0" w:after="0"/>
              <w:rPr>
                <w:rFonts w:ascii="Arial" w:hAnsi="Arial" w:cs="Arial"/>
                <w:color w:val="auto"/>
              </w:rPr>
            </w:pPr>
            <w:r w:rsidRPr="00876E5A">
              <w:rPr>
                <w:rFonts w:ascii="Arial" w:hAnsi="Arial" w:cs="Arial"/>
                <w:color w:val="auto"/>
                <w:kern w:val="24"/>
              </w:rPr>
              <w:t># of lender challenges</w:t>
            </w:r>
          </w:p>
          <w:p w14:paraId="0BBA056A" w14:textId="1C83C4A9" w:rsidR="00E15C78" w:rsidRPr="00876E5A" w:rsidRDefault="00E15C78" w:rsidP="00E15C78">
            <w:pPr>
              <w:spacing w:after="160" w:line="259" w:lineRule="auto"/>
              <w:rPr>
                <w:rFonts w:ascii="Arial" w:hAnsi="Arial" w:cs="Arial"/>
                <w:color w:val="auto"/>
                <w:szCs w:val="24"/>
              </w:rPr>
            </w:pPr>
            <w:r w:rsidRPr="00876E5A">
              <w:rPr>
                <w:rFonts w:ascii="Arial" w:hAnsi="Arial" w:cs="Arial"/>
                <w:color w:val="auto"/>
                <w:kern w:val="24"/>
                <w:szCs w:val="24"/>
              </w:rPr>
              <w:t># of guarantees removed</w:t>
            </w:r>
          </w:p>
        </w:tc>
        <w:tc>
          <w:tcPr>
            <w:tcW w:w="1033" w:type="dxa"/>
            <w:vAlign w:val="center"/>
          </w:tcPr>
          <w:p w14:paraId="7A6E7511" w14:textId="77777777" w:rsidR="00E15C78" w:rsidRPr="00876E5A" w:rsidRDefault="00E15C78" w:rsidP="00F2246F">
            <w:pPr>
              <w:spacing w:after="160" w:line="259" w:lineRule="auto"/>
              <w:jc w:val="center"/>
              <w:rPr>
                <w:rFonts w:ascii="Arial" w:hAnsi="Arial" w:cs="Arial"/>
                <w:color w:val="auto"/>
                <w:szCs w:val="24"/>
              </w:rPr>
            </w:pPr>
          </w:p>
        </w:tc>
        <w:tc>
          <w:tcPr>
            <w:tcW w:w="0" w:type="dxa"/>
            <w:vAlign w:val="center"/>
          </w:tcPr>
          <w:p w14:paraId="7A8E0AE7" w14:textId="77777777" w:rsidR="00E15C78" w:rsidRPr="00876E5A" w:rsidRDefault="00E15C78" w:rsidP="00F2246F">
            <w:pPr>
              <w:spacing w:after="160" w:line="259" w:lineRule="auto"/>
              <w:jc w:val="center"/>
              <w:rPr>
                <w:rFonts w:ascii="Arial" w:hAnsi="Arial" w:cs="Arial"/>
                <w:color w:val="auto"/>
                <w:szCs w:val="24"/>
              </w:rPr>
            </w:pPr>
          </w:p>
        </w:tc>
        <w:tc>
          <w:tcPr>
            <w:tcW w:w="0" w:type="dxa"/>
            <w:vAlign w:val="center"/>
          </w:tcPr>
          <w:p w14:paraId="36453854" w14:textId="2D9EF889" w:rsidR="00E15C78" w:rsidRPr="00876E5A" w:rsidRDefault="00E15C78" w:rsidP="00F2246F">
            <w:pPr>
              <w:spacing w:after="160" w:line="259" w:lineRule="auto"/>
              <w:jc w:val="center"/>
              <w:rPr>
                <w:rFonts w:ascii="Arial" w:hAnsi="Arial" w:cs="Arial"/>
                <w:color w:val="auto"/>
                <w:szCs w:val="24"/>
              </w:rPr>
            </w:pPr>
            <w:r w:rsidRPr="00876E5A">
              <w:rPr>
                <w:rFonts w:ascii="Arial" w:hAnsi="Arial" w:cs="Arial"/>
                <w:color w:val="auto"/>
                <w:kern w:val="24"/>
                <w:szCs w:val="24"/>
              </w:rPr>
              <w:t>X</w:t>
            </w:r>
          </w:p>
        </w:tc>
        <w:tc>
          <w:tcPr>
            <w:tcW w:w="0" w:type="dxa"/>
            <w:vAlign w:val="center"/>
          </w:tcPr>
          <w:p w14:paraId="188EC476" w14:textId="58C9907A" w:rsidR="00E15C78" w:rsidRPr="00876E5A" w:rsidRDefault="00E15C78" w:rsidP="00F2246F">
            <w:pPr>
              <w:spacing w:after="160" w:line="259" w:lineRule="auto"/>
              <w:jc w:val="center"/>
              <w:rPr>
                <w:rFonts w:ascii="Arial" w:hAnsi="Arial" w:cs="Arial"/>
                <w:color w:val="auto"/>
                <w:szCs w:val="24"/>
              </w:rPr>
            </w:pPr>
            <w:r w:rsidRPr="00876E5A">
              <w:rPr>
                <w:rFonts w:ascii="Arial" w:hAnsi="Arial" w:cs="Arial"/>
                <w:color w:val="auto"/>
                <w:kern w:val="24"/>
                <w:szCs w:val="24"/>
              </w:rPr>
              <w:t>X</w:t>
            </w:r>
          </w:p>
        </w:tc>
        <w:tc>
          <w:tcPr>
            <w:tcW w:w="0" w:type="dxa"/>
            <w:vAlign w:val="center"/>
          </w:tcPr>
          <w:p w14:paraId="3813A375" w14:textId="77777777" w:rsidR="00E15C78" w:rsidRPr="00876E5A" w:rsidRDefault="00E15C78" w:rsidP="00F2246F">
            <w:pPr>
              <w:spacing w:after="160" w:line="259" w:lineRule="auto"/>
              <w:jc w:val="center"/>
              <w:rPr>
                <w:color w:val="auto"/>
              </w:rPr>
            </w:pPr>
          </w:p>
        </w:tc>
      </w:tr>
      <w:tr w:rsidR="00E15C78" w14:paraId="03FEA4B7" w14:textId="77777777" w:rsidTr="00F2246F">
        <w:tblPrEx>
          <w:tblCellMar>
            <w:left w:w="108" w:type="dxa"/>
            <w:right w:w="108" w:type="dxa"/>
          </w:tblCellMar>
        </w:tblPrEx>
        <w:tc>
          <w:tcPr>
            <w:tcW w:w="5670" w:type="dxa"/>
            <w:vAlign w:val="top"/>
          </w:tcPr>
          <w:p w14:paraId="18FEF2D6" w14:textId="2E9468AC" w:rsidR="00E15C78" w:rsidRPr="00876E5A" w:rsidRDefault="00E15C78" w:rsidP="00E15C78">
            <w:pPr>
              <w:spacing w:after="160" w:line="259" w:lineRule="auto"/>
              <w:rPr>
                <w:rFonts w:ascii="Arial" w:hAnsi="Arial" w:cs="Arial"/>
                <w:color w:val="auto"/>
                <w:szCs w:val="24"/>
              </w:rPr>
            </w:pPr>
            <w:r w:rsidRPr="00876E5A">
              <w:rPr>
                <w:rFonts w:ascii="Arial" w:eastAsia="Calibri" w:hAnsi="Arial" w:cs="Arial"/>
                <w:color w:val="auto"/>
                <w:kern w:val="24"/>
                <w:szCs w:val="24"/>
              </w:rPr>
              <w:t>Is the external audit exercise proportionate to the value of the C</w:t>
            </w:r>
            <w:r w:rsidR="00994BE7" w:rsidRPr="00876E5A">
              <w:rPr>
                <w:rFonts w:ascii="Arial" w:eastAsia="Calibri" w:hAnsi="Arial" w:cs="Arial"/>
                <w:color w:val="auto"/>
                <w:kern w:val="24"/>
                <w:szCs w:val="24"/>
              </w:rPr>
              <w:t>ovid</w:t>
            </w:r>
            <w:r w:rsidRPr="00876E5A">
              <w:rPr>
                <w:rFonts w:ascii="Arial" w:eastAsia="Calibri" w:hAnsi="Arial" w:cs="Arial"/>
                <w:color w:val="auto"/>
                <w:kern w:val="24"/>
                <w:szCs w:val="24"/>
              </w:rPr>
              <w:t>-19 Loan Guarantee Schemes?</w:t>
            </w:r>
          </w:p>
        </w:tc>
        <w:tc>
          <w:tcPr>
            <w:tcW w:w="3220" w:type="dxa"/>
            <w:vAlign w:val="top"/>
          </w:tcPr>
          <w:p w14:paraId="07B6BECF" w14:textId="77777777" w:rsidR="00E15C78" w:rsidRPr="00876E5A" w:rsidRDefault="00E15C78" w:rsidP="00E15C78">
            <w:pPr>
              <w:spacing w:after="160" w:line="259" w:lineRule="auto"/>
              <w:rPr>
                <w:rFonts w:ascii="Arial" w:hAnsi="Arial" w:cs="Arial"/>
                <w:color w:val="auto"/>
                <w:szCs w:val="24"/>
              </w:rPr>
            </w:pPr>
          </w:p>
        </w:tc>
        <w:tc>
          <w:tcPr>
            <w:tcW w:w="1033" w:type="dxa"/>
            <w:vAlign w:val="center"/>
          </w:tcPr>
          <w:p w14:paraId="08C2AE1F" w14:textId="77777777" w:rsidR="00E15C78" w:rsidRPr="00876E5A" w:rsidRDefault="00E15C78" w:rsidP="00F2246F">
            <w:pPr>
              <w:spacing w:after="160" w:line="259" w:lineRule="auto"/>
              <w:jc w:val="center"/>
              <w:rPr>
                <w:rFonts w:ascii="Arial" w:hAnsi="Arial" w:cs="Arial"/>
                <w:color w:val="auto"/>
                <w:szCs w:val="24"/>
              </w:rPr>
            </w:pPr>
          </w:p>
        </w:tc>
        <w:tc>
          <w:tcPr>
            <w:tcW w:w="992" w:type="dxa"/>
            <w:vAlign w:val="center"/>
          </w:tcPr>
          <w:p w14:paraId="2F9E811A" w14:textId="77777777" w:rsidR="00E15C78" w:rsidRPr="00876E5A" w:rsidRDefault="00E15C78" w:rsidP="00F2246F">
            <w:pPr>
              <w:spacing w:after="160" w:line="259" w:lineRule="auto"/>
              <w:jc w:val="center"/>
              <w:rPr>
                <w:rFonts w:ascii="Arial" w:hAnsi="Arial" w:cs="Arial"/>
                <w:color w:val="auto"/>
                <w:szCs w:val="24"/>
              </w:rPr>
            </w:pPr>
          </w:p>
        </w:tc>
        <w:tc>
          <w:tcPr>
            <w:tcW w:w="851" w:type="dxa"/>
            <w:vAlign w:val="center"/>
          </w:tcPr>
          <w:p w14:paraId="6ECB91DE" w14:textId="46B1744A" w:rsidR="00E15C78" w:rsidRPr="00876E5A" w:rsidRDefault="00E15C78" w:rsidP="00F2246F">
            <w:pPr>
              <w:spacing w:after="160" w:line="259" w:lineRule="auto"/>
              <w:jc w:val="center"/>
              <w:rPr>
                <w:rFonts w:ascii="Arial" w:hAnsi="Arial" w:cs="Arial"/>
                <w:color w:val="auto"/>
                <w:szCs w:val="24"/>
              </w:rPr>
            </w:pPr>
            <w:r w:rsidRPr="00876E5A">
              <w:rPr>
                <w:rFonts w:ascii="Arial" w:hAnsi="Arial" w:cs="Arial"/>
                <w:color w:val="auto"/>
                <w:kern w:val="24"/>
                <w:szCs w:val="24"/>
              </w:rPr>
              <w:t>X</w:t>
            </w:r>
          </w:p>
        </w:tc>
        <w:tc>
          <w:tcPr>
            <w:tcW w:w="1022" w:type="dxa"/>
            <w:vAlign w:val="center"/>
          </w:tcPr>
          <w:p w14:paraId="12A7E02C" w14:textId="47B8784E" w:rsidR="00E15C78" w:rsidRPr="00876E5A" w:rsidRDefault="00E15C78" w:rsidP="00F2246F">
            <w:pPr>
              <w:spacing w:after="160" w:line="259" w:lineRule="auto"/>
              <w:jc w:val="center"/>
              <w:rPr>
                <w:rFonts w:ascii="Arial" w:hAnsi="Arial" w:cs="Arial"/>
                <w:color w:val="auto"/>
                <w:szCs w:val="24"/>
              </w:rPr>
            </w:pPr>
            <w:r w:rsidRPr="00876E5A">
              <w:rPr>
                <w:rFonts w:ascii="Arial" w:hAnsi="Arial" w:cs="Arial"/>
                <w:color w:val="auto"/>
                <w:kern w:val="24"/>
                <w:szCs w:val="24"/>
              </w:rPr>
              <w:t>X</w:t>
            </w:r>
          </w:p>
        </w:tc>
        <w:tc>
          <w:tcPr>
            <w:tcW w:w="818" w:type="dxa"/>
            <w:vAlign w:val="center"/>
          </w:tcPr>
          <w:p w14:paraId="4D4FA876" w14:textId="7BC92637" w:rsidR="00E15C78" w:rsidRPr="00876E5A" w:rsidRDefault="00E15C78" w:rsidP="00F2246F">
            <w:pPr>
              <w:spacing w:after="160" w:line="259" w:lineRule="auto"/>
              <w:jc w:val="center"/>
              <w:rPr>
                <w:color w:val="auto"/>
              </w:rPr>
            </w:pPr>
            <w:r w:rsidRPr="00643B79">
              <w:rPr>
                <w:color w:val="auto"/>
              </w:rPr>
              <w:t>X</w:t>
            </w:r>
          </w:p>
        </w:tc>
      </w:tr>
      <w:tr w:rsidR="00F2246F" w14:paraId="67FA51D9"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5B01BEE5" w14:textId="0E805BD0" w:rsidR="00E15C78" w:rsidRPr="00876E5A" w:rsidRDefault="00E15C78" w:rsidP="00E15C78">
            <w:pPr>
              <w:spacing w:after="160" w:line="259" w:lineRule="auto"/>
              <w:rPr>
                <w:rFonts w:ascii="Arial" w:hAnsi="Arial" w:cs="Arial"/>
                <w:color w:val="auto"/>
                <w:szCs w:val="24"/>
              </w:rPr>
            </w:pPr>
            <w:r w:rsidRPr="00876E5A">
              <w:rPr>
                <w:rFonts w:ascii="Arial" w:eastAsia="Calibri" w:hAnsi="Arial" w:cs="Arial"/>
                <w:color w:val="auto"/>
                <w:kern w:val="24"/>
                <w:szCs w:val="24"/>
              </w:rPr>
              <w:t>How effective is the audit exercise in monitoring lenders compliance with the rules of the C</w:t>
            </w:r>
            <w:r w:rsidR="00994BE7" w:rsidRPr="00876E5A">
              <w:rPr>
                <w:rFonts w:ascii="Arial" w:eastAsia="Calibri" w:hAnsi="Arial" w:cs="Arial"/>
                <w:color w:val="auto"/>
                <w:kern w:val="24"/>
                <w:szCs w:val="24"/>
              </w:rPr>
              <w:t>ovid</w:t>
            </w:r>
            <w:r w:rsidRPr="00876E5A">
              <w:rPr>
                <w:rFonts w:ascii="Arial" w:eastAsia="Calibri" w:hAnsi="Arial" w:cs="Arial"/>
                <w:color w:val="auto"/>
                <w:kern w:val="24"/>
                <w:szCs w:val="24"/>
              </w:rPr>
              <w:t>-19 Loan Guarantee Schemes?</w:t>
            </w:r>
          </w:p>
        </w:tc>
        <w:tc>
          <w:tcPr>
            <w:tcW w:w="3220" w:type="dxa"/>
            <w:vAlign w:val="top"/>
          </w:tcPr>
          <w:p w14:paraId="6D053CCB" w14:textId="701044E2" w:rsidR="00E15C78" w:rsidRPr="00876E5A" w:rsidRDefault="00E15C78" w:rsidP="00E15C78">
            <w:pPr>
              <w:spacing w:after="160" w:line="259" w:lineRule="auto"/>
              <w:rPr>
                <w:rFonts w:ascii="Arial" w:hAnsi="Arial" w:cs="Arial"/>
                <w:color w:val="auto"/>
                <w:szCs w:val="24"/>
              </w:rPr>
            </w:pPr>
            <w:r w:rsidRPr="00876E5A">
              <w:rPr>
                <w:rFonts w:ascii="Arial" w:hAnsi="Arial" w:cs="Arial"/>
                <w:color w:val="auto"/>
                <w:kern w:val="24"/>
                <w:szCs w:val="24"/>
              </w:rPr>
              <w:t>Proportion of lender portfolios with a “green” or “amber” fraud rating</w:t>
            </w:r>
          </w:p>
        </w:tc>
        <w:tc>
          <w:tcPr>
            <w:tcW w:w="1033" w:type="dxa"/>
            <w:vAlign w:val="center"/>
          </w:tcPr>
          <w:p w14:paraId="7CFA1D45" w14:textId="1E1F32E4" w:rsidR="00E15C78" w:rsidRPr="00876E5A" w:rsidRDefault="00E15C78" w:rsidP="00F2246F">
            <w:pPr>
              <w:spacing w:after="160" w:line="259" w:lineRule="auto"/>
              <w:jc w:val="center"/>
              <w:rPr>
                <w:rFonts w:ascii="Arial" w:hAnsi="Arial" w:cs="Arial"/>
                <w:color w:val="auto"/>
                <w:szCs w:val="24"/>
              </w:rPr>
            </w:pPr>
            <w:r w:rsidRPr="00876E5A">
              <w:rPr>
                <w:rFonts w:ascii="Arial" w:hAnsi="Arial" w:cs="Arial"/>
                <w:color w:val="auto"/>
                <w:kern w:val="24"/>
                <w:szCs w:val="24"/>
              </w:rPr>
              <w:t>X</w:t>
            </w:r>
          </w:p>
        </w:tc>
        <w:tc>
          <w:tcPr>
            <w:tcW w:w="0" w:type="dxa"/>
            <w:vAlign w:val="center"/>
          </w:tcPr>
          <w:p w14:paraId="2241E511" w14:textId="2DF025FA" w:rsidR="00E15C78" w:rsidRPr="00876E5A" w:rsidRDefault="00E15C78" w:rsidP="00F2246F">
            <w:pPr>
              <w:spacing w:after="160" w:line="259" w:lineRule="auto"/>
              <w:jc w:val="center"/>
              <w:rPr>
                <w:rFonts w:ascii="Arial" w:hAnsi="Arial" w:cs="Arial"/>
                <w:color w:val="auto"/>
                <w:szCs w:val="24"/>
              </w:rPr>
            </w:pPr>
            <w:r w:rsidRPr="00876E5A">
              <w:rPr>
                <w:rFonts w:ascii="Arial" w:hAnsi="Arial" w:cs="Arial"/>
                <w:color w:val="auto"/>
                <w:kern w:val="24"/>
                <w:szCs w:val="24"/>
              </w:rPr>
              <w:t>X</w:t>
            </w:r>
          </w:p>
        </w:tc>
        <w:tc>
          <w:tcPr>
            <w:tcW w:w="0" w:type="dxa"/>
            <w:vAlign w:val="center"/>
          </w:tcPr>
          <w:p w14:paraId="54FD8089" w14:textId="20C71087" w:rsidR="00E15C78" w:rsidRPr="00876E5A" w:rsidRDefault="00E15C78" w:rsidP="00F2246F">
            <w:pPr>
              <w:spacing w:after="160" w:line="259" w:lineRule="auto"/>
              <w:jc w:val="center"/>
              <w:rPr>
                <w:rFonts w:ascii="Arial" w:hAnsi="Arial" w:cs="Arial"/>
                <w:color w:val="auto"/>
                <w:szCs w:val="24"/>
              </w:rPr>
            </w:pPr>
            <w:r w:rsidRPr="00876E5A">
              <w:rPr>
                <w:rFonts w:ascii="Arial" w:hAnsi="Arial" w:cs="Arial"/>
                <w:color w:val="auto"/>
                <w:kern w:val="24"/>
                <w:szCs w:val="24"/>
              </w:rPr>
              <w:t>X</w:t>
            </w:r>
          </w:p>
        </w:tc>
        <w:tc>
          <w:tcPr>
            <w:tcW w:w="0" w:type="dxa"/>
            <w:vAlign w:val="center"/>
          </w:tcPr>
          <w:p w14:paraId="1C38ECED" w14:textId="0AEC15F7" w:rsidR="00E15C78" w:rsidRPr="00876E5A" w:rsidRDefault="00E15C78" w:rsidP="00F2246F">
            <w:pPr>
              <w:spacing w:after="160" w:line="259" w:lineRule="auto"/>
              <w:jc w:val="center"/>
              <w:rPr>
                <w:rFonts w:ascii="Arial" w:hAnsi="Arial" w:cs="Arial"/>
                <w:color w:val="auto"/>
                <w:szCs w:val="24"/>
              </w:rPr>
            </w:pPr>
            <w:r w:rsidRPr="00876E5A">
              <w:rPr>
                <w:rFonts w:ascii="Arial" w:hAnsi="Arial" w:cs="Arial"/>
                <w:color w:val="auto"/>
                <w:kern w:val="24"/>
                <w:szCs w:val="24"/>
              </w:rPr>
              <w:t>X</w:t>
            </w:r>
          </w:p>
        </w:tc>
        <w:tc>
          <w:tcPr>
            <w:tcW w:w="0" w:type="dxa"/>
            <w:vAlign w:val="center"/>
          </w:tcPr>
          <w:p w14:paraId="4EE5FBD1" w14:textId="77777777" w:rsidR="00E15C78" w:rsidRPr="00876E5A" w:rsidRDefault="00E15C78" w:rsidP="00F2246F">
            <w:pPr>
              <w:spacing w:after="160" w:line="259" w:lineRule="auto"/>
              <w:jc w:val="center"/>
              <w:rPr>
                <w:color w:val="auto"/>
              </w:rPr>
            </w:pPr>
          </w:p>
        </w:tc>
      </w:tr>
      <w:tr w:rsidR="00113135" w14:paraId="53303FF3" w14:textId="77777777" w:rsidTr="00F2246F">
        <w:tblPrEx>
          <w:tblCellMar>
            <w:left w:w="108" w:type="dxa"/>
            <w:right w:w="108" w:type="dxa"/>
          </w:tblCellMar>
        </w:tblPrEx>
        <w:tc>
          <w:tcPr>
            <w:tcW w:w="5670" w:type="dxa"/>
            <w:vAlign w:val="top"/>
          </w:tcPr>
          <w:p w14:paraId="38A52FD2" w14:textId="3B2F8DCF" w:rsidR="00E15C78" w:rsidRPr="00F2246F" w:rsidRDefault="00E15C78" w:rsidP="00E15C78">
            <w:pPr>
              <w:spacing w:after="160" w:line="259" w:lineRule="auto"/>
              <w:rPr>
                <w:rFonts w:ascii="Arial" w:hAnsi="Arial" w:cs="Arial"/>
                <w:color w:val="auto"/>
                <w:szCs w:val="24"/>
              </w:rPr>
            </w:pPr>
            <w:r w:rsidRPr="00F2246F">
              <w:rPr>
                <w:rFonts w:ascii="Arial" w:eastAsia="Calibri" w:hAnsi="Arial" w:cs="Arial"/>
                <w:color w:val="auto"/>
                <w:kern w:val="24"/>
                <w:szCs w:val="24"/>
              </w:rPr>
              <w:t>In what ways has the external audit process altered lenders’ internal processes?</w:t>
            </w:r>
          </w:p>
        </w:tc>
        <w:tc>
          <w:tcPr>
            <w:tcW w:w="3220" w:type="dxa"/>
            <w:vAlign w:val="top"/>
          </w:tcPr>
          <w:p w14:paraId="34285997" w14:textId="77777777" w:rsidR="00E15C78" w:rsidRPr="00F2246F" w:rsidRDefault="00E15C78" w:rsidP="00E15C78">
            <w:pPr>
              <w:spacing w:after="160" w:line="259" w:lineRule="auto"/>
              <w:rPr>
                <w:rFonts w:ascii="Arial" w:hAnsi="Arial" w:cs="Arial"/>
                <w:color w:val="auto"/>
                <w:szCs w:val="24"/>
              </w:rPr>
            </w:pPr>
          </w:p>
        </w:tc>
        <w:tc>
          <w:tcPr>
            <w:tcW w:w="1033" w:type="dxa"/>
            <w:vAlign w:val="center"/>
          </w:tcPr>
          <w:p w14:paraId="0B01C894"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5E789D9F"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5443BE05" w14:textId="77777777" w:rsidR="00E15C78" w:rsidRPr="00643B79" w:rsidRDefault="00E15C78" w:rsidP="00F2246F">
            <w:pPr>
              <w:spacing w:after="160" w:line="259" w:lineRule="auto"/>
              <w:jc w:val="center"/>
              <w:rPr>
                <w:rFonts w:ascii="Arial" w:hAnsi="Arial" w:cs="Arial"/>
                <w:color w:val="auto"/>
                <w:szCs w:val="24"/>
              </w:rPr>
            </w:pPr>
          </w:p>
        </w:tc>
        <w:tc>
          <w:tcPr>
            <w:tcW w:w="1022" w:type="dxa"/>
            <w:vAlign w:val="center"/>
          </w:tcPr>
          <w:p w14:paraId="45DD96D0" w14:textId="1E135F1A"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18" w:type="dxa"/>
            <w:vAlign w:val="center"/>
          </w:tcPr>
          <w:p w14:paraId="60EF90F6" w14:textId="77777777" w:rsidR="00E15C78" w:rsidRPr="00643B79" w:rsidRDefault="00E15C78" w:rsidP="00F2246F">
            <w:pPr>
              <w:spacing w:after="160" w:line="259" w:lineRule="auto"/>
              <w:jc w:val="center"/>
              <w:rPr>
                <w:color w:val="auto"/>
              </w:rPr>
            </w:pPr>
          </w:p>
        </w:tc>
      </w:tr>
      <w:tr w:rsidR="00F2246F" w14:paraId="352B3805"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4A87A1F4" w14:textId="2A6013D8" w:rsidR="00E15C78" w:rsidRPr="00643B79" w:rsidRDefault="00E15C78" w:rsidP="00E15C78">
            <w:pPr>
              <w:spacing w:after="160" w:line="259" w:lineRule="auto"/>
              <w:rPr>
                <w:rFonts w:ascii="Arial" w:hAnsi="Arial" w:cs="Arial"/>
                <w:color w:val="auto"/>
                <w:szCs w:val="24"/>
              </w:rPr>
            </w:pPr>
            <w:r w:rsidRPr="00643B79">
              <w:rPr>
                <w:rFonts w:ascii="Arial" w:eastAsia="Calibri" w:hAnsi="Arial" w:cs="Arial"/>
                <w:color w:val="auto"/>
                <w:kern w:val="24"/>
                <w:szCs w:val="24"/>
              </w:rPr>
              <w:lastRenderedPageBreak/>
              <w:t>How effective have the relationship management processes been in encouraging lender cooperation with the schemes?</w:t>
            </w:r>
          </w:p>
        </w:tc>
        <w:tc>
          <w:tcPr>
            <w:tcW w:w="3220" w:type="dxa"/>
            <w:vAlign w:val="top"/>
          </w:tcPr>
          <w:p w14:paraId="505CF950"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19D54C94"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26E78D6D" w14:textId="77777777" w:rsidR="00E15C78" w:rsidRPr="00643B79" w:rsidRDefault="00E15C78" w:rsidP="00F2246F">
            <w:pPr>
              <w:spacing w:after="160" w:line="259" w:lineRule="auto"/>
              <w:jc w:val="center"/>
              <w:rPr>
                <w:rFonts w:ascii="Arial" w:hAnsi="Arial" w:cs="Arial"/>
                <w:color w:val="auto"/>
                <w:szCs w:val="24"/>
              </w:rPr>
            </w:pPr>
          </w:p>
        </w:tc>
        <w:tc>
          <w:tcPr>
            <w:tcW w:w="0" w:type="dxa"/>
            <w:vAlign w:val="center"/>
          </w:tcPr>
          <w:p w14:paraId="1C296943" w14:textId="0FD1D620"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7BB800EF" w14:textId="68342F07"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5D08C99B" w14:textId="77777777" w:rsidR="00E15C78" w:rsidRPr="00236B73" w:rsidRDefault="00E15C78" w:rsidP="00F2246F">
            <w:pPr>
              <w:spacing w:after="160" w:line="259" w:lineRule="auto"/>
              <w:jc w:val="center"/>
              <w:rPr>
                <w:color w:val="1D1D1B" w:themeColor="text1"/>
              </w:rPr>
            </w:pPr>
          </w:p>
        </w:tc>
      </w:tr>
      <w:tr w:rsidR="00113135" w14:paraId="4F72FB6E" w14:textId="77777777" w:rsidTr="00F2246F">
        <w:tblPrEx>
          <w:tblCellMar>
            <w:left w:w="108" w:type="dxa"/>
            <w:right w:w="108" w:type="dxa"/>
          </w:tblCellMar>
        </w:tblPrEx>
        <w:tc>
          <w:tcPr>
            <w:tcW w:w="5670" w:type="dxa"/>
            <w:vAlign w:val="top"/>
          </w:tcPr>
          <w:p w14:paraId="5610E331" w14:textId="42E6108C" w:rsidR="00E15C78" w:rsidRPr="00643B79" w:rsidRDefault="00E15C78" w:rsidP="00E15C78">
            <w:pPr>
              <w:spacing w:after="160" w:line="259" w:lineRule="auto"/>
              <w:rPr>
                <w:rFonts w:ascii="Arial" w:hAnsi="Arial" w:cs="Arial"/>
                <w:color w:val="auto"/>
                <w:szCs w:val="24"/>
              </w:rPr>
            </w:pPr>
            <w:r w:rsidRPr="00643B79">
              <w:rPr>
                <w:rFonts w:ascii="Arial" w:eastAsia="Calibri" w:hAnsi="Arial" w:cs="Arial"/>
                <w:color w:val="auto"/>
                <w:kern w:val="24"/>
                <w:szCs w:val="24"/>
              </w:rPr>
              <w:t>How has the post event assurance plan supported a reduction in future financial crime risk?</w:t>
            </w:r>
          </w:p>
        </w:tc>
        <w:tc>
          <w:tcPr>
            <w:tcW w:w="3220" w:type="dxa"/>
            <w:vAlign w:val="top"/>
          </w:tcPr>
          <w:p w14:paraId="60E8C4A9"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5CCD7CE1"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523CBCBF"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7F21D2A2" w14:textId="00103D41"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1022" w:type="dxa"/>
            <w:vAlign w:val="center"/>
          </w:tcPr>
          <w:p w14:paraId="4F9A9C98" w14:textId="34FCFD6E"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18" w:type="dxa"/>
            <w:vAlign w:val="center"/>
          </w:tcPr>
          <w:p w14:paraId="797643EA" w14:textId="77777777" w:rsidR="00E15C78" w:rsidRPr="00236B73" w:rsidRDefault="00E15C78" w:rsidP="00F2246F">
            <w:pPr>
              <w:spacing w:after="160" w:line="259" w:lineRule="auto"/>
              <w:jc w:val="center"/>
              <w:rPr>
                <w:color w:val="1D1D1B" w:themeColor="text1"/>
              </w:rPr>
            </w:pPr>
          </w:p>
        </w:tc>
      </w:tr>
      <w:tr w:rsidR="00F2246F" w14:paraId="15CE2AD2"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463DA9FD" w14:textId="0F15A4DA" w:rsidR="00E15C78" w:rsidRPr="00643B79" w:rsidRDefault="00E15C78" w:rsidP="00E15C78">
            <w:pPr>
              <w:spacing w:after="160" w:line="259" w:lineRule="auto"/>
              <w:rPr>
                <w:rFonts w:ascii="Arial" w:hAnsi="Arial" w:cs="Arial"/>
                <w:color w:val="auto"/>
                <w:szCs w:val="24"/>
              </w:rPr>
            </w:pPr>
            <w:r w:rsidRPr="00643B79">
              <w:rPr>
                <w:rFonts w:ascii="Arial" w:eastAsia="Calibri" w:hAnsi="Arial" w:cs="Arial"/>
                <w:color w:val="auto"/>
                <w:kern w:val="24"/>
                <w:szCs w:val="24"/>
              </w:rPr>
              <w:t>How effective has the portfolio screening process been in supporting lenders to identify potentially fraudulent facilities?</w:t>
            </w:r>
          </w:p>
        </w:tc>
        <w:tc>
          <w:tcPr>
            <w:tcW w:w="3220" w:type="dxa"/>
            <w:vAlign w:val="top"/>
          </w:tcPr>
          <w:p w14:paraId="46AF3C28" w14:textId="4C61F871"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 flags identified</w:t>
            </w:r>
          </w:p>
        </w:tc>
        <w:tc>
          <w:tcPr>
            <w:tcW w:w="1033" w:type="dxa"/>
            <w:vAlign w:val="center"/>
          </w:tcPr>
          <w:p w14:paraId="4BA39DED" w14:textId="70EDB6CB"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5EEE6D4E" w14:textId="77777777" w:rsidR="00E15C78" w:rsidRPr="00643B79" w:rsidRDefault="00E15C78" w:rsidP="00F2246F">
            <w:pPr>
              <w:spacing w:after="160" w:line="259" w:lineRule="auto"/>
              <w:jc w:val="center"/>
              <w:rPr>
                <w:rFonts w:ascii="Arial" w:hAnsi="Arial" w:cs="Arial"/>
                <w:color w:val="auto"/>
                <w:szCs w:val="24"/>
              </w:rPr>
            </w:pPr>
          </w:p>
        </w:tc>
        <w:tc>
          <w:tcPr>
            <w:tcW w:w="0" w:type="dxa"/>
            <w:vAlign w:val="center"/>
          </w:tcPr>
          <w:p w14:paraId="7BE42BDD" w14:textId="0A0A9FDD"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7B73B804" w14:textId="68932F4A"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21675FAD" w14:textId="06001191" w:rsidR="00E15C78" w:rsidRPr="00236B73" w:rsidRDefault="00E15C78" w:rsidP="00F2246F">
            <w:pPr>
              <w:spacing w:after="160" w:line="259" w:lineRule="auto"/>
              <w:jc w:val="center"/>
              <w:rPr>
                <w:color w:val="1D1D1B" w:themeColor="text1"/>
              </w:rPr>
            </w:pPr>
            <w:r w:rsidRPr="00643B79">
              <w:rPr>
                <w:color w:val="auto"/>
              </w:rPr>
              <w:t>X</w:t>
            </w:r>
          </w:p>
        </w:tc>
      </w:tr>
      <w:tr w:rsidR="00E15C78" w14:paraId="4D87C991" w14:textId="77777777">
        <w:tblPrEx>
          <w:tblCellMar>
            <w:left w:w="108" w:type="dxa"/>
            <w:right w:w="108" w:type="dxa"/>
          </w:tblCellMar>
        </w:tblPrEx>
        <w:tc>
          <w:tcPr>
            <w:tcW w:w="13606" w:type="dxa"/>
            <w:gridSpan w:val="7"/>
          </w:tcPr>
          <w:p w14:paraId="13E183BE" w14:textId="7E890F7E" w:rsidR="00E15C78" w:rsidRPr="00643B79" w:rsidRDefault="00E15C78" w:rsidP="00F2246F">
            <w:pPr>
              <w:spacing w:after="160" w:line="259" w:lineRule="auto"/>
              <w:jc w:val="center"/>
              <w:rPr>
                <w:rFonts w:ascii="Arial" w:hAnsi="Arial" w:cs="Arial"/>
                <w:b/>
                <w:color w:val="auto"/>
                <w:szCs w:val="24"/>
              </w:rPr>
            </w:pPr>
            <w:r w:rsidRPr="00643B79">
              <w:rPr>
                <w:rFonts w:ascii="Arial" w:hAnsi="Arial" w:cs="Arial"/>
                <w:b/>
                <w:color w:val="auto"/>
                <w:szCs w:val="24"/>
              </w:rPr>
              <w:t>Repayments</w:t>
            </w:r>
          </w:p>
        </w:tc>
      </w:tr>
      <w:tr w:rsidR="00F2246F" w14:paraId="25CC09DC"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59DB904E" w14:textId="60DD96A0"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have the approaches used by lenders been in securing repayment from businesses in difficulty when compared to BAU portfolio of SME lending?</w:t>
            </w:r>
          </w:p>
        </w:tc>
        <w:tc>
          <w:tcPr>
            <w:tcW w:w="3220" w:type="dxa"/>
            <w:vAlign w:val="top"/>
          </w:tcPr>
          <w:p w14:paraId="2FE8660C" w14:textId="77777777" w:rsidR="00E15C78" w:rsidRPr="00236B73" w:rsidRDefault="00E15C78" w:rsidP="00E15C78">
            <w:pPr>
              <w:pStyle w:val="NormalWeb"/>
              <w:spacing w:before="0" w:after="0"/>
              <w:rPr>
                <w:rFonts w:ascii="Arial" w:hAnsi="Arial" w:cs="Arial"/>
                <w:color w:val="auto"/>
              </w:rPr>
            </w:pPr>
            <w:r w:rsidRPr="00643B79">
              <w:rPr>
                <w:rFonts w:ascii="Arial" w:hAnsi="Arial" w:cs="Arial"/>
                <w:color w:val="auto"/>
                <w:kern w:val="24"/>
              </w:rPr>
              <w:t>Value of repayments made</w:t>
            </w:r>
          </w:p>
          <w:p w14:paraId="019F9FBF" w14:textId="77777777" w:rsidR="00E15C78" w:rsidRPr="00236B73" w:rsidRDefault="00E15C78" w:rsidP="00E15C78">
            <w:pPr>
              <w:pStyle w:val="NormalWeb"/>
              <w:spacing w:before="0" w:after="0"/>
              <w:rPr>
                <w:rFonts w:ascii="Arial" w:hAnsi="Arial" w:cs="Arial"/>
                <w:color w:val="auto"/>
              </w:rPr>
            </w:pPr>
            <w:r w:rsidRPr="00643B79">
              <w:rPr>
                <w:rFonts w:ascii="Arial" w:hAnsi="Arial" w:cs="Arial"/>
                <w:color w:val="auto"/>
                <w:kern w:val="24"/>
              </w:rPr>
              <w:t>Incidence of arrears</w:t>
            </w:r>
          </w:p>
          <w:p w14:paraId="573BEB42" w14:textId="63C01D81"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Value of arrears</w:t>
            </w:r>
          </w:p>
        </w:tc>
        <w:tc>
          <w:tcPr>
            <w:tcW w:w="1033" w:type="dxa"/>
            <w:vAlign w:val="center"/>
          </w:tcPr>
          <w:p w14:paraId="30BD2489" w14:textId="5C38C3C4"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632F6246" w14:textId="64CD6AE3"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51" w:type="dxa"/>
            <w:vAlign w:val="center"/>
          </w:tcPr>
          <w:p w14:paraId="2BDA14B6" w14:textId="40861124"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1022" w:type="dxa"/>
            <w:vAlign w:val="center"/>
          </w:tcPr>
          <w:p w14:paraId="68595891" w14:textId="0BB2C805"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46A79355" w14:textId="77777777" w:rsidR="00E15C78" w:rsidRPr="00236B73" w:rsidRDefault="00E15C78" w:rsidP="00F2246F">
            <w:pPr>
              <w:spacing w:after="160" w:line="259" w:lineRule="auto"/>
              <w:jc w:val="center"/>
              <w:rPr>
                <w:color w:val="1D1D1B" w:themeColor="text1"/>
              </w:rPr>
            </w:pPr>
          </w:p>
        </w:tc>
      </w:tr>
      <w:tr w:rsidR="00113135" w14:paraId="392A008B" w14:textId="77777777" w:rsidTr="00F2246F">
        <w:tblPrEx>
          <w:tblCellMar>
            <w:left w:w="108" w:type="dxa"/>
            <w:right w:w="108" w:type="dxa"/>
          </w:tblCellMar>
        </w:tblPrEx>
        <w:tc>
          <w:tcPr>
            <w:tcW w:w="5670" w:type="dxa"/>
            <w:vAlign w:val="top"/>
          </w:tcPr>
          <w:p w14:paraId="1FA2F891" w14:textId="08BB1CB5" w:rsidR="00E15C78" w:rsidRPr="00876E5A" w:rsidRDefault="00E15C78" w:rsidP="00E15C78">
            <w:pPr>
              <w:spacing w:after="160" w:line="259" w:lineRule="auto"/>
              <w:rPr>
                <w:rFonts w:ascii="Arial" w:hAnsi="Arial" w:cs="Arial"/>
                <w:color w:val="auto"/>
                <w:szCs w:val="24"/>
              </w:rPr>
            </w:pPr>
            <w:r w:rsidRPr="00876E5A">
              <w:rPr>
                <w:rFonts w:ascii="Arial" w:hAnsi="Arial" w:cs="Arial"/>
                <w:color w:val="auto"/>
                <w:kern w:val="24"/>
                <w:szCs w:val="24"/>
              </w:rPr>
              <w:t xml:space="preserve">How effective have the processes to identify and remove erroneous facilities from the </w:t>
            </w:r>
            <w:proofErr w:type="gramStart"/>
            <w:r w:rsidRPr="00876E5A">
              <w:rPr>
                <w:rFonts w:ascii="Arial" w:hAnsi="Arial" w:cs="Arial"/>
                <w:color w:val="auto"/>
                <w:kern w:val="24"/>
                <w:szCs w:val="24"/>
              </w:rPr>
              <w:t>guarantee</w:t>
            </w:r>
            <w:proofErr w:type="gramEnd"/>
            <w:r w:rsidRPr="00876E5A">
              <w:rPr>
                <w:rFonts w:ascii="Arial" w:hAnsi="Arial" w:cs="Arial"/>
                <w:color w:val="auto"/>
                <w:kern w:val="24"/>
                <w:szCs w:val="24"/>
              </w:rPr>
              <w:t xml:space="preserve"> scheme?</w:t>
            </w:r>
          </w:p>
        </w:tc>
        <w:tc>
          <w:tcPr>
            <w:tcW w:w="3220" w:type="dxa"/>
            <w:vAlign w:val="top"/>
          </w:tcPr>
          <w:p w14:paraId="4A269CA1" w14:textId="0D4911D1" w:rsidR="00E15C78" w:rsidRPr="00876E5A" w:rsidRDefault="00E15C78" w:rsidP="00E15C78">
            <w:pPr>
              <w:spacing w:after="160" w:line="259" w:lineRule="auto"/>
              <w:rPr>
                <w:rFonts w:ascii="Arial" w:hAnsi="Arial" w:cs="Arial"/>
                <w:color w:val="auto"/>
                <w:szCs w:val="24"/>
              </w:rPr>
            </w:pPr>
            <w:r w:rsidRPr="00876E5A">
              <w:rPr>
                <w:rFonts w:ascii="Arial" w:hAnsi="Arial" w:cs="Arial"/>
                <w:color w:val="auto"/>
                <w:kern w:val="24"/>
                <w:szCs w:val="24"/>
              </w:rPr>
              <w:t xml:space="preserve">Incidence of facilities removed from </w:t>
            </w:r>
            <w:proofErr w:type="gramStart"/>
            <w:r w:rsidRPr="00876E5A">
              <w:rPr>
                <w:rFonts w:ascii="Arial" w:hAnsi="Arial" w:cs="Arial"/>
                <w:color w:val="auto"/>
                <w:kern w:val="24"/>
                <w:szCs w:val="24"/>
              </w:rPr>
              <w:t>guarantee</w:t>
            </w:r>
            <w:proofErr w:type="gramEnd"/>
            <w:r w:rsidRPr="00876E5A">
              <w:rPr>
                <w:rFonts w:ascii="Arial" w:hAnsi="Arial" w:cs="Arial"/>
                <w:color w:val="auto"/>
                <w:kern w:val="24"/>
                <w:szCs w:val="24"/>
              </w:rPr>
              <w:t xml:space="preserve"> schemes</w:t>
            </w:r>
          </w:p>
        </w:tc>
        <w:tc>
          <w:tcPr>
            <w:tcW w:w="1033" w:type="dxa"/>
            <w:vAlign w:val="center"/>
          </w:tcPr>
          <w:p w14:paraId="4653B10B" w14:textId="473D2C08"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13BBC3B2"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254F4F32" w14:textId="724C58BC"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6E9DE83C" w14:textId="27B891E7"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3AE3330B" w14:textId="77777777" w:rsidR="00E15C78" w:rsidRPr="00236B73" w:rsidRDefault="00E15C78" w:rsidP="00F2246F">
            <w:pPr>
              <w:spacing w:after="160" w:line="259" w:lineRule="auto"/>
              <w:jc w:val="center"/>
              <w:rPr>
                <w:color w:val="1D1D1B" w:themeColor="text1"/>
              </w:rPr>
            </w:pPr>
          </w:p>
        </w:tc>
      </w:tr>
      <w:tr w:rsidR="00F2246F" w14:paraId="232839FF"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1B639C48" w14:textId="10CF1616"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have the debt recovery pilots been in securing repayments? (To be assessed in Y3)</w:t>
            </w:r>
          </w:p>
        </w:tc>
        <w:tc>
          <w:tcPr>
            <w:tcW w:w="3220" w:type="dxa"/>
            <w:vAlign w:val="top"/>
          </w:tcPr>
          <w:p w14:paraId="576F2A15" w14:textId="738F0209"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Value of repayments from pilots</w:t>
            </w:r>
          </w:p>
        </w:tc>
        <w:tc>
          <w:tcPr>
            <w:tcW w:w="1033" w:type="dxa"/>
            <w:vAlign w:val="center"/>
          </w:tcPr>
          <w:p w14:paraId="5EAE3CBF" w14:textId="504E0E60"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5D5D5269"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602F7CFB" w14:textId="75F50926"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1022" w:type="dxa"/>
            <w:vAlign w:val="center"/>
          </w:tcPr>
          <w:p w14:paraId="18DA862C" w14:textId="787B9A0D"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125A096C" w14:textId="77777777" w:rsidR="00E15C78" w:rsidRPr="00236B73" w:rsidRDefault="00E15C78" w:rsidP="00F2246F">
            <w:pPr>
              <w:spacing w:after="160" w:line="259" w:lineRule="auto"/>
              <w:jc w:val="center"/>
              <w:rPr>
                <w:color w:val="1D1D1B" w:themeColor="text1"/>
              </w:rPr>
            </w:pPr>
          </w:p>
        </w:tc>
      </w:tr>
      <w:tr w:rsidR="00113135" w14:paraId="7C9E548D" w14:textId="77777777" w:rsidTr="00F2246F">
        <w:tblPrEx>
          <w:tblCellMar>
            <w:left w:w="108" w:type="dxa"/>
            <w:right w:w="108" w:type="dxa"/>
          </w:tblCellMar>
        </w:tblPrEx>
        <w:tc>
          <w:tcPr>
            <w:tcW w:w="5670" w:type="dxa"/>
            <w:vAlign w:val="top"/>
          </w:tcPr>
          <w:p w14:paraId="5945A33B" w14:textId="5D8A637F"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lastRenderedPageBreak/>
              <w:t>How appropriate are the debt recovery pilots to different types of lenders? (To be assessed in Y3)</w:t>
            </w:r>
          </w:p>
        </w:tc>
        <w:tc>
          <w:tcPr>
            <w:tcW w:w="3220" w:type="dxa"/>
            <w:vAlign w:val="top"/>
          </w:tcPr>
          <w:p w14:paraId="5F940618" w14:textId="77777777" w:rsidR="00E15C78" w:rsidRPr="00236B73" w:rsidRDefault="00E15C78" w:rsidP="00E15C78">
            <w:pPr>
              <w:spacing w:after="160" w:line="259" w:lineRule="auto"/>
              <w:rPr>
                <w:rFonts w:ascii="Arial" w:hAnsi="Arial" w:cs="Arial"/>
                <w:color w:val="auto"/>
                <w:szCs w:val="24"/>
              </w:rPr>
            </w:pPr>
          </w:p>
        </w:tc>
        <w:tc>
          <w:tcPr>
            <w:tcW w:w="1033" w:type="dxa"/>
            <w:vAlign w:val="center"/>
          </w:tcPr>
          <w:p w14:paraId="4CBAA3A1"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2F243A52" w14:textId="3280874A"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51" w:type="dxa"/>
            <w:vAlign w:val="center"/>
          </w:tcPr>
          <w:p w14:paraId="1BDE25AC" w14:textId="546CE386"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3457EEB5" w14:textId="3BA51C2F"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2C6D6A93" w14:textId="37B5139E" w:rsidR="00E15C78" w:rsidRPr="00643B79" w:rsidRDefault="00E15C78" w:rsidP="00F2246F">
            <w:pPr>
              <w:spacing w:after="160" w:line="259" w:lineRule="auto"/>
              <w:jc w:val="center"/>
              <w:rPr>
                <w:color w:val="auto"/>
              </w:rPr>
            </w:pPr>
            <w:r w:rsidRPr="00643B79">
              <w:rPr>
                <w:color w:val="auto"/>
              </w:rPr>
              <w:t>X</w:t>
            </w:r>
          </w:p>
        </w:tc>
      </w:tr>
      <w:tr w:rsidR="00F2246F" w14:paraId="503CBD17"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611EAC8B" w14:textId="6D5EDE39"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 xml:space="preserve">What type of learning have the debt recovery pilots generated for lender, </w:t>
            </w:r>
            <w:proofErr w:type="gramStart"/>
            <w:r w:rsidRPr="00643B79">
              <w:rPr>
                <w:rFonts w:ascii="Arial" w:hAnsi="Arial" w:cs="Arial"/>
                <w:color w:val="auto"/>
                <w:kern w:val="24"/>
                <w:szCs w:val="24"/>
              </w:rPr>
              <w:t>BBB</w:t>
            </w:r>
            <w:proofErr w:type="gramEnd"/>
            <w:r w:rsidRPr="00643B79">
              <w:rPr>
                <w:rFonts w:ascii="Arial" w:hAnsi="Arial" w:cs="Arial"/>
                <w:color w:val="auto"/>
                <w:kern w:val="24"/>
                <w:szCs w:val="24"/>
              </w:rPr>
              <w:t xml:space="preserve"> and the Government? (To be assessed in Y3)</w:t>
            </w:r>
          </w:p>
        </w:tc>
        <w:tc>
          <w:tcPr>
            <w:tcW w:w="3220" w:type="dxa"/>
            <w:vAlign w:val="top"/>
          </w:tcPr>
          <w:p w14:paraId="70CE2C21" w14:textId="77777777" w:rsidR="00E15C78" w:rsidRPr="00236B73" w:rsidRDefault="00E15C78" w:rsidP="00E15C78">
            <w:pPr>
              <w:spacing w:after="160" w:line="259" w:lineRule="auto"/>
              <w:rPr>
                <w:rFonts w:ascii="Arial" w:hAnsi="Arial" w:cs="Arial"/>
                <w:color w:val="auto"/>
                <w:szCs w:val="24"/>
              </w:rPr>
            </w:pPr>
          </w:p>
        </w:tc>
        <w:tc>
          <w:tcPr>
            <w:tcW w:w="1033" w:type="dxa"/>
            <w:vAlign w:val="center"/>
          </w:tcPr>
          <w:p w14:paraId="307FF3D0"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37B935ED"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575683E3" w14:textId="70617B18"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1022" w:type="dxa"/>
            <w:vAlign w:val="center"/>
          </w:tcPr>
          <w:p w14:paraId="2D0E7D8C" w14:textId="5EC6CA78"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1FF334C9" w14:textId="21274397" w:rsidR="00E15C78" w:rsidRPr="00643B79" w:rsidRDefault="00E15C78" w:rsidP="00F2246F">
            <w:pPr>
              <w:spacing w:after="160" w:line="259" w:lineRule="auto"/>
              <w:jc w:val="center"/>
              <w:rPr>
                <w:color w:val="auto"/>
              </w:rPr>
            </w:pPr>
            <w:r w:rsidRPr="00643B79">
              <w:rPr>
                <w:color w:val="auto"/>
              </w:rPr>
              <w:t>X</w:t>
            </w:r>
          </w:p>
        </w:tc>
      </w:tr>
      <w:tr w:rsidR="00113135" w14:paraId="514AB081" w14:textId="77777777" w:rsidTr="00F2246F">
        <w:tblPrEx>
          <w:tblCellMar>
            <w:left w:w="108" w:type="dxa"/>
            <w:right w:w="108" w:type="dxa"/>
          </w:tblCellMar>
        </w:tblPrEx>
        <w:tc>
          <w:tcPr>
            <w:tcW w:w="5670" w:type="dxa"/>
            <w:vAlign w:val="top"/>
          </w:tcPr>
          <w:p w14:paraId="452EEC6E" w14:textId="2DA64111"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What was the burden for lenders to participate in the debt recovery pilots? (To be assessed in Y3)</w:t>
            </w:r>
          </w:p>
        </w:tc>
        <w:tc>
          <w:tcPr>
            <w:tcW w:w="3220" w:type="dxa"/>
            <w:vAlign w:val="top"/>
          </w:tcPr>
          <w:p w14:paraId="3430FFF8" w14:textId="5E1AFE98"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Resources devoted to pilots (above BAU) for pilots</w:t>
            </w:r>
          </w:p>
        </w:tc>
        <w:tc>
          <w:tcPr>
            <w:tcW w:w="1033" w:type="dxa"/>
            <w:vAlign w:val="center"/>
          </w:tcPr>
          <w:p w14:paraId="56D895EC"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4DFC6DDA"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680F2C58" w14:textId="66BC4BBE"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2925183E" w14:textId="7C0EF3CD"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0F1FC80F" w14:textId="77777777" w:rsidR="00E15C78" w:rsidRPr="00643B79" w:rsidRDefault="00E15C78" w:rsidP="00F2246F">
            <w:pPr>
              <w:spacing w:after="160" w:line="259" w:lineRule="auto"/>
              <w:jc w:val="center"/>
              <w:rPr>
                <w:color w:val="auto"/>
              </w:rPr>
            </w:pPr>
          </w:p>
        </w:tc>
      </w:tr>
      <w:tr w:rsidR="00E15C78" w14:paraId="38F934D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606" w:type="dxa"/>
            <w:gridSpan w:val="7"/>
          </w:tcPr>
          <w:p w14:paraId="4CD8EC97" w14:textId="6A5E97D3" w:rsidR="00E15C78" w:rsidRPr="00643B79" w:rsidRDefault="00E15C78" w:rsidP="00F2246F">
            <w:pPr>
              <w:spacing w:after="160" w:line="259" w:lineRule="auto"/>
              <w:jc w:val="center"/>
              <w:rPr>
                <w:rFonts w:ascii="Arial" w:hAnsi="Arial" w:cs="Arial"/>
                <w:b/>
                <w:color w:val="auto"/>
                <w:szCs w:val="24"/>
              </w:rPr>
            </w:pPr>
            <w:r w:rsidRPr="00643B79">
              <w:rPr>
                <w:rFonts w:ascii="Arial" w:hAnsi="Arial" w:cs="Arial"/>
                <w:b/>
                <w:color w:val="auto"/>
                <w:szCs w:val="24"/>
              </w:rPr>
              <w:t>Counter fraud work and enforcement</w:t>
            </w:r>
          </w:p>
        </w:tc>
      </w:tr>
      <w:tr w:rsidR="00113135" w14:paraId="39BBE980" w14:textId="77777777" w:rsidTr="00F2246F">
        <w:tblPrEx>
          <w:tblCellMar>
            <w:left w:w="108" w:type="dxa"/>
            <w:right w:w="108" w:type="dxa"/>
          </w:tblCellMar>
        </w:tblPrEx>
        <w:tc>
          <w:tcPr>
            <w:tcW w:w="5670" w:type="dxa"/>
            <w:vAlign w:val="top"/>
          </w:tcPr>
          <w:p w14:paraId="4B6C3F92" w14:textId="6559D69A"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Have all relevant organisations relating to fraud detection been involved in the working groups / boards for fraud detection activities?</w:t>
            </w:r>
          </w:p>
        </w:tc>
        <w:tc>
          <w:tcPr>
            <w:tcW w:w="3220" w:type="dxa"/>
            <w:vAlign w:val="top"/>
          </w:tcPr>
          <w:p w14:paraId="12CF915E" w14:textId="77777777" w:rsidR="00E15C78" w:rsidRPr="00236B73" w:rsidRDefault="00E15C78" w:rsidP="00E15C78">
            <w:pPr>
              <w:spacing w:after="160" w:line="259" w:lineRule="auto"/>
              <w:rPr>
                <w:rFonts w:ascii="Arial" w:hAnsi="Arial" w:cs="Arial"/>
                <w:color w:val="auto"/>
                <w:szCs w:val="24"/>
              </w:rPr>
            </w:pPr>
          </w:p>
        </w:tc>
        <w:tc>
          <w:tcPr>
            <w:tcW w:w="1033" w:type="dxa"/>
            <w:vAlign w:val="center"/>
          </w:tcPr>
          <w:p w14:paraId="40088802"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22568BCC" w14:textId="428AC7F5"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51" w:type="dxa"/>
            <w:vAlign w:val="center"/>
          </w:tcPr>
          <w:p w14:paraId="6D3DC721" w14:textId="46CA5FF2"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760D3BC4" w14:textId="02AC8E29"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74BAB4ED" w14:textId="202F34C9" w:rsidR="00E15C78" w:rsidRPr="00643B79" w:rsidRDefault="00E15C78" w:rsidP="00F2246F">
            <w:pPr>
              <w:spacing w:after="160" w:line="259" w:lineRule="auto"/>
              <w:jc w:val="center"/>
              <w:rPr>
                <w:color w:val="auto"/>
              </w:rPr>
            </w:pPr>
            <w:r w:rsidRPr="00643B79">
              <w:rPr>
                <w:color w:val="auto"/>
              </w:rPr>
              <w:t>X</w:t>
            </w:r>
          </w:p>
        </w:tc>
      </w:tr>
      <w:tr w:rsidR="00F2246F" w14:paraId="474104C2"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78F9A1A6" w14:textId="6125DF10" w:rsidR="00E15C78" w:rsidRPr="00876E5A" w:rsidRDefault="00E15C78" w:rsidP="00E15C78">
            <w:pPr>
              <w:spacing w:after="160" w:line="259" w:lineRule="auto"/>
              <w:rPr>
                <w:rFonts w:ascii="Arial" w:hAnsi="Arial" w:cs="Arial"/>
                <w:color w:val="auto"/>
                <w:szCs w:val="24"/>
              </w:rPr>
            </w:pPr>
            <w:r w:rsidRPr="00876E5A">
              <w:rPr>
                <w:rFonts w:ascii="Arial" w:hAnsi="Arial" w:cs="Arial"/>
                <w:color w:val="auto"/>
                <w:kern w:val="24"/>
                <w:szCs w:val="24"/>
              </w:rPr>
              <w:t>Have sufficient resources been devoted to lenders customers’ fraud detection?</w:t>
            </w:r>
          </w:p>
        </w:tc>
        <w:tc>
          <w:tcPr>
            <w:tcW w:w="3220" w:type="dxa"/>
            <w:vAlign w:val="top"/>
          </w:tcPr>
          <w:p w14:paraId="1BBB4874" w14:textId="04EB5995" w:rsidR="00E15C78" w:rsidRPr="00876E5A" w:rsidRDefault="00E15C78" w:rsidP="00E15C78">
            <w:pPr>
              <w:spacing w:after="160" w:line="259" w:lineRule="auto"/>
              <w:rPr>
                <w:rFonts w:ascii="Arial" w:hAnsi="Arial" w:cs="Arial"/>
                <w:color w:val="auto"/>
                <w:szCs w:val="24"/>
              </w:rPr>
            </w:pPr>
            <w:r w:rsidRPr="00876E5A">
              <w:rPr>
                <w:rFonts w:ascii="Arial" w:hAnsi="Arial" w:cs="Arial"/>
                <w:color w:val="auto"/>
                <w:kern w:val="24"/>
                <w:szCs w:val="24"/>
              </w:rPr>
              <w:t>Value of fraud detection work</w:t>
            </w:r>
          </w:p>
        </w:tc>
        <w:tc>
          <w:tcPr>
            <w:tcW w:w="1033" w:type="dxa"/>
            <w:vAlign w:val="center"/>
          </w:tcPr>
          <w:p w14:paraId="7AD75A63" w14:textId="53D86AC4"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32B37669"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29D26A18" w14:textId="47C1BF0C"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1022" w:type="dxa"/>
            <w:vAlign w:val="center"/>
          </w:tcPr>
          <w:p w14:paraId="083CED4B" w14:textId="6588BC57"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2468102B" w14:textId="3961C6B5" w:rsidR="00E15C78" w:rsidRPr="00643B79" w:rsidRDefault="00E15C78" w:rsidP="00F2246F">
            <w:pPr>
              <w:spacing w:after="160" w:line="259" w:lineRule="auto"/>
              <w:jc w:val="center"/>
              <w:rPr>
                <w:color w:val="auto"/>
              </w:rPr>
            </w:pPr>
            <w:r w:rsidRPr="00643B79">
              <w:rPr>
                <w:color w:val="auto"/>
              </w:rPr>
              <w:t>X</w:t>
            </w:r>
          </w:p>
        </w:tc>
      </w:tr>
      <w:tr w:rsidR="00113135" w14:paraId="2D3A9CE5" w14:textId="77777777" w:rsidTr="00F2246F">
        <w:tblPrEx>
          <w:tblCellMar>
            <w:left w:w="108" w:type="dxa"/>
            <w:right w:w="108" w:type="dxa"/>
          </w:tblCellMar>
        </w:tblPrEx>
        <w:tc>
          <w:tcPr>
            <w:tcW w:w="5670" w:type="dxa"/>
            <w:vAlign w:val="top"/>
          </w:tcPr>
          <w:p w14:paraId="246056BA" w14:textId="3084BF8A"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is the data collected (CIFAS) in detecting duplicate cases?</w:t>
            </w:r>
          </w:p>
        </w:tc>
        <w:tc>
          <w:tcPr>
            <w:tcW w:w="3220" w:type="dxa"/>
            <w:vAlign w:val="top"/>
          </w:tcPr>
          <w:p w14:paraId="1EEBE5A7" w14:textId="6FB4DEE8"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Number of duplicate cases detected through CIFAS</w:t>
            </w:r>
          </w:p>
        </w:tc>
        <w:tc>
          <w:tcPr>
            <w:tcW w:w="1033" w:type="dxa"/>
            <w:vAlign w:val="center"/>
          </w:tcPr>
          <w:p w14:paraId="5AD60777"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5FE94B3A"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13F7D899" w14:textId="610ADB20"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263D27F8" w14:textId="17DFBDB6"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13332C63" w14:textId="77777777" w:rsidR="00E15C78" w:rsidRPr="00643B79" w:rsidRDefault="00E15C78" w:rsidP="00F2246F">
            <w:pPr>
              <w:spacing w:after="160" w:line="259" w:lineRule="auto"/>
              <w:jc w:val="center"/>
              <w:rPr>
                <w:color w:val="auto"/>
              </w:rPr>
            </w:pPr>
          </w:p>
        </w:tc>
      </w:tr>
      <w:tr w:rsidR="00F2246F" w14:paraId="1D4DFF4A"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3CA1C93F" w14:textId="08D858F4"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were other reputable fraud bureaus to identify potential cases of fraud?</w:t>
            </w:r>
          </w:p>
        </w:tc>
        <w:tc>
          <w:tcPr>
            <w:tcW w:w="3220" w:type="dxa"/>
            <w:vAlign w:val="top"/>
          </w:tcPr>
          <w:p w14:paraId="25B23760" w14:textId="77777777" w:rsidR="00E15C78" w:rsidRPr="00236B73" w:rsidRDefault="00E15C78" w:rsidP="00E15C78">
            <w:pPr>
              <w:spacing w:after="160" w:line="259" w:lineRule="auto"/>
              <w:rPr>
                <w:rFonts w:ascii="Arial" w:hAnsi="Arial" w:cs="Arial"/>
                <w:color w:val="auto"/>
                <w:szCs w:val="24"/>
              </w:rPr>
            </w:pPr>
          </w:p>
        </w:tc>
        <w:tc>
          <w:tcPr>
            <w:tcW w:w="1033" w:type="dxa"/>
            <w:vAlign w:val="center"/>
          </w:tcPr>
          <w:p w14:paraId="41032E46"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32130973"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1F5E4856" w14:textId="0E3C61ED"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1022" w:type="dxa"/>
            <w:vAlign w:val="center"/>
          </w:tcPr>
          <w:p w14:paraId="7F09D09F" w14:textId="506D2AAE"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36956B9C" w14:textId="2A061D7E" w:rsidR="00E15C78" w:rsidRPr="00643B79" w:rsidRDefault="00E15C78" w:rsidP="00F2246F">
            <w:pPr>
              <w:spacing w:after="160" w:line="259" w:lineRule="auto"/>
              <w:jc w:val="center"/>
              <w:rPr>
                <w:color w:val="auto"/>
              </w:rPr>
            </w:pPr>
            <w:r w:rsidRPr="00643B79">
              <w:rPr>
                <w:color w:val="auto"/>
              </w:rPr>
              <w:t>X</w:t>
            </w:r>
          </w:p>
        </w:tc>
      </w:tr>
      <w:tr w:rsidR="00113135" w14:paraId="2E3B0A71" w14:textId="77777777" w:rsidTr="00F2246F">
        <w:tblPrEx>
          <w:tblCellMar>
            <w:left w:w="108" w:type="dxa"/>
            <w:right w:w="108" w:type="dxa"/>
          </w:tblCellMar>
        </w:tblPrEx>
        <w:tc>
          <w:tcPr>
            <w:tcW w:w="5670" w:type="dxa"/>
            <w:vAlign w:val="top"/>
          </w:tcPr>
          <w:p w14:paraId="54477586" w14:textId="6ED9470E"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 xml:space="preserve">Were appropriate data sources and variables used for the data analytics work? </w:t>
            </w:r>
          </w:p>
        </w:tc>
        <w:tc>
          <w:tcPr>
            <w:tcW w:w="3220" w:type="dxa"/>
            <w:vAlign w:val="top"/>
          </w:tcPr>
          <w:p w14:paraId="547485FF"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15456C32"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23546480" w14:textId="2087C9B1"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51" w:type="dxa"/>
            <w:vAlign w:val="center"/>
          </w:tcPr>
          <w:p w14:paraId="77A04E06" w14:textId="044E56B8"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5BDE3FFA" w14:textId="223CE84B"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78494723" w14:textId="361BFEB7" w:rsidR="00E15C78" w:rsidRPr="00643B79" w:rsidRDefault="00E15C78" w:rsidP="00F2246F">
            <w:pPr>
              <w:spacing w:after="160" w:line="259" w:lineRule="auto"/>
              <w:jc w:val="center"/>
              <w:rPr>
                <w:color w:val="auto"/>
              </w:rPr>
            </w:pPr>
            <w:r w:rsidRPr="00643B79">
              <w:rPr>
                <w:color w:val="auto"/>
              </w:rPr>
              <w:t>X</w:t>
            </w:r>
          </w:p>
        </w:tc>
      </w:tr>
      <w:tr w:rsidR="00F2246F" w14:paraId="19149310"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4134BC5C" w14:textId="14514A78"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lastRenderedPageBreak/>
              <w:t xml:space="preserve">How effective has the data analytics work been in identifying potential cases of fraud, </w:t>
            </w:r>
            <w:proofErr w:type="gramStart"/>
            <w:r w:rsidRPr="00643B79">
              <w:rPr>
                <w:rFonts w:ascii="Arial" w:hAnsi="Arial" w:cs="Arial"/>
                <w:color w:val="auto"/>
                <w:kern w:val="24"/>
                <w:szCs w:val="24"/>
              </w:rPr>
              <w:t>error</w:t>
            </w:r>
            <w:proofErr w:type="gramEnd"/>
            <w:r w:rsidRPr="00643B79">
              <w:rPr>
                <w:rFonts w:ascii="Arial" w:hAnsi="Arial" w:cs="Arial"/>
                <w:color w:val="auto"/>
                <w:kern w:val="24"/>
                <w:szCs w:val="24"/>
              </w:rPr>
              <w:t xml:space="preserve"> or misstatement?</w:t>
            </w:r>
          </w:p>
        </w:tc>
        <w:tc>
          <w:tcPr>
            <w:tcW w:w="3220" w:type="dxa"/>
            <w:vAlign w:val="top"/>
          </w:tcPr>
          <w:p w14:paraId="1F2ADE7B" w14:textId="0DA295CB"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Number/value of potential fraud / error / misstatement cases identified</w:t>
            </w:r>
          </w:p>
        </w:tc>
        <w:tc>
          <w:tcPr>
            <w:tcW w:w="1033" w:type="dxa"/>
            <w:vAlign w:val="center"/>
          </w:tcPr>
          <w:p w14:paraId="4AA5CBFB" w14:textId="31594911"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558F37F8" w14:textId="4954CD1E"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51" w:type="dxa"/>
            <w:vAlign w:val="center"/>
          </w:tcPr>
          <w:p w14:paraId="7263127C" w14:textId="2C1EBD3B"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1022" w:type="dxa"/>
            <w:vAlign w:val="center"/>
          </w:tcPr>
          <w:p w14:paraId="5DC926BE" w14:textId="0C749DE3"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08E01F11" w14:textId="77777777" w:rsidR="00E15C78" w:rsidRPr="00643B79" w:rsidRDefault="00E15C78" w:rsidP="00F2246F">
            <w:pPr>
              <w:spacing w:after="160" w:line="259" w:lineRule="auto"/>
              <w:jc w:val="center"/>
              <w:rPr>
                <w:color w:val="auto"/>
              </w:rPr>
            </w:pPr>
          </w:p>
        </w:tc>
      </w:tr>
      <w:tr w:rsidR="00113135" w14:paraId="7EB56D2C" w14:textId="77777777" w:rsidTr="00F2246F">
        <w:tblPrEx>
          <w:tblCellMar>
            <w:left w:w="108" w:type="dxa"/>
            <w:right w:w="108" w:type="dxa"/>
          </w:tblCellMar>
        </w:tblPrEx>
        <w:tc>
          <w:tcPr>
            <w:tcW w:w="5670" w:type="dxa"/>
            <w:vAlign w:val="top"/>
          </w:tcPr>
          <w:p w14:paraId="455A9604" w14:textId="554DDDBA"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In what ways have lenders used the data analytics work in identifying potential cases of fraud?</w:t>
            </w:r>
          </w:p>
        </w:tc>
        <w:tc>
          <w:tcPr>
            <w:tcW w:w="3220" w:type="dxa"/>
            <w:vAlign w:val="top"/>
          </w:tcPr>
          <w:p w14:paraId="3F3A030D"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2F93DD45" w14:textId="273FFCA4"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569C67D9"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4948CA1F" w14:textId="77777777" w:rsidR="00E15C78" w:rsidRPr="00643B79" w:rsidRDefault="00E15C78" w:rsidP="00F2246F">
            <w:pPr>
              <w:spacing w:after="160" w:line="259" w:lineRule="auto"/>
              <w:jc w:val="center"/>
              <w:rPr>
                <w:rFonts w:ascii="Arial" w:hAnsi="Arial" w:cs="Arial"/>
                <w:color w:val="auto"/>
                <w:szCs w:val="24"/>
              </w:rPr>
            </w:pPr>
          </w:p>
        </w:tc>
        <w:tc>
          <w:tcPr>
            <w:tcW w:w="0" w:type="dxa"/>
            <w:vAlign w:val="center"/>
          </w:tcPr>
          <w:p w14:paraId="087EDC62" w14:textId="5E6E498D"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05D95C45" w14:textId="77777777" w:rsidR="00E15C78" w:rsidRPr="00643B79" w:rsidRDefault="00E15C78" w:rsidP="00F2246F">
            <w:pPr>
              <w:spacing w:after="160" w:line="259" w:lineRule="auto"/>
              <w:jc w:val="center"/>
              <w:rPr>
                <w:color w:val="auto"/>
              </w:rPr>
            </w:pPr>
          </w:p>
        </w:tc>
      </w:tr>
      <w:tr w:rsidR="00F2246F" w14:paraId="5B3E0523"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112A3456" w14:textId="5CCBF1C6"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Did the initial fraud research and fraud risk assessments set appropriate parameters for the schemes to be assessed against?</w:t>
            </w:r>
          </w:p>
        </w:tc>
        <w:tc>
          <w:tcPr>
            <w:tcW w:w="3220" w:type="dxa"/>
            <w:vAlign w:val="top"/>
          </w:tcPr>
          <w:p w14:paraId="1B268AC1"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30A5DAD7"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65C943F1" w14:textId="17071CBD"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51" w:type="dxa"/>
            <w:vAlign w:val="center"/>
          </w:tcPr>
          <w:p w14:paraId="75406C95" w14:textId="3DA8F52E"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1022" w:type="dxa"/>
            <w:vAlign w:val="center"/>
          </w:tcPr>
          <w:p w14:paraId="43928FE2" w14:textId="122BE992"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68A69F66" w14:textId="77777777" w:rsidR="00E15C78" w:rsidRPr="00643B79" w:rsidRDefault="00E15C78" w:rsidP="00F2246F">
            <w:pPr>
              <w:spacing w:after="160" w:line="259" w:lineRule="auto"/>
              <w:jc w:val="center"/>
              <w:rPr>
                <w:color w:val="auto"/>
              </w:rPr>
            </w:pPr>
          </w:p>
        </w:tc>
      </w:tr>
      <w:tr w:rsidR="00113135" w14:paraId="5FF6B2B6" w14:textId="77777777" w:rsidTr="00F2246F">
        <w:tblPrEx>
          <w:tblCellMar>
            <w:left w:w="108" w:type="dxa"/>
            <w:right w:w="108" w:type="dxa"/>
          </w:tblCellMar>
        </w:tblPrEx>
        <w:tc>
          <w:tcPr>
            <w:tcW w:w="5670" w:type="dxa"/>
            <w:vAlign w:val="top"/>
          </w:tcPr>
          <w:p w14:paraId="7557FDEE" w14:textId="68B36842" w:rsidR="00E15C78" w:rsidRPr="00643B79" w:rsidRDefault="00E15C78" w:rsidP="00E15C78">
            <w:pPr>
              <w:spacing w:after="160" w:line="259" w:lineRule="auto"/>
              <w:rPr>
                <w:rFonts w:ascii="Arial" w:hAnsi="Arial" w:cs="Arial"/>
                <w:color w:val="auto"/>
              </w:rPr>
            </w:pPr>
            <w:r w:rsidRPr="00643B79">
              <w:rPr>
                <w:rFonts w:ascii="Arial" w:hAnsi="Arial" w:cs="Arial"/>
                <w:color w:val="auto"/>
                <w:kern w:val="24"/>
              </w:rPr>
              <w:t>How effective were the different governance structures in promoting coordinated fraud enforcement activity?</w:t>
            </w:r>
          </w:p>
        </w:tc>
        <w:tc>
          <w:tcPr>
            <w:tcW w:w="3220" w:type="dxa"/>
            <w:vAlign w:val="top"/>
          </w:tcPr>
          <w:p w14:paraId="4BB59B15"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110B45C8"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7880B244" w14:textId="45B39301"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51" w:type="dxa"/>
            <w:vAlign w:val="center"/>
          </w:tcPr>
          <w:p w14:paraId="7C43C5C6" w14:textId="47742852"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4F072C7F" w14:textId="77777777" w:rsidR="00E15C78" w:rsidRPr="00643B79" w:rsidRDefault="00E15C78" w:rsidP="00F2246F">
            <w:pPr>
              <w:spacing w:after="160" w:line="259" w:lineRule="auto"/>
              <w:jc w:val="center"/>
              <w:rPr>
                <w:rFonts w:ascii="Arial" w:hAnsi="Arial" w:cs="Arial"/>
                <w:color w:val="auto"/>
                <w:szCs w:val="24"/>
              </w:rPr>
            </w:pPr>
          </w:p>
        </w:tc>
        <w:tc>
          <w:tcPr>
            <w:tcW w:w="0" w:type="dxa"/>
            <w:vAlign w:val="center"/>
          </w:tcPr>
          <w:p w14:paraId="6142EFCF" w14:textId="0A574DF9" w:rsidR="00E15C78" w:rsidRPr="00643B79" w:rsidRDefault="00E15C78" w:rsidP="00F2246F">
            <w:pPr>
              <w:spacing w:after="160" w:line="259" w:lineRule="auto"/>
              <w:jc w:val="center"/>
              <w:rPr>
                <w:color w:val="auto"/>
              </w:rPr>
            </w:pPr>
            <w:r w:rsidRPr="00643B79">
              <w:rPr>
                <w:color w:val="auto"/>
              </w:rPr>
              <w:t>X</w:t>
            </w:r>
          </w:p>
        </w:tc>
      </w:tr>
      <w:tr w:rsidR="00F2246F" w14:paraId="652D00A2"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1632DA25" w14:textId="151B5DD7"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Were all relevant organisations involved in the working groups / boards used for fraud enforcement activity?</w:t>
            </w:r>
          </w:p>
        </w:tc>
        <w:tc>
          <w:tcPr>
            <w:tcW w:w="3220" w:type="dxa"/>
            <w:vAlign w:val="top"/>
          </w:tcPr>
          <w:p w14:paraId="37E771BE"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4503579F"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2C45412F" w14:textId="55EBB7BA"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51" w:type="dxa"/>
            <w:vAlign w:val="center"/>
          </w:tcPr>
          <w:p w14:paraId="77E27A6B" w14:textId="3702F0AF"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1022" w:type="dxa"/>
            <w:vAlign w:val="center"/>
          </w:tcPr>
          <w:p w14:paraId="467F4C9D" w14:textId="77777777" w:rsidR="00E15C78" w:rsidRPr="00643B79" w:rsidRDefault="00E15C78" w:rsidP="00F2246F">
            <w:pPr>
              <w:spacing w:after="160" w:line="259" w:lineRule="auto"/>
              <w:jc w:val="center"/>
              <w:rPr>
                <w:rFonts w:ascii="Arial" w:hAnsi="Arial" w:cs="Arial"/>
                <w:color w:val="auto"/>
                <w:szCs w:val="24"/>
              </w:rPr>
            </w:pPr>
          </w:p>
        </w:tc>
        <w:tc>
          <w:tcPr>
            <w:tcW w:w="818" w:type="dxa"/>
            <w:vAlign w:val="center"/>
          </w:tcPr>
          <w:p w14:paraId="1CAAF2B0" w14:textId="58E7BC7F" w:rsidR="00E15C78" w:rsidRPr="00643B79" w:rsidRDefault="00E15C78" w:rsidP="00F2246F">
            <w:pPr>
              <w:spacing w:after="160" w:line="259" w:lineRule="auto"/>
              <w:jc w:val="center"/>
              <w:rPr>
                <w:color w:val="auto"/>
              </w:rPr>
            </w:pPr>
            <w:r w:rsidRPr="00643B79">
              <w:rPr>
                <w:color w:val="auto"/>
              </w:rPr>
              <w:t>X</w:t>
            </w:r>
          </w:p>
        </w:tc>
      </w:tr>
      <w:tr w:rsidR="00113135" w14:paraId="0C9C2D66" w14:textId="77777777" w:rsidTr="00F2246F">
        <w:tblPrEx>
          <w:tblCellMar>
            <w:left w:w="108" w:type="dxa"/>
            <w:right w:w="108" w:type="dxa"/>
          </w:tblCellMar>
        </w:tblPrEx>
        <w:tc>
          <w:tcPr>
            <w:tcW w:w="5670" w:type="dxa"/>
            <w:vAlign w:val="top"/>
          </w:tcPr>
          <w:p w14:paraId="0A7E379F" w14:textId="4EF4445E"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Did the working groups / boards work together to coordinate the required actions?</w:t>
            </w:r>
          </w:p>
        </w:tc>
        <w:tc>
          <w:tcPr>
            <w:tcW w:w="3220" w:type="dxa"/>
            <w:vAlign w:val="top"/>
          </w:tcPr>
          <w:p w14:paraId="27289067"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5A387763"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4349051B"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6355A51D" w14:textId="141391D9"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67AC2E3D" w14:textId="77777777" w:rsidR="00E15C78" w:rsidRPr="00643B79" w:rsidRDefault="00E15C78" w:rsidP="00F2246F">
            <w:pPr>
              <w:spacing w:after="160" w:line="259" w:lineRule="auto"/>
              <w:jc w:val="center"/>
              <w:rPr>
                <w:rFonts w:ascii="Arial" w:hAnsi="Arial" w:cs="Arial"/>
                <w:color w:val="auto"/>
                <w:szCs w:val="24"/>
              </w:rPr>
            </w:pPr>
          </w:p>
        </w:tc>
        <w:tc>
          <w:tcPr>
            <w:tcW w:w="0" w:type="dxa"/>
            <w:vAlign w:val="center"/>
          </w:tcPr>
          <w:p w14:paraId="5376B8CB" w14:textId="31BD568B" w:rsidR="00E15C78" w:rsidRPr="00643B79" w:rsidRDefault="00E15C78" w:rsidP="00F2246F">
            <w:pPr>
              <w:spacing w:after="160" w:line="259" w:lineRule="auto"/>
              <w:jc w:val="center"/>
              <w:rPr>
                <w:color w:val="auto"/>
              </w:rPr>
            </w:pPr>
            <w:r w:rsidRPr="00643B79">
              <w:rPr>
                <w:color w:val="auto"/>
              </w:rPr>
              <w:t>X</w:t>
            </w:r>
          </w:p>
        </w:tc>
      </w:tr>
      <w:tr w:rsidR="00F2246F" w14:paraId="414D645F"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44A2C3D4" w14:textId="0BEFB646"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did the processes used to recover monies from suspected fraud cases compare to business-as-usual activities for suspected fraud cases from commercial lending?</w:t>
            </w:r>
          </w:p>
        </w:tc>
        <w:tc>
          <w:tcPr>
            <w:tcW w:w="3220" w:type="dxa"/>
            <w:vAlign w:val="top"/>
          </w:tcPr>
          <w:p w14:paraId="333F6539"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221B00F1"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00FFF11A"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75D113DC" w14:textId="22CD4D2D"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1022" w:type="dxa"/>
            <w:vAlign w:val="center"/>
          </w:tcPr>
          <w:p w14:paraId="70F3DF93" w14:textId="069B632D"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56D4EB22" w14:textId="489A4F67" w:rsidR="00E15C78" w:rsidRPr="00643B79" w:rsidRDefault="00E15C78" w:rsidP="00F2246F">
            <w:pPr>
              <w:spacing w:after="160" w:line="259" w:lineRule="auto"/>
              <w:jc w:val="center"/>
              <w:rPr>
                <w:color w:val="auto"/>
              </w:rPr>
            </w:pPr>
            <w:r w:rsidRPr="00643B79">
              <w:rPr>
                <w:color w:val="auto"/>
              </w:rPr>
              <w:t>X</w:t>
            </w:r>
          </w:p>
        </w:tc>
      </w:tr>
      <w:tr w:rsidR="00113135" w14:paraId="421AF87C" w14:textId="77777777" w:rsidTr="00F2246F">
        <w:tblPrEx>
          <w:tblCellMar>
            <w:left w:w="108" w:type="dxa"/>
            <w:right w:w="108" w:type="dxa"/>
          </w:tblCellMar>
        </w:tblPrEx>
        <w:tc>
          <w:tcPr>
            <w:tcW w:w="5670" w:type="dxa"/>
            <w:vAlign w:val="top"/>
          </w:tcPr>
          <w:p w14:paraId="5110755D" w14:textId="06305308"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lastRenderedPageBreak/>
              <w:t>How appropriate is the process for identifying which fraud cases would be investigated by NATIS and INSS?</w:t>
            </w:r>
          </w:p>
        </w:tc>
        <w:tc>
          <w:tcPr>
            <w:tcW w:w="3220" w:type="dxa"/>
            <w:vAlign w:val="top"/>
          </w:tcPr>
          <w:p w14:paraId="7F735D5A" w14:textId="06EE04D8"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 of cases referred to NATIS / INSS</w:t>
            </w:r>
          </w:p>
        </w:tc>
        <w:tc>
          <w:tcPr>
            <w:tcW w:w="1033" w:type="dxa"/>
            <w:vAlign w:val="center"/>
          </w:tcPr>
          <w:p w14:paraId="07D14D78"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0395AD2B"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2021036B" w14:textId="7253916D"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2D8CED93" w14:textId="77777777" w:rsidR="00E15C78" w:rsidRPr="00643B79" w:rsidRDefault="00E15C78" w:rsidP="00F2246F">
            <w:pPr>
              <w:spacing w:after="160" w:line="259" w:lineRule="auto"/>
              <w:jc w:val="center"/>
              <w:rPr>
                <w:rFonts w:ascii="Arial" w:hAnsi="Arial" w:cs="Arial"/>
                <w:color w:val="auto"/>
                <w:szCs w:val="24"/>
              </w:rPr>
            </w:pPr>
          </w:p>
        </w:tc>
        <w:tc>
          <w:tcPr>
            <w:tcW w:w="0" w:type="dxa"/>
            <w:vAlign w:val="center"/>
          </w:tcPr>
          <w:p w14:paraId="1282E1BE" w14:textId="4EE26635" w:rsidR="00E15C78" w:rsidRPr="00643B79" w:rsidRDefault="00E15C78" w:rsidP="00F2246F">
            <w:pPr>
              <w:spacing w:after="160" w:line="259" w:lineRule="auto"/>
              <w:jc w:val="center"/>
              <w:rPr>
                <w:color w:val="auto"/>
              </w:rPr>
            </w:pPr>
            <w:r w:rsidRPr="00643B79">
              <w:rPr>
                <w:color w:val="auto"/>
              </w:rPr>
              <w:t>X</w:t>
            </w:r>
          </w:p>
        </w:tc>
      </w:tr>
      <w:tr w:rsidR="00F2246F" w14:paraId="6C0F257D"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1FBB8B4F" w14:textId="743C8904"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were the processes used by lenders to report suspected criminal fraud cases to NATIS / INSS?</w:t>
            </w:r>
          </w:p>
        </w:tc>
        <w:tc>
          <w:tcPr>
            <w:tcW w:w="3220" w:type="dxa"/>
            <w:vAlign w:val="top"/>
          </w:tcPr>
          <w:p w14:paraId="78DC1C81"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2F3E73A8"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09E7B200"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18A465CC" w14:textId="77777777" w:rsidR="00E15C78" w:rsidRPr="00643B79" w:rsidRDefault="00E15C78" w:rsidP="00F2246F">
            <w:pPr>
              <w:spacing w:after="160" w:line="259" w:lineRule="auto"/>
              <w:jc w:val="center"/>
              <w:rPr>
                <w:rFonts w:ascii="Arial" w:hAnsi="Arial" w:cs="Arial"/>
                <w:color w:val="auto"/>
                <w:szCs w:val="24"/>
              </w:rPr>
            </w:pPr>
          </w:p>
        </w:tc>
        <w:tc>
          <w:tcPr>
            <w:tcW w:w="1022" w:type="dxa"/>
            <w:vAlign w:val="center"/>
          </w:tcPr>
          <w:p w14:paraId="75E1F4A2" w14:textId="195F74E2"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7872ED86" w14:textId="77777777" w:rsidR="00E15C78" w:rsidRPr="00643B79" w:rsidRDefault="00E15C78" w:rsidP="00F2246F">
            <w:pPr>
              <w:spacing w:after="160" w:line="259" w:lineRule="auto"/>
              <w:jc w:val="center"/>
              <w:rPr>
                <w:color w:val="auto"/>
              </w:rPr>
            </w:pPr>
          </w:p>
        </w:tc>
      </w:tr>
      <w:tr w:rsidR="00113135" w14:paraId="2162133A" w14:textId="77777777" w:rsidTr="00F2246F">
        <w:tblPrEx>
          <w:tblCellMar>
            <w:left w:w="108" w:type="dxa"/>
            <w:right w:w="108" w:type="dxa"/>
          </w:tblCellMar>
        </w:tblPrEx>
        <w:tc>
          <w:tcPr>
            <w:tcW w:w="5670" w:type="dxa"/>
            <w:vAlign w:val="top"/>
          </w:tcPr>
          <w:p w14:paraId="1C1E1756" w14:textId="51614148"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have NATIS criminal investigations been in securing arrests for fraudulent activity?</w:t>
            </w:r>
          </w:p>
        </w:tc>
        <w:tc>
          <w:tcPr>
            <w:tcW w:w="3220" w:type="dxa"/>
            <w:vAlign w:val="top"/>
          </w:tcPr>
          <w:p w14:paraId="4971F983" w14:textId="1B12577A"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 investigations / arrests</w:t>
            </w:r>
          </w:p>
        </w:tc>
        <w:tc>
          <w:tcPr>
            <w:tcW w:w="1033" w:type="dxa"/>
            <w:vAlign w:val="center"/>
          </w:tcPr>
          <w:p w14:paraId="347DE411" w14:textId="29B2A183"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5CA332F8" w14:textId="019E9D48"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51" w:type="dxa"/>
            <w:vAlign w:val="center"/>
          </w:tcPr>
          <w:p w14:paraId="7BE74947" w14:textId="69298005"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72F32C4A" w14:textId="77777777" w:rsidR="00E15C78" w:rsidRPr="00643B79" w:rsidRDefault="00E15C78" w:rsidP="00F2246F">
            <w:pPr>
              <w:spacing w:after="160" w:line="259" w:lineRule="auto"/>
              <w:jc w:val="center"/>
              <w:rPr>
                <w:rFonts w:ascii="Arial" w:hAnsi="Arial" w:cs="Arial"/>
                <w:color w:val="auto"/>
                <w:szCs w:val="24"/>
              </w:rPr>
            </w:pPr>
          </w:p>
        </w:tc>
        <w:tc>
          <w:tcPr>
            <w:tcW w:w="0" w:type="dxa"/>
            <w:vAlign w:val="center"/>
          </w:tcPr>
          <w:p w14:paraId="75F70AB1" w14:textId="6A6DC7B4" w:rsidR="00E15C78" w:rsidRPr="00643B79" w:rsidRDefault="00E15C78" w:rsidP="00F2246F">
            <w:pPr>
              <w:spacing w:after="160" w:line="259" w:lineRule="auto"/>
              <w:jc w:val="center"/>
              <w:rPr>
                <w:color w:val="auto"/>
              </w:rPr>
            </w:pPr>
            <w:r w:rsidRPr="00643B79">
              <w:rPr>
                <w:color w:val="auto"/>
              </w:rPr>
              <w:t>X</w:t>
            </w:r>
          </w:p>
        </w:tc>
      </w:tr>
      <w:tr w:rsidR="00F2246F" w14:paraId="3D6DAB43"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4A885357" w14:textId="03EAB56A"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have INSS civil investigations been in securing disqualifications for directors?</w:t>
            </w:r>
          </w:p>
        </w:tc>
        <w:tc>
          <w:tcPr>
            <w:tcW w:w="3220" w:type="dxa"/>
            <w:vAlign w:val="top"/>
          </w:tcPr>
          <w:p w14:paraId="6AF1FE14" w14:textId="5E3E5A94" w:rsidR="00E15C78" w:rsidRPr="00643B79" w:rsidRDefault="00E15C78" w:rsidP="00E15C78">
            <w:pPr>
              <w:spacing w:after="160" w:line="259" w:lineRule="auto"/>
              <w:rPr>
                <w:rFonts w:ascii="Arial" w:hAnsi="Arial" w:cs="Arial"/>
                <w:color w:val="auto"/>
                <w:szCs w:val="24"/>
              </w:rPr>
            </w:pPr>
            <w:r w:rsidRPr="00643B79">
              <w:rPr>
                <w:rFonts w:ascii="Arial" w:eastAsia="Calibri" w:hAnsi="Arial" w:cs="Arial"/>
                <w:color w:val="auto"/>
                <w:kern w:val="24"/>
                <w:szCs w:val="24"/>
              </w:rPr>
              <w:t># investigations / disqualifications</w:t>
            </w:r>
          </w:p>
        </w:tc>
        <w:tc>
          <w:tcPr>
            <w:tcW w:w="1033" w:type="dxa"/>
            <w:vAlign w:val="center"/>
          </w:tcPr>
          <w:p w14:paraId="60AD3E6C" w14:textId="1925CD04"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7140AA7F" w14:textId="6C6BC2F2"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51" w:type="dxa"/>
            <w:vAlign w:val="center"/>
          </w:tcPr>
          <w:p w14:paraId="58D9AE3D" w14:textId="2B0E453A"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1022" w:type="dxa"/>
            <w:vAlign w:val="center"/>
          </w:tcPr>
          <w:p w14:paraId="31FE4DC7" w14:textId="77777777" w:rsidR="00E15C78" w:rsidRPr="00643B79" w:rsidRDefault="00E15C78" w:rsidP="00F2246F">
            <w:pPr>
              <w:spacing w:after="160" w:line="259" w:lineRule="auto"/>
              <w:jc w:val="center"/>
              <w:rPr>
                <w:rFonts w:ascii="Arial" w:hAnsi="Arial" w:cs="Arial"/>
                <w:color w:val="auto"/>
                <w:szCs w:val="24"/>
              </w:rPr>
            </w:pPr>
          </w:p>
        </w:tc>
        <w:tc>
          <w:tcPr>
            <w:tcW w:w="818" w:type="dxa"/>
            <w:vAlign w:val="center"/>
          </w:tcPr>
          <w:p w14:paraId="03FA8930" w14:textId="309B6E42" w:rsidR="00E15C78" w:rsidRPr="00643B79" w:rsidRDefault="00E15C78" w:rsidP="00F2246F">
            <w:pPr>
              <w:spacing w:after="160" w:line="259" w:lineRule="auto"/>
              <w:jc w:val="center"/>
              <w:rPr>
                <w:color w:val="auto"/>
              </w:rPr>
            </w:pPr>
            <w:r w:rsidRPr="00643B79">
              <w:rPr>
                <w:color w:val="auto"/>
              </w:rPr>
              <w:t>X</w:t>
            </w:r>
          </w:p>
        </w:tc>
      </w:tr>
      <w:tr w:rsidR="00113135" w14:paraId="4C8524C9" w14:textId="77777777" w:rsidTr="00F2246F">
        <w:tblPrEx>
          <w:tblCellMar>
            <w:left w:w="108" w:type="dxa"/>
            <w:right w:w="108" w:type="dxa"/>
          </w:tblCellMar>
        </w:tblPrEx>
        <w:tc>
          <w:tcPr>
            <w:tcW w:w="5670" w:type="dxa"/>
            <w:vAlign w:val="top"/>
          </w:tcPr>
          <w:p w14:paraId="4B17A47C" w14:textId="015CD842"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have the civil bulk objections been in influencing lender behaviour towards customers?</w:t>
            </w:r>
          </w:p>
        </w:tc>
        <w:tc>
          <w:tcPr>
            <w:tcW w:w="3220" w:type="dxa"/>
            <w:vAlign w:val="top"/>
          </w:tcPr>
          <w:p w14:paraId="650E147E" w14:textId="77777777" w:rsidR="00E15C78" w:rsidRPr="00643B79" w:rsidRDefault="00E15C78" w:rsidP="00E15C78">
            <w:pPr>
              <w:spacing w:after="160" w:line="259" w:lineRule="auto"/>
              <w:rPr>
                <w:rFonts w:ascii="Arial" w:hAnsi="Arial" w:cs="Arial"/>
                <w:color w:val="auto"/>
                <w:szCs w:val="24"/>
              </w:rPr>
            </w:pPr>
          </w:p>
        </w:tc>
        <w:tc>
          <w:tcPr>
            <w:tcW w:w="1033" w:type="dxa"/>
            <w:vAlign w:val="center"/>
          </w:tcPr>
          <w:p w14:paraId="683511BE" w14:textId="77777777" w:rsidR="00E15C78" w:rsidRPr="00643B79" w:rsidRDefault="00E15C78" w:rsidP="00F2246F">
            <w:pPr>
              <w:spacing w:after="160" w:line="259" w:lineRule="auto"/>
              <w:jc w:val="center"/>
              <w:rPr>
                <w:rFonts w:ascii="Arial" w:hAnsi="Arial" w:cs="Arial"/>
                <w:color w:val="auto"/>
                <w:szCs w:val="24"/>
              </w:rPr>
            </w:pPr>
          </w:p>
        </w:tc>
        <w:tc>
          <w:tcPr>
            <w:tcW w:w="992" w:type="dxa"/>
            <w:vAlign w:val="center"/>
          </w:tcPr>
          <w:p w14:paraId="56F69C69" w14:textId="77777777" w:rsidR="00E15C78" w:rsidRPr="00643B79" w:rsidRDefault="00E15C78" w:rsidP="00F2246F">
            <w:pPr>
              <w:spacing w:after="160" w:line="259" w:lineRule="auto"/>
              <w:jc w:val="center"/>
              <w:rPr>
                <w:rFonts w:ascii="Arial" w:hAnsi="Arial" w:cs="Arial"/>
                <w:color w:val="auto"/>
                <w:szCs w:val="24"/>
              </w:rPr>
            </w:pPr>
          </w:p>
        </w:tc>
        <w:tc>
          <w:tcPr>
            <w:tcW w:w="851" w:type="dxa"/>
            <w:vAlign w:val="center"/>
          </w:tcPr>
          <w:p w14:paraId="4DDB41AF" w14:textId="0AD2C191"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6F73B2BC" w14:textId="77777777" w:rsidR="00E15C78" w:rsidRPr="00643B79" w:rsidRDefault="00E15C78" w:rsidP="00F2246F">
            <w:pPr>
              <w:spacing w:after="160" w:line="259" w:lineRule="auto"/>
              <w:jc w:val="center"/>
              <w:rPr>
                <w:rFonts w:ascii="Arial" w:hAnsi="Arial" w:cs="Arial"/>
                <w:color w:val="auto"/>
                <w:szCs w:val="24"/>
              </w:rPr>
            </w:pPr>
          </w:p>
        </w:tc>
        <w:tc>
          <w:tcPr>
            <w:tcW w:w="0" w:type="dxa"/>
            <w:vAlign w:val="center"/>
          </w:tcPr>
          <w:p w14:paraId="449CC02C" w14:textId="2DA30900" w:rsidR="00E15C78" w:rsidRPr="00643B79" w:rsidRDefault="00E15C78" w:rsidP="00F2246F">
            <w:pPr>
              <w:spacing w:after="160" w:line="259" w:lineRule="auto"/>
              <w:jc w:val="center"/>
              <w:rPr>
                <w:color w:val="auto"/>
              </w:rPr>
            </w:pPr>
            <w:r w:rsidRPr="00643B79">
              <w:rPr>
                <w:color w:val="auto"/>
              </w:rPr>
              <w:t>X</w:t>
            </w:r>
          </w:p>
        </w:tc>
      </w:tr>
      <w:tr w:rsidR="00113135" w14:paraId="400FF14D"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2AE113D4" w14:textId="61E11824" w:rsidR="00E15C78" w:rsidRPr="00643B79"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have civil bulk objections been in securing recoveries?</w:t>
            </w:r>
          </w:p>
        </w:tc>
        <w:tc>
          <w:tcPr>
            <w:tcW w:w="3220" w:type="dxa"/>
            <w:vAlign w:val="top"/>
          </w:tcPr>
          <w:p w14:paraId="17C27992" w14:textId="136817D1" w:rsidR="00E15C78" w:rsidRPr="00643B79" w:rsidRDefault="00E15C78" w:rsidP="00E15C78">
            <w:pPr>
              <w:spacing w:after="160" w:line="259" w:lineRule="auto"/>
              <w:rPr>
                <w:rFonts w:ascii="Arial" w:hAnsi="Arial" w:cs="Arial"/>
                <w:color w:val="auto"/>
                <w:szCs w:val="24"/>
              </w:rPr>
            </w:pPr>
            <w:r w:rsidRPr="00643B79">
              <w:rPr>
                <w:rFonts w:ascii="Arial" w:eastAsia="Calibri" w:hAnsi="Arial" w:cs="Arial"/>
                <w:color w:val="auto"/>
                <w:kern w:val="24"/>
                <w:szCs w:val="24"/>
              </w:rPr>
              <w:t>#/£ objections submitted and successful recoveries</w:t>
            </w:r>
          </w:p>
        </w:tc>
        <w:tc>
          <w:tcPr>
            <w:tcW w:w="0" w:type="dxa"/>
            <w:vAlign w:val="center"/>
          </w:tcPr>
          <w:p w14:paraId="1ABE8971" w14:textId="1B6659BC"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0" w:type="dxa"/>
            <w:vAlign w:val="center"/>
          </w:tcPr>
          <w:p w14:paraId="1AAB7EC2" w14:textId="77777777" w:rsidR="00E15C78" w:rsidRPr="00643B79" w:rsidRDefault="00E15C78" w:rsidP="00F2246F">
            <w:pPr>
              <w:spacing w:after="160" w:line="259" w:lineRule="auto"/>
              <w:jc w:val="center"/>
              <w:rPr>
                <w:rFonts w:ascii="Arial" w:hAnsi="Arial" w:cs="Arial"/>
                <w:color w:val="auto"/>
                <w:szCs w:val="24"/>
              </w:rPr>
            </w:pPr>
          </w:p>
        </w:tc>
        <w:tc>
          <w:tcPr>
            <w:tcW w:w="0" w:type="dxa"/>
            <w:vAlign w:val="center"/>
          </w:tcPr>
          <w:p w14:paraId="402A8FA0" w14:textId="5ED2B272"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3BD4BAFA" w14:textId="1EFAD112" w:rsidR="00E15C78" w:rsidRPr="00643B79"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6B15D818" w14:textId="3D0D1FAB" w:rsidR="00E15C78" w:rsidRPr="00643B79" w:rsidRDefault="00E15C78" w:rsidP="00F2246F">
            <w:pPr>
              <w:spacing w:after="160" w:line="259" w:lineRule="auto"/>
              <w:jc w:val="center"/>
              <w:rPr>
                <w:color w:val="auto"/>
              </w:rPr>
            </w:pPr>
            <w:r w:rsidRPr="00643B79">
              <w:rPr>
                <w:color w:val="auto"/>
              </w:rPr>
              <w:t>X</w:t>
            </w:r>
          </w:p>
        </w:tc>
      </w:tr>
      <w:tr w:rsidR="00113135" w14:paraId="65063E74" w14:textId="77777777" w:rsidTr="00F2246F">
        <w:tblPrEx>
          <w:tblCellMar>
            <w:left w:w="108" w:type="dxa"/>
            <w:right w:w="108" w:type="dxa"/>
          </w:tblCellMar>
        </w:tblPrEx>
        <w:tc>
          <w:tcPr>
            <w:tcW w:w="5670" w:type="dxa"/>
            <w:vAlign w:val="top"/>
          </w:tcPr>
          <w:p w14:paraId="3EA8F60F" w14:textId="408D4C9A"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How effective have the processes been in recovering monies that were suspected of being fraudulently obtained?</w:t>
            </w:r>
          </w:p>
        </w:tc>
        <w:tc>
          <w:tcPr>
            <w:tcW w:w="3220" w:type="dxa"/>
            <w:vAlign w:val="top"/>
          </w:tcPr>
          <w:p w14:paraId="72F4642E" w14:textId="07C0787B"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t>#/£ of monies recovered from firms with different characteristics</w:t>
            </w:r>
          </w:p>
        </w:tc>
        <w:tc>
          <w:tcPr>
            <w:tcW w:w="1033" w:type="dxa"/>
            <w:vAlign w:val="center"/>
          </w:tcPr>
          <w:p w14:paraId="24B42489" w14:textId="7DDAB390"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992" w:type="dxa"/>
            <w:vAlign w:val="center"/>
          </w:tcPr>
          <w:p w14:paraId="2DEA5DEF" w14:textId="33B0ED15"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51" w:type="dxa"/>
            <w:vAlign w:val="center"/>
          </w:tcPr>
          <w:p w14:paraId="13225C37" w14:textId="2C68F893"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28385AE9" w14:textId="2C2C27A4"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0" w:type="dxa"/>
            <w:vAlign w:val="center"/>
          </w:tcPr>
          <w:p w14:paraId="15046793" w14:textId="0C15487B" w:rsidR="00E15C78" w:rsidRPr="00236B73" w:rsidRDefault="00E15C78" w:rsidP="00F2246F">
            <w:pPr>
              <w:spacing w:after="160" w:line="259" w:lineRule="auto"/>
              <w:jc w:val="center"/>
              <w:rPr>
                <w:color w:val="auto"/>
              </w:rPr>
            </w:pPr>
            <w:r w:rsidRPr="00643B79">
              <w:rPr>
                <w:color w:val="auto"/>
              </w:rPr>
              <w:t>X</w:t>
            </w:r>
          </w:p>
        </w:tc>
      </w:tr>
      <w:tr w:rsidR="00F2246F" w14:paraId="27D4F30B" w14:textId="77777777" w:rsidTr="00F2246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5670" w:type="dxa"/>
            <w:vAlign w:val="top"/>
          </w:tcPr>
          <w:p w14:paraId="3350055A" w14:textId="6B6395D6" w:rsidR="00E15C78" w:rsidRPr="00236B73" w:rsidRDefault="00E15C78" w:rsidP="00E15C78">
            <w:pPr>
              <w:spacing w:after="160" w:line="259" w:lineRule="auto"/>
              <w:rPr>
                <w:rFonts w:ascii="Arial" w:hAnsi="Arial" w:cs="Arial"/>
                <w:color w:val="auto"/>
                <w:szCs w:val="24"/>
              </w:rPr>
            </w:pPr>
            <w:r w:rsidRPr="00643B79">
              <w:rPr>
                <w:rFonts w:ascii="Arial" w:hAnsi="Arial" w:cs="Arial"/>
                <w:color w:val="auto"/>
                <w:kern w:val="24"/>
                <w:szCs w:val="24"/>
              </w:rPr>
              <w:lastRenderedPageBreak/>
              <w:t>How effective were the different governance structures in promoting coordinated fraud enforcement activity?</w:t>
            </w:r>
          </w:p>
        </w:tc>
        <w:tc>
          <w:tcPr>
            <w:tcW w:w="3220" w:type="dxa"/>
            <w:vAlign w:val="top"/>
          </w:tcPr>
          <w:p w14:paraId="1FEA29A2" w14:textId="77777777" w:rsidR="00E15C78" w:rsidRPr="00236B73" w:rsidRDefault="00E15C78" w:rsidP="00E15C78">
            <w:pPr>
              <w:spacing w:after="160" w:line="259" w:lineRule="auto"/>
              <w:rPr>
                <w:rFonts w:ascii="Arial" w:hAnsi="Arial" w:cs="Arial"/>
                <w:color w:val="auto"/>
                <w:szCs w:val="24"/>
              </w:rPr>
            </w:pPr>
          </w:p>
        </w:tc>
        <w:tc>
          <w:tcPr>
            <w:tcW w:w="1033" w:type="dxa"/>
            <w:vAlign w:val="center"/>
          </w:tcPr>
          <w:p w14:paraId="754C00D1" w14:textId="77777777" w:rsidR="00E15C78" w:rsidRPr="00236B73" w:rsidRDefault="00E15C78" w:rsidP="00F2246F">
            <w:pPr>
              <w:spacing w:after="160" w:line="259" w:lineRule="auto"/>
              <w:jc w:val="center"/>
              <w:rPr>
                <w:rFonts w:ascii="Arial" w:hAnsi="Arial" w:cs="Arial"/>
                <w:color w:val="auto"/>
                <w:szCs w:val="24"/>
              </w:rPr>
            </w:pPr>
          </w:p>
        </w:tc>
        <w:tc>
          <w:tcPr>
            <w:tcW w:w="992" w:type="dxa"/>
            <w:vAlign w:val="center"/>
          </w:tcPr>
          <w:p w14:paraId="7FC85160" w14:textId="6678144C"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kern w:val="24"/>
                <w:szCs w:val="24"/>
              </w:rPr>
              <w:t>X</w:t>
            </w:r>
          </w:p>
        </w:tc>
        <w:tc>
          <w:tcPr>
            <w:tcW w:w="851" w:type="dxa"/>
            <w:vAlign w:val="center"/>
          </w:tcPr>
          <w:p w14:paraId="42E6CF07" w14:textId="17DA5D98"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1022" w:type="dxa"/>
            <w:vAlign w:val="center"/>
          </w:tcPr>
          <w:p w14:paraId="2BA122D3" w14:textId="51514D63" w:rsidR="00E15C78" w:rsidRPr="00236B73" w:rsidRDefault="00E15C78" w:rsidP="00F2246F">
            <w:pPr>
              <w:spacing w:after="160" w:line="259" w:lineRule="auto"/>
              <w:jc w:val="center"/>
              <w:rPr>
                <w:rFonts w:ascii="Arial" w:hAnsi="Arial" w:cs="Arial"/>
                <w:color w:val="auto"/>
                <w:szCs w:val="24"/>
              </w:rPr>
            </w:pPr>
            <w:r w:rsidRPr="00643B79">
              <w:rPr>
                <w:rFonts w:ascii="Arial" w:hAnsi="Arial" w:cs="Arial"/>
                <w:color w:val="auto"/>
                <w:szCs w:val="24"/>
              </w:rPr>
              <w:t>X</w:t>
            </w:r>
          </w:p>
        </w:tc>
        <w:tc>
          <w:tcPr>
            <w:tcW w:w="818" w:type="dxa"/>
            <w:vAlign w:val="center"/>
          </w:tcPr>
          <w:p w14:paraId="5FC1C5FA" w14:textId="01B13DCE" w:rsidR="00E15C78" w:rsidRPr="00236B73" w:rsidRDefault="00E15C78" w:rsidP="00F2246F">
            <w:pPr>
              <w:spacing w:after="160" w:line="259" w:lineRule="auto"/>
              <w:jc w:val="center"/>
              <w:rPr>
                <w:color w:val="auto"/>
              </w:rPr>
            </w:pPr>
            <w:r w:rsidRPr="00643B79">
              <w:rPr>
                <w:color w:val="auto"/>
              </w:rPr>
              <w:t>X</w:t>
            </w:r>
          </w:p>
        </w:tc>
      </w:tr>
    </w:tbl>
    <w:p w14:paraId="2F4E8F3C" w14:textId="0AD4FE3B" w:rsidR="002E7ABE" w:rsidRDefault="006F4BDF">
      <w:pPr>
        <w:spacing w:after="160" w:line="259" w:lineRule="auto"/>
      </w:pPr>
      <w:r>
        <w:t xml:space="preserve"> </w:t>
      </w:r>
    </w:p>
    <w:p w14:paraId="56C81C38" w14:textId="05B94311" w:rsidR="00427B94" w:rsidRPr="00490C53" w:rsidRDefault="00427B94">
      <w:pPr>
        <w:spacing w:after="160" w:line="259" w:lineRule="auto"/>
      </w:pPr>
      <w:r w:rsidRPr="00490C53">
        <w:br w:type="page"/>
      </w:r>
    </w:p>
    <w:p w14:paraId="5711ADBE" w14:textId="77777777" w:rsidR="002E7ABE" w:rsidRDefault="002E7ABE" w:rsidP="00427B94">
      <w:pPr>
        <w:pStyle w:val="Heading1"/>
        <w:sectPr w:rsidR="002E7ABE" w:rsidSect="00F2246F">
          <w:pgSz w:w="16838" w:h="11906" w:orient="landscape" w:code="9"/>
          <w:pgMar w:top="907" w:right="1701" w:bottom="845" w:left="1531" w:header="624" w:footer="454" w:gutter="0"/>
          <w:cols w:space="720"/>
          <w:titlePg/>
          <w:docGrid w:linePitch="360"/>
        </w:sectPr>
      </w:pPr>
      <w:bookmarkStart w:id="188" w:name="_Ref92922539"/>
      <w:bookmarkStart w:id="189" w:name="_Ref92922795"/>
      <w:bookmarkStart w:id="190" w:name="_Ref92923288"/>
      <w:bookmarkStart w:id="191" w:name="_Ref92923384"/>
      <w:bookmarkStart w:id="192" w:name="_Ref92923519"/>
      <w:bookmarkStart w:id="193" w:name="_Toc105749901"/>
    </w:p>
    <w:p w14:paraId="479AD27A" w14:textId="77BCCADD" w:rsidR="00427B94" w:rsidRPr="00490C53" w:rsidRDefault="00427B94" w:rsidP="00427B94">
      <w:pPr>
        <w:pStyle w:val="Heading1"/>
      </w:pPr>
      <w:bookmarkStart w:id="194" w:name="_Toc151549898"/>
      <w:r w:rsidRPr="00490C53">
        <w:lastRenderedPageBreak/>
        <w:t>Annex 2</w:t>
      </w:r>
      <w:bookmarkEnd w:id="188"/>
      <w:bookmarkEnd w:id="189"/>
      <w:bookmarkEnd w:id="190"/>
      <w:bookmarkEnd w:id="191"/>
      <w:bookmarkEnd w:id="192"/>
      <w:bookmarkEnd w:id="193"/>
      <w:r w:rsidR="009024A9">
        <w:t xml:space="preserve"> – Quantitative survey</w:t>
      </w:r>
      <w:bookmarkEnd w:id="194"/>
    </w:p>
    <w:p w14:paraId="041FB281" w14:textId="77777777" w:rsidR="00B2786E" w:rsidRPr="006F30CC" w:rsidRDefault="00B2786E" w:rsidP="00B2786E">
      <w:pPr>
        <w:rPr>
          <w:sz w:val="22"/>
        </w:rPr>
      </w:pPr>
      <w:r>
        <w:t xml:space="preserve">This annex provides technical details of the survey of Covid-19 Loan Guarantee Scheme borrowers and non-borrowers undertaken in the second year of the evaluation. It covers the sampling, fieldwork, and approach to weighting as well as a copy of the questionnaire to aid the interpretation of the findings. </w:t>
      </w:r>
    </w:p>
    <w:p w14:paraId="4F0FA899" w14:textId="77777777" w:rsidR="00B2786E" w:rsidRPr="00341AE5" w:rsidRDefault="00B2786E" w:rsidP="00236B73">
      <w:pPr>
        <w:pStyle w:val="Heading2"/>
      </w:pPr>
      <w:bookmarkStart w:id="195" w:name="_Toc94634095"/>
      <w:bookmarkStart w:id="196" w:name="_Toc149801261"/>
      <w:bookmarkStart w:id="197" w:name="_Toc151016580"/>
      <w:bookmarkStart w:id="198" w:name="_Toc151549899"/>
      <w:r w:rsidRPr="00341AE5">
        <w:t>Summary of methodology</w:t>
      </w:r>
      <w:bookmarkEnd w:id="195"/>
      <w:bookmarkEnd w:id="196"/>
      <w:bookmarkEnd w:id="197"/>
      <w:bookmarkEnd w:id="198"/>
    </w:p>
    <w:p w14:paraId="26C3D617" w14:textId="72366F4C" w:rsidR="00B2786E" w:rsidRPr="006F30CC" w:rsidRDefault="00B2786E" w:rsidP="00B2786E">
      <w:pPr>
        <w:rPr>
          <w:sz w:val="22"/>
        </w:rPr>
      </w:pPr>
      <w:r>
        <w:t xml:space="preserve">To support the evaluation, Ipsos undertook a quantitative survey (with telephone interviews as the primary data collection method) of 440 borrowers and 521 non-borrowers from 18 August </w:t>
      </w:r>
      <w:r w:rsidR="3F95FB1D">
        <w:t>to</w:t>
      </w:r>
      <w:r>
        <w:t xml:space="preserve"> 14 October 2022. The data have been weighted to be statistically representative of the loan populations (under the Covid-19 Loan Guarantee Schemes) as well as the overall business population (weighting is explained in detail below). Businesses that reported that they did not experience any challenges (positive or negative) caused by the pandemic and public-sector organisations were outside the scope of the survey.</w:t>
      </w:r>
    </w:p>
    <w:p w14:paraId="41F90865" w14:textId="77777777" w:rsidR="00B2786E" w:rsidRPr="005D5D23" w:rsidRDefault="00B2786E" w:rsidP="00236B73">
      <w:bookmarkStart w:id="199" w:name="_Toc94634096"/>
      <w:bookmarkStart w:id="200" w:name="_Toc149801262"/>
      <w:bookmarkStart w:id="201" w:name="_Toc151016581"/>
      <w:r w:rsidRPr="00236B73">
        <w:rPr>
          <w:color w:val="142855" w:themeColor="text2"/>
        </w:rPr>
        <w:t>Survey and questionnaire development</w:t>
      </w:r>
      <w:bookmarkEnd w:id="199"/>
      <w:bookmarkEnd w:id="200"/>
      <w:bookmarkEnd w:id="201"/>
    </w:p>
    <w:p w14:paraId="09C3F4F1" w14:textId="4E5A653F" w:rsidR="00B2786E" w:rsidRDefault="00B2786E" w:rsidP="00B2786E">
      <w:pPr>
        <w:rPr>
          <w:sz w:val="22"/>
        </w:rPr>
      </w:pPr>
      <w:r>
        <w:t>Ipsos, with input from London Economics, developed the questionnaire and all other survey instruments (</w:t>
      </w:r>
      <w:r w:rsidR="00D5524B">
        <w:t>for example</w:t>
      </w:r>
      <w:r>
        <w:t xml:space="preserve"> the interview script, reassurance email and interviewer briefing materials). BBB and BEIS had final approval of the questionnaire. The questionnaire for Year 2 of the study was based on the Year 1 questionnaire, with some questions removed </w:t>
      </w:r>
      <w:proofErr w:type="gramStart"/>
      <w:r>
        <w:t>in order to</w:t>
      </w:r>
      <w:proofErr w:type="gramEnd"/>
      <w:r>
        <w:t xml:space="preserve"> reduce the average length of the survey interviews.   </w:t>
      </w:r>
    </w:p>
    <w:p w14:paraId="3D988AC2" w14:textId="77777777" w:rsidR="00B2786E" w:rsidRDefault="00B2786E" w:rsidP="00B2786E">
      <w:r>
        <w:t xml:space="preserve">The initial development of the survey for the first year of the evaluation took place over several stages from April to September 2021, including: </w:t>
      </w:r>
    </w:p>
    <w:p w14:paraId="200FF9B6" w14:textId="77777777" w:rsidR="00B2786E" w:rsidRPr="006F30CC" w:rsidRDefault="00B2786E" w:rsidP="00B2786E">
      <w:pPr>
        <w:pStyle w:val="ListBullet"/>
      </w:pPr>
      <w:r>
        <w:t>Stakeholder engagement, including a virtual workshop with the project steering group</w:t>
      </w:r>
    </w:p>
    <w:p w14:paraId="1FEB8EAA" w14:textId="77777777" w:rsidR="00B2786E" w:rsidRPr="006F30CC" w:rsidRDefault="00B2786E" w:rsidP="00B2786E">
      <w:pPr>
        <w:pStyle w:val="ListBullet"/>
      </w:pPr>
      <w:r>
        <w:t>A pilot survey, consisting of 143 interviews (105 Covid-19 Loan Guarantee Scheme borrowers, 38 non-borrowers)</w:t>
      </w:r>
    </w:p>
    <w:p w14:paraId="2ACCD78A" w14:textId="77777777" w:rsidR="00B2786E" w:rsidRPr="006F30CC" w:rsidRDefault="00B2786E" w:rsidP="00B2786E">
      <w:pPr>
        <w:pStyle w:val="ListBullet"/>
      </w:pPr>
      <w:proofErr w:type="gramStart"/>
      <w:r>
        <w:lastRenderedPageBreak/>
        <w:t>A number of</w:t>
      </w:r>
      <w:proofErr w:type="gramEnd"/>
      <w:r>
        <w:t xml:space="preserve"> iterations pre and post pilot to reflect initial findings and further input from stakeholders and the group</w:t>
      </w:r>
    </w:p>
    <w:p w14:paraId="0F75A36D" w14:textId="77777777" w:rsidR="00B2786E" w:rsidRPr="00877D60" w:rsidRDefault="00B2786E" w:rsidP="00B2786E">
      <w:r>
        <w:t xml:space="preserve">A copy of the final questionnaire used for the Year 2 study is included below. </w:t>
      </w:r>
    </w:p>
    <w:p w14:paraId="2F0B3B5B" w14:textId="77777777" w:rsidR="00B2786E" w:rsidRPr="005D5D23" w:rsidRDefault="00B2786E" w:rsidP="00236B73">
      <w:bookmarkStart w:id="202" w:name="_Toc94634097"/>
      <w:bookmarkStart w:id="203" w:name="_Toc149801263"/>
      <w:bookmarkStart w:id="204" w:name="_Toc151016582"/>
      <w:r w:rsidRPr="00236B73">
        <w:rPr>
          <w:color w:val="142855" w:themeColor="text2"/>
        </w:rPr>
        <w:t>Sampling</w:t>
      </w:r>
      <w:bookmarkEnd w:id="202"/>
      <w:bookmarkEnd w:id="203"/>
      <w:bookmarkEnd w:id="204"/>
    </w:p>
    <w:p w14:paraId="5CF0D2B8" w14:textId="77777777" w:rsidR="00B2786E" w:rsidRDefault="00B2786E" w:rsidP="00B2786E">
      <w:pPr>
        <w:rPr>
          <w:sz w:val="22"/>
        </w:rPr>
      </w:pPr>
      <w:r>
        <w:t>The sample frame used in Year 2 of the study consisted of:</w:t>
      </w:r>
    </w:p>
    <w:p w14:paraId="1DD0D3AF" w14:textId="77777777" w:rsidR="00B2786E" w:rsidRDefault="00B2786E" w:rsidP="00B2786E">
      <w:pPr>
        <w:pStyle w:val="ListBullet"/>
      </w:pPr>
      <w:r>
        <w:t>Recontact sample: participants in Year 1 of the study, who consented to being contacted to take part in Year 2</w:t>
      </w:r>
    </w:p>
    <w:p w14:paraId="6F559732" w14:textId="77777777" w:rsidR="00B2786E" w:rsidRDefault="00B2786E" w:rsidP="00B2786E">
      <w:pPr>
        <w:pStyle w:val="ListBullet"/>
      </w:pPr>
      <w:r>
        <w:t>Fresh sample: new sample leads invited to take part in the study for the first time</w:t>
      </w:r>
    </w:p>
    <w:p w14:paraId="419642F7" w14:textId="77777777" w:rsidR="00B2786E" w:rsidRDefault="00B2786E" w:rsidP="00B2786E">
      <w:proofErr w:type="gramStart"/>
      <w:r>
        <w:t>Both of these</w:t>
      </w:r>
      <w:proofErr w:type="gramEnd"/>
      <w:r>
        <w:t xml:space="preserve"> contained a mixture of borrowers and non-borrowers. Borrower sample, for both the recontact and fresh contacts, was primarily provided by BBB, who shared a random sample of businesses who had taken out loans, as well as contacts from a previous Ipsos study who had been identified as being borrowers.</w:t>
      </w:r>
    </w:p>
    <w:p w14:paraId="3C93C37D" w14:textId="77777777" w:rsidR="00B2786E" w:rsidRDefault="00B2786E" w:rsidP="00B2786E">
      <w:r>
        <w:t>For the control group of non-borrowers, sample was selected from three sources:</w:t>
      </w:r>
    </w:p>
    <w:p w14:paraId="0BBF7060" w14:textId="77777777" w:rsidR="00B2786E" w:rsidRDefault="00B2786E" w:rsidP="00B2786E">
      <w:pPr>
        <w:pStyle w:val="ListBullet"/>
      </w:pPr>
      <w:r>
        <w:t>For the BBLS and CBILS non-borrowers sample frames, the Dun &amp; Bradstreet (D&amp;B) business database was used.</w:t>
      </w:r>
    </w:p>
    <w:p w14:paraId="4A46BDCF" w14:textId="77777777" w:rsidR="00B2786E" w:rsidRDefault="00B2786E" w:rsidP="00B2786E">
      <w:pPr>
        <w:pStyle w:val="ListBullet"/>
      </w:pPr>
      <w:r>
        <w:t>For the CLBILS non-borrower sample frame, the Inter-Departmental Business Register (IDBR) was used for businesses with a turnover threshold over £45 million – though only a small number of these respondents were used as part of the CBILS control group in the Year 2 study (see below).</w:t>
      </w:r>
    </w:p>
    <w:p w14:paraId="16EC8B1D" w14:textId="77777777" w:rsidR="00B2786E" w:rsidRDefault="00B2786E" w:rsidP="00B2786E">
      <w:pPr>
        <w:pStyle w:val="ListBullet"/>
      </w:pPr>
      <w:r>
        <w:t>For non-borrowers of all three Covid-19 Loan Guarantee Schemes, recontact sample from the 2020 BBB Business Finance Surveys was also used.</w:t>
      </w:r>
    </w:p>
    <w:p w14:paraId="0BA19401" w14:textId="77777777" w:rsidR="00B2786E" w:rsidRDefault="00B2786E" w:rsidP="00B2786E">
      <w:r>
        <w:t xml:space="preserve">Non-borrowers were selected to be representative of the overall population of businesses that were eligible for the three Covid-19 Loan Guarantee Schemes. They were </w:t>
      </w:r>
      <w:proofErr w:type="gramStart"/>
      <w:r>
        <w:t>similar to</w:t>
      </w:r>
      <w:proofErr w:type="gramEnd"/>
      <w:r>
        <w:t xml:space="preserve"> borrowers in that they have all faced challenges or opportunities because of the Covid-19 pandemic, thereby increasing the likelihood that both groups of businesses have faced similar financial and operational issues during the reference period of the evaluation.</w:t>
      </w:r>
    </w:p>
    <w:p w14:paraId="50B7B43E" w14:textId="77777777" w:rsidR="00B2786E" w:rsidRDefault="00B2786E" w:rsidP="00B2786E">
      <w:r>
        <w:lastRenderedPageBreak/>
        <w:t>Ipsos carried out telephone tracing (matching the sample frame data to the Dun &amp; Bradstreet database and to any publicly available data sourced from LinkedIn) to fill in the gaps where possible. The sample was also cleaned to remove any duplicate telephone numbers.</w:t>
      </w:r>
    </w:p>
    <w:p w14:paraId="328A8C1C" w14:textId="77777777" w:rsidR="00B2786E" w:rsidRDefault="00B2786E" w:rsidP="00B2786E">
      <w:r>
        <w:t xml:space="preserve">Given the small population of CLBILS borrowers and non-borrowers, extensive manual sample improvement was also carried out for these groups. This involved looking up relevant contact names and numbers online and on LinkedIn (on publicly available pages) wherever possible. </w:t>
      </w:r>
    </w:p>
    <w:p w14:paraId="082DE2FF" w14:textId="77777777" w:rsidR="00B2786E" w:rsidRDefault="00B2786E" w:rsidP="00B2786E">
      <w:r>
        <w:t>The sample was proportionately stratified by region and disproportionately stratified by size and sector. An entirely proportionately stratified sample would not allow sufficient subgroup analysis by size and sector. For example, it would effectively exclude all medium and large businesses from the selected sample, as they make up a very small proportion of BBLS and CBILS borrowers. Therefore, disproportionate sample targets were set for micro (1 to 9 employees), small (10 to 49 employees), medium (50 to 249 employees) and large (250 or more employees) businesses. Specific sectors were also boosted to ensure findings for all sector groupings could be reported.</w:t>
      </w:r>
    </w:p>
    <w:p w14:paraId="6369F56D" w14:textId="77777777" w:rsidR="00B2786E" w:rsidRPr="000023A7" w:rsidRDefault="00B2786E" w:rsidP="00B2786E">
      <w:r>
        <w:t>Post-survey weighting corrected for the disproportionate stratification (see section on weighting).</w:t>
      </w:r>
    </w:p>
    <w:p w14:paraId="72F9378D" w14:textId="77777777" w:rsidR="00B2786E" w:rsidRPr="005D5D23" w:rsidRDefault="00B2786E" w:rsidP="00236B73">
      <w:bookmarkStart w:id="205" w:name="_Toc94634098"/>
      <w:bookmarkStart w:id="206" w:name="_Toc149801264"/>
      <w:bookmarkStart w:id="207" w:name="_Toc151016583"/>
      <w:r w:rsidRPr="00236B73">
        <w:rPr>
          <w:color w:val="142855" w:themeColor="text2"/>
        </w:rPr>
        <w:t>Fieldwork</w:t>
      </w:r>
      <w:bookmarkEnd w:id="205"/>
      <w:bookmarkEnd w:id="206"/>
      <w:bookmarkEnd w:id="207"/>
    </w:p>
    <w:p w14:paraId="5DD51E12" w14:textId="77777777" w:rsidR="00B2786E" w:rsidRDefault="00B2786E" w:rsidP="00B2786E">
      <w:pPr>
        <w:rPr>
          <w:sz w:val="22"/>
        </w:rPr>
      </w:pPr>
      <w:r>
        <w:t xml:space="preserve">Ipsos carried out the fieldwork from 18 August to 14 October 2022. In total, interviews were completed with: </w:t>
      </w:r>
    </w:p>
    <w:p w14:paraId="53EF9080" w14:textId="77777777" w:rsidR="00B2786E" w:rsidRPr="006F30CC" w:rsidRDefault="00B2786E" w:rsidP="00B2786E">
      <w:pPr>
        <w:pStyle w:val="ListBullet"/>
      </w:pPr>
      <w:r>
        <w:t>BBLS borrowers: 242</w:t>
      </w:r>
    </w:p>
    <w:p w14:paraId="288750EC" w14:textId="77777777" w:rsidR="00B2786E" w:rsidRPr="006F30CC" w:rsidRDefault="00B2786E" w:rsidP="00B2786E">
      <w:pPr>
        <w:pStyle w:val="ListBullet"/>
      </w:pPr>
      <w:r>
        <w:t>CBILS borrowers: 189</w:t>
      </w:r>
    </w:p>
    <w:p w14:paraId="6A384014" w14:textId="77777777" w:rsidR="00B2786E" w:rsidRPr="006F30CC" w:rsidRDefault="00B2786E" w:rsidP="00B2786E">
      <w:pPr>
        <w:pStyle w:val="ListBullet"/>
      </w:pPr>
      <w:r>
        <w:t>CLBILS borrowers: 9</w:t>
      </w:r>
    </w:p>
    <w:p w14:paraId="0AFF3103" w14:textId="77777777" w:rsidR="00B2786E" w:rsidRPr="000023A7" w:rsidRDefault="00B2786E" w:rsidP="00B2786E">
      <w:pPr>
        <w:pStyle w:val="ListBullet"/>
      </w:pPr>
      <w:r>
        <w:t>Non-borrowers: 521</w:t>
      </w:r>
    </w:p>
    <w:p w14:paraId="7B07E939" w14:textId="1E51D602" w:rsidR="00B2786E" w:rsidRDefault="00B2786E" w:rsidP="00B2786E">
      <w:r>
        <w:t xml:space="preserve">Given the algorithm used to assign businesses as BBLS and CBILS non-borrowers, it is possible for a business to be assigned to both. Of the 521 Control participants, 377 were assigned to the BBLS control group, whilst 225 were assigned to the CBILS control group. As outlined in the weighting section below, the CBILS control group contains a small number of CLBILS controls. These were included as part of the CBILS control group as CBILS and </w:t>
      </w:r>
      <w:r>
        <w:lastRenderedPageBreak/>
        <w:t>CLBILS borrowers were also grouped together for analysis purposes, given the small number of CLBILS borrowers in the Y</w:t>
      </w:r>
      <w:r w:rsidR="6B1F0E41">
        <w:t xml:space="preserve">ear </w:t>
      </w:r>
      <w:r>
        <w:t xml:space="preserve">2 sample.  </w:t>
      </w:r>
    </w:p>
    <w:p w14:paraId="798B2531" w14:textId="629C56D6" w:rsidR="00B2786E" w:rsidRPr="000023A7" w:rsidRDefault="00B2786E" w:rsidP="00B2786E">
      <w:r>
        <w:t>The average interview length was 18 minutes for fresh sample and 9 minutes for the recontact sample from Year 1. This was due to some survey information being carried over from the previous survey for those participating last year (</w:t>
      </w:r>
      <w:r w:rsidR="00994BE7">
        <w:t xml:space="preserve">for example </w:t>
      </w:r>
      <w:r>
        <w:t xml:space="preserve">confirming use of loans, sector, financial reporting, etc.). </w:t>
      </w:r>
    </w:p>
    <w:p w14:paraId="6A1EC1CF" w14:textId="77777777" w:rsidR="00B2786E" w:rsidRPr="005D5D23" w:rsidRDefault="00B2786E" w:rsidP="00236B73">
      <w:r w:rsidRPr="00236B73">
        <w:rPr>
          <w:color w:val="142855" w:themeColor="text2"/>
        </w:rPr>
        <w:t>Screening of respondents</w:t>
      </w:r>
    </w:p>
    <w:p w14:paraId="38FE0987" w14:textId="77777777" w:rsidR="00B2786E" w:rsidRDefault="00B2786E" w:rsidP="00B2786E">
      <w:pPr>
        <w:rPr>
          <w:sz w:val="22"/>
        </w:rPr>
      </w:pPr>
      <w:r>
        <w:t>In Year 1, interviewers screened all sampled organisations at the beginning of the call to identify the right individual to take part and ensure the business was eligible for the survey. At this point, the following organisations would have been removed as ineligible:</w:t>
      </w:r>
    </w:p>
    <w:p w14:paraId="04C04608" w14:textId="77777777" w:rsidR="00B2786E" w:rsidRPr="006F30CC" w:rsidRDefault="00B2786E" w:rsidP="00B2786E">
      <w:pPr>
        <w:pStyle w:val="ListBullet"/>
      </w:pPr>
      <w:r>
        <w:t>Organisations that identified themselves as part of the public sector</w:t>
      </w:r>
    </w:p>
    <w:p w14:paraId="5F4B470B" w14:textId="77777777" w:rsidR="00B2786E" w:rsidRPr="006F30CC" w:rsidRDefault="00B2786E" w:rsidP="00B2786E">
      <w:pPr>
        <w:pStyle w:val="ListBullet"/>
      </w:pPr>
      <w:r>
        <w:t>Non-borrowers with a turnover under £8,000</w:t>
      </w:r>
    </w:p>
    <w:p w14:paraId="65F15C4B" w14:textId="77777777" w:rsidR="00B2786E" w:rsidRPr="006F30CC" w:rsidRDefault="00B2786E" w:rsidP="00B2786E">
      <w:pPr>
        <w:pStyle w:val="ListBullet"/>
      </w:pPr>
      <w:r>
        <w:t xml:space="preserve">Non-borrowers who said they did not face any challenges or opportunities </w:t>
      </w:r>
      <w:proofErr w:type="gramStart"/>
      <w:r>
        <w:t>as a result of</w:t>
      </w:r>
      <w:proofErr w:type="gramEnd"/>
      <w:r>
        <w:t xml:space="preserve"> the pandemic. </w:t>
      </w:r>
    </w:p>
    <w:p w14:paraId="776E8747" w14:textId="77777777" w:rsidR="00B2786E" w:rsidRDefault="00B2786E" w:rsidP="00B2786E">
      <w:r>
        <w:t>Interviewers specifically asked for the senior individual with the most responsibility for financial decisions in the organisation. The interviewer briefing included guidance on likely job roles and job titles for these individuals, which would differ based on the type and size of the organisation.</w:t>
      </w:r>
    </w:p>
    <w:p w14:paraId="6648AD6B" w14:textId="77777777" w:rsidR="00B2786E" w:rsidRDefault="00B2786E" w:rsidP="00B2786E">
      <w:r>
        <w:t>For UK businesses that were part of a multinational group, interviewers requested to speak to the relevant person in the UK who dealt with financial decisions at the company level.</w:t>
      </w:r>
    </w:p>
    <w:p w14:paraId="0D31E12D" w14:textId="77777777" w:rsidR="00B2786E" w:rsidRPr="000023A7" w:rsidRDefault="00B2786E" w:rsidP="00B2786E">
      <w:r>
        <w:t xml:space="preserve">For respondents from the fresh sample, </w:t>
      </w:r>
      <w:proofErr w:type="gramStart"/>
      <w:r>
        <w:t>all of</w:t>
      </w:r>
      <w:proofErr w:type="gramEnd"/>
      <w:r>
        <w:t xml:space="preserve"> the above steps would have been taken again as part of the Year 2 study. For recontact respondents, the same person from each organisation was contacted again, with a suitable replacement found if they had left their post.</w:t>
      </w:r>
    </w:p>
    <w:p w14:paraId="4D984620" w14:textId="77777777" w:rsidR="00B2786E" w:rsidRPr="005D5D23" w:rsidRDefault="00B2786E" w:rsidP="00236B73">
      <w:r w:rsidRPr="00236B73">
        <w:rPr>
          <w:color w:val="142855" w:themeColor="text2"/>
        </w:rPr>
        <w:t>Maximising participation</w:t>
      </w:r>
    </w:p>
    <w:p w14:paraId="65C71E1A" w14:textId="77777777" w:rsidR="00B2786E" w:rsidRDefault="00B2786E" w:rsidP="00B2786E">
      <w:pPr>
        <w:rPr>
          <w:sz w:val="22"/>
        </w:rPr>
      </w:pPr>
      <w:r>
        <w:t>For this survey, several steps were undertaken to maximise participation in the survey and reduce non-response bias:</w:t>
      </w:r>
    </w:p>
    <w:p w14:paraId="22DABB8A" w14:textId="77777777" w:rsidR="00B2786E" w:rsidRPr="006F30CC" w:rsidRDefault="00B2786E" w:rsidP="00B2786E">
      <w:pPr>
        <w:pStyle w:val="ListBullet"/>
      </w:pPr>
      <w:r>
        <w:lastRenderedPageBreak/>
        <w:t xml:space="preserve">Each organisation loaded in the main survey sample was called multiple times, or until an interview was achieved, a refusal given, or information obtained to make a judgment on the eligibility of that contact. </w:t>
      </w:r>
    </w:p>
    <w:p w14:paraId="3C596CC8" w14:textId="77777777" w:rsidR="00B2786E" w:rsidRPr="006F30CC" w:rsidRDefault="00B2786E" w:rsidP="00B2786E">
      <w:pPr>
        <w:pStyle w:val="ListBullet"/>
      </w:pPr>
      <w:r>
        <w:t>Each piece of sample was called at different times of the day, throughout the working week, to make every possible attempt to achieve an interview. Evening and weekend interviews were also offered if the respondent preferred these times.</w:t>
      </w:r>
    </w:p>
    <w:p w14:paraId="4DAF11B7" w14:textId="77777777" w:rsidR="00B2786E" w:rsidRPr="006F30CC" w:rsidRDefault="00B2786E" w:rsidP="00B2786E">
      <w:pPr>
        <w:pStyle w:val="ListBullet"/>
      </w:pPr>
      <w:r>
        <w:t xml:space="preserve">An option to complete the survey online was included for businesses who preferred to take part in this way. Some of the CBILS borrowers and </w:t>
      </w:r>
      <w:proofErr w:type="gramStart"/>
      <w:r>
        <w:t>all of</w:t>
      </w:r>
      <w:proofErr w:type="gramEnd"/>
      <w:r>
        <w:t xml:space="preserve"> the CLBILS borrowers with a direct email address were emailed a link to the survey. All businesses who started the online survey but did not complete it also received a follow up phone call encouraging them to finish the survey. A total of 7 respondents completed the survey entirely online as part of the Year 2 study. </w:t>
      </w:r>
    </w:p>
    <w:p w14:paraId="50478A3F" w14:textId="77777777" w:rsidR="00B2786E" w:rsidRPr="006F30CC" w:rsidRDefault="00B2786E" w:rsidP="00B2786E">
      <w:pPr>
        <w:pStyle w:val="ListBullet"/>
      </w:pPr>
      <w:r>
        <w:t>Year 1 participants were sent an advanced email about the study, as well as a pre-publication version of the report to encourage participation.</w:t>
      </w:r>
    </w:p>
    <w:p w14:paraId="638F7AE3" w14:textId="77777777" w:rsidR="00B2786E" w:rsidRPr="006F30CC" w:rsidRDefault="00B2786E" w:rsidP="00B2786E">
      <w:pPr>
        <w:pStyle w:val="ListBullet"/>
      </w:pPr>
      <w:r>
        <w:t xml:space="preserve">Interviewers could send a reassurance email to prospective respondents if the respondent requested this. </w:t>
      </w:r>
    </w:p>
    <w:p w14:paraId="126A34CD" w14:textId="77777777" w:rsidR="00B2786E" w:rsidRPr="006F30CC" w:rsidRDefault="00B2786E" w:rsidP="00B2786E">
      <w:pPr>
        <w:pStyle w:val="ListBullet"/>
      </w:pPr>
      <w:r>
        <w:t>Ipsos set up an email inbox and free (0800) phone number for respondents to be able to contact to set up appointments or, in the case of the phone number, take part there and then.</w:t>
      </w:r>
    </w:p>
    <w:p w14:paraId="0F786A40" w14:textId="77777777" w:rsidR="00B2786E" w:rsidRPr="004024F3" w:rsidRDefault="00B2786E" w:rsidP="00B2786E">
      <w:pPr>
        <w:pStyle w:val="ListBullet"/>
      </w:pPr>
      <w:r>
        <w:t>Where email addresses were available for the sample for organisations, several warm-up and reminder emails were also sent to the hardest to reach groups across the course of fieldwork to let businesses know that an Ipsos interviewer would attempt to call them. Where possible, manual searches for personal email addresses and direct contact names were also undertaken.</w:t>
      </w:r>
    </w:p>
    <w:p w14:paraId="1990E18F" w14:textId="77777777" w:rsidR="00B2786E" w:rsidRPr="005D5D23" w:rsidRDefault="00B2786E" w:rsidP="00236B73">
      <w:r w:rsidRPr="00236B73">
        <w:rPr>
          <w:color w:val="142855" w:themeColor="text2"/>
        </w:rPr>
        <w:t>Fieldwork monitoring</w:t>
      </w:r>
    </w:p>
    <w:p w14:paraId="6629E94A" w14:textId="77777777" w:rsidR="00B2786E" w:rsidRPr="006F30CC" w:rsidRDefault="00B2786E" w:rsidP="00B2786E">
      <w:pPr>
        <w:rPr>
          <w:sz w:val="22"/>
        </w:rPr>
      </w:pPr>
      <w:r>
        <w:t>Ipsos is a member of the interviewer Quality Control Scheme recognised by the Market Research Society. In accordance with this scheme, at least 10 per cent of the interviews were listened to and the data entry checked on screen for these interviews.</w:t>
      </w:r>
    </w:p>
    <w:p w14:paraId="70E79A84" w14:textId="77777777" w:rsidR="00B2786E" w:rsidRPr="005D5D23" w:rsidRDefault="00B2786E" w:rsidP="00236B73">
      <w:bookmarkStart w:id="208" w:name="_Toc480231186"/>
      <w:bookmarkStart w:id="209" w:name="_Toc68868704"/>
      <w:r w:rsidRPr="00236B73">
        <w:rPr>
          <w:color w:val="142855" w:themeColor="text2"/>
        </w:rPr>
        <w:lastRenderedPageBreak/>
        <w:t>Fieldwork outcomes and response rate</w:t>
      </w:r>
      <w:bookmarkEnd w:id="208"/>
      <w:bookmarkEnd w:id="209"/>
    </w:p>
    <w:p w14:paraId="357EE849" w14:textId="262D2497" w:rsidR="00533A25" w:rsidRDefault="00533A25" w:rsidP="00533A25">
      <w:pPr>
        <w:rPr>
          <w:sz w:val="22"/>
        </w:rPr>
      </w:pPr>
      <w:r>
        <w:t xml:space="preserve">Fieldwork outcomes and co-operation rates were monitored throughout fieldwork, and interviewers were given regular guidance on how to avoid common reasons for refusal. </w:t>
      </w:r>
      <w:r>
        <w:fldChar w:fldCharType="begin"/>
      </w:r>
      <w:r>
        <w:instrText xml:space="preserve"> REF _Ref133404288 \h </w:instrText>
      </w:r>
      <w:r>
        <w:fldChar w:fldCharType="separate"/>
      </w:r>
      <w:r w:rsidR="00397D49" w:rsidRPr="00490C53">
        <w:t xml:space="preserve">Table </w:t>
      </w:r>
      <w:r w:rsidR="00397D49">
        <w:rPr>
          <w:noProof/>
        </w:rPr>
        <w:t>20</w:t>
      </w:r>
      <w:r>
        <w:fldChar w:fldCharType="end"/>
      </w:r>
      <w:r>
        <w:t xml:space="preserve"> shows the final outcomes and the adjusted response rate calculations.</w:t>
      </w:r>
    </w:p>
    <w:p w14:paraId="60A1FFB3" w14:textId="4F1060C5" w:rsidR="00533A25" w:rsidRPr="00490C53" w:rsidRDefault="00533A25" w:rsidP="00533A25">
      <w:pPr>
        <w:pStyle w:val="Heading5"/>
      </w:pPr>
      <w:bookmarkStart w:id="210" w:name="_Ref133404288"/>
      <w:bookmarkStart w:id="211" w:name="_Ref133404284"/>
      <w:r w:rsidRPr="00490C53">
        <w:t xml:space="preserve">Table </w:t>
      </w:r>
      <w:r w:rsidRPr="00846F78">
        <w:fldChar w:fldCharType="begin"/>
      </w:r>
      <w:r w:rsidRPr="00490C53">
        <w:instrText xml:space="preserve"> SEQ Table \* ARABIC </w:instrText>
      </w:r>
      <w:r w:rsidRPr="00846F78">
        <w:fldChar w:fldCharType="separate"/>
      </w:r>
      <w:r w:rsidR="00397D49">
        <w:rPr>
          <w:noProof/>
        </w:rPr>
        <w:t>20</w:t>
      </w:r>
      <w:r w:rsidRPr="00846F78">
        <w:fldChar w:fldCharType="end"/>
      </w:r>
      <w:bookmarkEnd w:id="210"/>
      <w:r w:rsidRPr="00490C53">
        <w:t xml:space="preserve"> : </w:t>
      </w:r>
      <w:r>
        <w:t>Sample outcomes for borrowers and non-borrowers</w:t>
      </w:r>
      <w:bookmarkEnd w:id="211"/>
    </w:p>
    <w:tbl>
      <w:tblPr>
        <w:tblStyle w:val="TableGrid"/>
        <w:tblW w:w="5000" w:type="pct"/>
        <w:tblLook w:val="04A0" w:firstRow="1" w:lastRow="0" w:firstColumn="1" w:lastColumn="0" w:noHBand="0" w:noVBand="1"/>
      </w:tblPr>
      <w:tblGrid>
        <w:gridCol w:w="3384"/>
        <w:gridCol w:w="3385"/>
        <w:gridCol w:w="3385"/>
      </w:tblGrid>
      <w:tr w:rsidR="00533A25" w:rsidRPr="00490C53" w14:paraId="6116D4ED" w14:textId="77777777">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41DB654C" w14:textId="77777777" w:rsidR="00533A25" w:rsidRPr="00490C53" w:rsidRDefault="00533A25">
            <w:pPr>
              <w:pStyle w:val="Tablecolumnheading-inkblue"/>
              <w:rPr>
                <w:color w:val="FFFFFF" w:themeColor="background1"/>
              </w:rPr>
            </w:pPr>
            <w:r>
              <w:rPr>
                <w:color w:val="FFFFFF" w:themeColor="background1"/>
              </w:rPr>
              <w:t>Outcome</w:t>
            </w:r>
          </w:p>
        </w:tc>
        <w:tc>
          <w:tcPr>
            <w:tcW w:w="1667" w:type="pct"/>
            <w:hideMark/>
          </w:tcPr>
          <w:p w14:paraId="18C9E456" w14:textId="77777777" w:rsidR="00533A25" w:rsidRPr="00490C53" w:rsidRDefault="00533A25">
            <w:pPr>
              <w:pStyle w:val="Tablecolumnheading-inkblue"/>
              <w:rPr>
                <w:color w:val="FFFFFF" w:themeColor="background1"/>
              </w:rPr>
            </w:pPr>
            <w:r>
              <w:rPr>
                <w:color w:val="FFFFFF" w:themeColor="background1"/>
              </w:rPr>
              <w:t>Borrowers</w:t>
            </w:r>
          </w:p>
        </w:tc>
        <w:tc>
          <w:tcPr>
            <w:tcW w:w="1667" w:type="pct"/>
            <w:hideMark/>
          </w:tcPr>
          <w:p w14:paraId="144974E9" w14:textId="77777777" w:rsidR="00533A25" w:rsidRPr="00490C53" w:rsidRDefault="00533A25">
            <w:pPr>
              <w:pStyle w:val="Tablecolumnheading-inkblue"/>
              <w:rPr>
                <w:color w:val="FFFFFF" w:themeColor="background1"/>
              </w:rPr>
            </w:pPr>
            <w:r>
              <w:rPr>
                <w:color w:val="FFFFFF" w:themeColor="background1"/>
              </w:rPr>
              <w:t>Non-borrowers</w:t>
            </w:r>
          </w:p>
        </w:tc>
      </w:tr>
      <w:tr w:rsidR="00533A25" w:rsidRPr="00490C53" w14:paraId="47166CB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66" w:type="pct"/>
            <w:tcMar>
              <w:top w:w="0" w:type="dxa"/>
              <w:left w:w="108" w:type="dxa"/>
              <w:bottom w:w="0" w:type="dxa"/>
              <w:right w:w="108" w:type="dxa"/>
            </w:tcMar>
            <w:vAlign w:val="center"/>
          </w:tcPr>
          <w:p w14:paraId="43F37079" w14:textId="77777777" w:rsidR="00533A25" w:rsidRPr="00490C53" w:rsidRDefault="00533A25">
            <w:pPr>
              <w:pStyle w:val="Tabletext"/>
            </w:pPr>
            <w:r>
              <w:t>Completed interviews</w:t>
            </w:r>
          </w:p>
        </w:tc>
        <w:tc>
          <w:tcPr>
            <w:tcW w:w="1667" w:type="pct"/>
            <w:tcMar>
              <w:top w:w="0" w:type="dxa"/>
              <w:left w:w="108" w:type="dxa"/>
              <w:bottom w:w="0" w:type="dxa"/>
              <w:right w:w="108" w:type="dxa"/>
            </w:tcMar>
            <w:vAlign w:val="center"/>
          </w:tcPr>
          <w:p w14:paraId="6D2EACC5" w14:textId="77777777" w:rsidR="00533A25" w:rsidRPr="00490C53" w:rsidRDefault="00533A25">
            <w:pPr>
              <w:pStyle w:val="Tabletext"/>
            </w:pPr>
            <w:r>
              <w:t>440</w:t>
            </w:r>
          </w:p>
        </w:tc>
        <w:tc>
          <w:tcPr>
            <w:tcW w:w="1667" w:type="pct"/>
            <w:tcMar>
              <w:top w:w="0" w:type="dxa"/>
              <w:left w:w="108" w:type="dxa"/>
              <w:bottom w:w="0" w:type="dxa"/>
              <w:right w:w="108" w:type="dxa"/>
            </w:tcMar>
            <w:vAlign w:val="center"/>
          </w:tcPr>
          <w:p w14:paraId="32A6E11A" w14:textId="77777777" w:rsidR="00533A25" w:rsidRPr="00490C53" w:rsidRDefault="00533A25">
            <w:pPr>
              <w:pStyle w:val="Tabletext"/>
              <w:rPr>
                <w:rStyle w:val="Bold"/>
                <w:b w:val="0"/>
                <w:bCs/>
              </w:rPr>
            </w:pPr>
            <w:r>
              <w:rPr>
                <w:rStyle w:val="Bold"/>
                <w:b w:val="0"/>
                <w:bCs/>
              </w:rPr>
              <w:t>521</w:t>
            </w:r>
          </w:p>
        </w:tc>
      </w:tr>
      <w:tr w:rsidR="00533A25" w:rsidRPr="00490C53" w14:paraId="58A2288B" w14:textId="77777777">
        <w:tblPrEx>
          <w:tblCellMar>
            <w:left w:w="108" w:type="dxa"/>
            <w:right w:w="108" w:type="dxa"/>
          </w:tblCellMar>
        </w:tblPrEx>
        <w:tc>
          <w:tcPr>
            <w:tcW w:w="1666" w:type="pct"/>
            <w:tcMar>
              <w:top w:w="0" w:type="dxa"/>
              <w:left w:w="108" w:type="dxa"/>
              <w:bottom w:w="0" w:type="dxa"/>
              <w:right w:w="108" w:type="dxa"/>
            </w:tcMar>
            <w:vAlign w:val="center"/>
          </w:tcPr>
          <w:p w14:paraId="4254E917" w14:textId="77777777" w:rsidR="00533A25" w:rsidRPr="00490C53" w:rsidRDefault="00533A25">
            <w:pPr>
              <w:pStyle w:val="Tabletext"/>
            </w:pPr>
            <w:r>
              <w:t>Refused</w:t>
            </w:r>
          </w:p>
        </w:tc>
        <w:tc>
          <w:tcPr>
            <w:tcW w:w="1667" w:type="pct"/>
            <w:tcMar>
              <w:top w:w="0" w:type="dxa"/>
              <w:left w:w="108" w:type="dxa"/>
              <w:bottom w:w="0" w:type="dxa"/>
              <w:right w:w="108" w:type="dxa"/>
            </w:tcMar>
            <w:vAlign w:val="center"/>
          </w:tcPr>
          <w:p w14:paraId="4E7EFDEF" w14:textId="77777777" w:rsidR="00533A25" w:rsidRPr="00490C53" w:rsidRDefault="00533A25">
            <w:pPr>
              <w:pStyle w:val="Tabletext"/>
            </w:pPr>
            <w:r>
              <w:t>119</w:t>
            </w:r>
          </w:p>
        </w:tc>
        <w:tc>
          <w:tcPr>
            <w:tcW w:w="1667" w:type="pct"/>
            <w:tcMar>
              <w:top w:w="0" w:type="dxa"/>
              <w:left w:w="108" w:type="dxa"/>
              <w:bottom w:w="0" w:type="dxa"/>
              <w:right w:w="108" w:type="dxa"/>
            </w:tcMar>
            <w:vAlign w:val="center"/>
          </w:tcPr>
          <w:p w14:paraId="78E086D9" w14:textId="77777777" w:rsidR="00533A25" w:rsidRPr="00490C53" w:rsidRDefault="00533A25">
            <w:pPr>
              <w:pStyle w:val="Tabletext"/>
              <w:rPr>
                <w:rStyle w:val="Bold"/>
                <w:b w:val="0"/>
                <w:bCs/>
              </w:rPr>
            </w:pPr>
            <w:r>
              <w:rPr>
                <w:rStyle w:val="Bold"/>
                <w:b w:val="0"/>
                <w:bCs/>
              </w:rPr>
              <w:t>434</w:t>
            </w:r>
          </w:p>
        </w:tc>
      </w:tr>
      <w:tr w:rsidR="00533A25" w:rsidRPr="00490C53" w14:paraId="603F209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66" w:type="pct"/>
            <w:tcMar>
              <w:top w:w="0" w:type="dxa"/>
              <w:left w:w="108" w:type="dxa"/>
              <w:bottom w:w="0" w:type="dxa"/>
              <w:right w:w="108" w:type="dxa"/>
            </w:tcMar>
            <w:vAlign w:val="center"/>
          </w:tcPr>
          <w:p w14:paraId="5FFA441F" w14:textId="77777777" w:rsidR="00533A25" w:rsidRPr="00490C53" w:rsidRDefault="00533A25">
            <w:pPr>
              <w:pStyle w:val="Tabletext"/>
            </w:pPr>
            <w:r>
              <w:t>Unusable numbers</w:t>
            </w:r>
            <w:r>
              <w:rPr>
                <w:rStyle w:val="FootnoteReference"/>
              </w:rPr>
              <w:footnoteReference w:id="116"/>
            </w:r>
          </w:p>
        </w:tc>
        <w:tc>
          <w:tcPr>
            <w:tcW w:w="1667" w:type="pct"/>
            <w:tcMar>
              <w:top w:w="0" w:type="dxa"/>
              <w:left w:w="108" w:type="dxa"/>
              <w:bottom w:w="0" w:type="dxa"/>
              <w:right w:w="108" w:type="dxa"/>
            </w:tcMar>
            <w:vAlign w:val="center"/>
          </w:tcPr>
          <w:p w14:paraId="1F143B1F" w14:textId="77777777" w:rsidR="00533A25" w:rsidRPr="00490C53" w:rsidRDefault="00533A25">
            <w:pPr>
              <w:pStyle w:val="Tabletext"/>
            </w:pPr>
            <w:r>
              <w:t>287</w:t>
            </w:r>
          </w:p>
        </w:tc>
        <w:tc>
          <w:tcPr>
            <w:tcW w:w="1667" w:type="pct"/>
            <w:tcMar>
              <w:top w:w="0" w:type="dxa"/>
              <w:left w:w="108" w:type="dxa"/>
              <w:bottom w:w="0" w:type="dxa"/>
              <w:right w:w="108" w:type="dxa"/>
            </w:tcMar>
            <w:vAlign w:val="center"/>
          </w:tcPr>
          <w:p w14:paraId="662CD047" w14:textId="77777777" w:rsidR="00533A25" w:rsidRPr="00490C53" w:rsidRDefault="00533A25">
            <w:pPr>
              <w:pStyle w:val="Tabletext"/>
            </w:pPr>
            <w:r>
              <w:t>1,166</w:t>
            </w:r>
          </w:p>
        </w:tc>
      </w:tr>
      <w:tr w:rsidR="00533A25" w:rsidRPr="00490C53" w14:paraId="5485360D" w14:textId="77777777">
        <w:tblPrEx>
          <w:tblCellMar>
            <w:left w:w="108" w:type="dxa"/>
            <w:right w:w="108" w:type="dxa"/>
          </w:tblCellMar>
        </w:tblPrEx>
        <w:tc>
          <w:tcPr>
            <w:tcW w:w="1666" w:type="pct"/>
            <w:tcMar>
              <w:top w:w="0" w:type="dxa"/>
              <w:left w:w="108" w:type="dxa"/>
              <w:bottom w:w="0" w:type="dxa"/>
              <w:right w:w="108" w:type="dxa"/>
            </w:tcMar>
            <w:vAlign w:val="center"/>
          </w:tcPr>
          <w:p w14:paraId="70D210CD" w14:textId="77777777" w:rsidR="00533A25" w:rsidRPr="00490C53" w:rsidRDefault="00533A25">
            <w:pPr>
              <w:pStyle w:val="Tabletext"/>
            </w:pPr>
            <w:r>
              <w:t>Unusable leads with working numbers</w:t>
            </w:r>
            <w:r>
              <w:rPr>
                <w:rStyle w:val="FootnoteReference"/>
              </w:rPr>
              <w:footnoteReference w:id="117"/>
            </w:r>
          </w:p>
        </w:tc>
        <w:tc>
          <w:tcPr>
            <w:tcW w:w="1667" w:type="pct"/>
            <w:tcMar>
              <w:top w:w="0" w:type="dxa"/>
              <w:left w:w="108" w:type="dxa"/>
              <w:bottom w:w="0" w:type="dxa"/>
              <w:right w:w="108" w:type="dxa"/>
            </w:tcMar>
            <w:vAlign w:val="center"/>
          </w:tcPr>
          <w:p w14:paraId="45DB8168" w14:textId="77777777" w:rsidR="00533A25" w:rsidRPr="00490C53" w:rsidRDefault="00533A25">
            <w:pPr>
              <w:pStyle w:val="Tabletext"/>
            </w:pPr>
            <w:r>
              <w:t>1,137</w:t>
            </w:r>
          </w:p>
        </w:tc>
        <w:tc>
          <w:tcPr>
            <w:tcW w:w="1667" w:type="pct"/>
            <w:tcMar>
              <w:top w:w="0" w:type="dxa"/>
              <w:left w:w="108" w:type="dxa"/>
              <w:bottom w:w="0" w:type="dxa"/>
              <w:right w:w="108" w:type="dxa"/>
            </w:tcMar>
            <w:vAlign w:val="center"/>
          </w:tcPr>
          <w:p w14:paraId="11005338" w14:textId="77777777" w:rsidR="00533A25" w:rsidRPr="00490C53" w:rsidRDefault="00533A25">
            <w:pPr>
              <w:pStyle w:val="Tabletext"/>
              <w:rPr>
                <w:rStyle w:val="Bold"/>
                <w:b w:val="0"/>
                <w:bCs/>
              </w:rPr>
            </w:pPr>
            <w:r>
              <w:rPr>
                <w:rStyle w:val="Bold"/>
                <w:b w:val="0"/>
                <w:bCs/>
              </w:rPr>
              <w:t>2,875</w:t>
            </w:r>
          </w:p>
        </w:tc>
      </w:tr>
      <w:tr w:rsidR="00533A25" w:rsidRPr="00490C53" w14:paraId="2920A7F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66" w:type="pct"/>
            <w:tcMar>
              <w:top w:w="0" w:type="dxa"/>
              <w:left w:w="108" w:type="dxa"/>
              <w:bottom w:w="0" w:type="dxa"/>
              <w:right w:w="108" w:type="dxa"/>
            </w:tcMar>
            <w:vAlign w:val="center"/>
          </w:tcPr>
          <w:p w14:paraId="15777F18" w14:textId="77777777" w:rsidR="00533A25" w:rsidRPr="00490C53" w:rsidRDefault="00533A25">
            <w:pPr>
              <w:pStyle w:val="Tabletext"/>
            </w:pPr>
            <w:r>
              <w:t>Working numbers with unknown eligibility</w:t>
            </w:r>
            <w:r>
              <w:rPr>
                <w:rStyle w:val="FootnoteReference"/>
              </w:rPr>
              <w:footnoteReference w:id="118"/>
            </w:r>
          </w:p>
        </w:tc>
        <w:tc>
          <w:tcPr>
            <w:tcW w:w="1667" w:type="pct"/>
            <w:tcMar>
              <w:top w:w="0" w:type="dxa"/>
              <w:left w:w="108" w:type="dxa"/>
              <w:bottom w:w="0" w:type="dxa"/>
              <w:right w:w="108" w:type="dxa"/>
            </w:tcMar>
            <w:vAlign w:val="center"/>
          </w:tcPr>
          <w:p w14:paraId="2453848D" w14:textId="77777777" w:rsidR="00533A25" w:rsidRPr="00490C53" w:rsidRDefault="00533A25">
            <w:pPr>
              <w:pStyle w:val="Tabletext"/>
            </w:pPr>
            <w:r>
              <w:t>456</w:t>
            </w:r>
          </w:p>
        </w:tc>
        <w:tc>
          <w:tcPr>
            <w:tcW w:w="1667" w:type="pct"/>
            <w:tcMar>
              <w:top w:w="0" w:type="dxa"/>
              <w:left w:w="108" w:type="dxa"/>
              <w:bottom w:w="0" w:type="dxa"/>
              <w:right w:w="108" w:type="dxa"/>
            </w:tcMar>
            <w:vAlign w:val="center"/>
          </w:tcPr>
          <w:p w14:paraId="3310DDFB" w14:textId="77777777" w:rsidR="00533A25" w:rsidRPr="00490C53" w:rsidRDefault="00533A25">
            <w:pPr>
              <w:pStyle w:val="Tabletext"/>
              <w:rPr>
                <w:rStyle w:val="Bold"/>
                <w:b w:val="0"/>
                <w:bCs/>
                <w:color w:val="auto"/>
              </w:rPr>
            </w:pPr>
            <w:r>
              <w:rPr>
                <w:rStyle w:val="Bold"/>
                <w:b w:val="0"/>
                <w:bCs/>
                <w:color w:val="auto"/>
              </w:rPr>
              <w:t>1,014</w:t>
            </w:r>
          </w:p>
        </w:tc>
      </w:tr>
      <w:tr w:rsidR="00533A25" w:rsidRPr="00490C53" w14:paraId="25657027" w14:textId="77777777">
        <w:tblPrEx>
          <w:tblCellMar>
            <w:left w:w="108" w:type="dxa"/>
            <w:right w:w="108" w:type="dxa"/>
          </w:tblCellMar>
        </w:tblPrEx>
        <w:tc>
          <w:tcPr>
            <w:tcW w:w="1666" w:type="pct"/>
            <w:tcMar>
              <w:top w:w="0" w:type="dxa"/>
              <w:left w:w="108" w:type="dxa"/>
              <w:bottom w:w="0" w:type="dxa"/>
              <w:right w:w="108" w:type="dxa"/>
            </w:tcMar>
            <w:vAlign w:val="center"/>
          </w:tcPr>
          <w:p w14:paraId="64D8C15D" w14:textId="77777777" w:rsidR="00533A25" w:rsidRPr="00490C53" w:rsidRDefault="00533A25">
            <w:pPr>
              <w:pStyle w:val="Tabletext"/>
            </w:pPr>
            <w:r>
              <w:t>Screened out</w:t>
            </w:r>
            <w:r>
              <w:rPr>
                <w:rStyle w:val="FootnoteReference"/>
              </w:rPr>
              <w:footnoteReference w:id="119"/>
            </w:r>
          </w:p>
        </w:tc>
        <w:tc>
          <w:tcPr>
            <w:tcW w:w="1667" w:type="pct"/>
            <w:tcMar>
              <w:top w:w="0" w:type="dxa"/>
              <w:left w:w="108" w:type="dxa"/>
              <w:bottom w:w="0" w:type="dxa"/>
              <w:right w:w="108" w:type="dxa"/>
            </w:tcMar>
            <w:vAlign w:val="center"/>
          </w:tcPr>
          <w:p w14:paraId="6A7EF8AE" w14:textId="77777777" w:rsidR="00533A25" w:rsidRPr="00490C53" w:rsidRDefault="00533A25">
            <w:pPr>
              <w:pStyle w:val="Tabletext"/>
            </w:pPr>
            <w:r>
              <w:t>1</w:t>
            </w:r>
          </w:p>
        </w:tc>
        <w:tc>
          <w:tcPr>
            <w:tcW w:w="1667" w:type="pct"/>
            <w:tcMar>
              <w:top w:w="0" w:type="dxa"/>
              <w:left w:w="108" w:type="dxa"/>
              <w:bottom w:w="0" w:type="dxa"/>
              <w:right w:w="108" w:type="dxa"/>
            </w:tcMar>
            <w:vAlign w:val="center"/>
          </w:tcPr>
          <w:p w14:paraId="24171AA2" w14:textId="77777777" w:rsidR="00533A25" w:rsidRPr="00490C53" w:rsidRDefault="00533A25">
            <w:pPr>
              <w:pStyle w:val="Tabletext"/>
              <w:rPr>
                <w:rStyle w:val="Bold"/>
                <w:b w:val="0"/>
                <w:bCs/>
                <w:color w:val="auto"/>
              </w:rPr>
            </w:pPr>
            <w:r>
              <w:rPr>
                <w:rStyle w:val="Bold"/>
                <w:b w:val="0"/>
                <w:bCs/>
                <w:color w:val="auto"/>
              </w:rPr>
              <w:t>120</w:t>
            </w:r>
          </w:p>
        </w:tc>
      </w:tr>
      <w:tr w:rsidR="00533A25" w:rsidRPr="00490C53" w14:paraId="5D42731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66" w:type="pct"/>
            <w:tcBorders>
              <w:top w:val="nil"/>
              <w:left w:val="nil"/>
              <w:bottom w:val="single" w:sz="4" w:space="0" w:color="0054BA" w:themeColor="accent2"/>
              <w:right w:val="nil"/>
            </w:tcBorders>
            <w:tcMar>
              <w:top w:w="0" w:type="dxa"/>
              <w:left w:w="108" w:type="dxa"/>
              <w:bottom w:w="0" w:type="dxa"/>
              <w:right w:w="108" w:type="dxa"/>
            </w:tcMar>
            <w:vAlign w:val="center"/>
          </w:tcPr>
          <w:p w14:paraId="3F8C3D98" w14:textId="77777777" w:rsidR="00533A25" w:rsidRPr="0021037C" w:rsidRDefault="00533A25">
            <w:pPr>
              <w:pStyle w:val="Tabletext"/>
              <w:rPr>
                <w:b/>
                <w:bCs/>
              </w:rPr>
            </w:pPr>
            <w:r w:rsidRPr="0021037C">
              <w:rPr>
                <w:b/>
                <w:bCs/>
              </w:rPr>
              <w:t>Total</w:t>
            </w:r>
          </w:p>
        </w:tc>
        <w:tc>
          <w:tcPr>
            <w:tcW w:w="1667" w:type="pct"/>
            <w:tcBorders>
              <w:top w:val="nil"/>
              <w:left w:val="nil"/>
              <w:bottom w:val="single" w:sz="4" w:space="0" w:color="0054BA" w:themeColor="accent2"/>
              <w:right w:val="nil"/>
            </w:tcBorders>
            <w:tcMar>
              <w:top w:w="0" w:type="dxa"/>
              <w:left w:w="108" w:type="dxa"/>
              <w:bottom w:w="0" w:type="dxa"/>
              <w:right w:w="108" w:type="dxa"/>
            </w:tcMar>
            <w:vAlign w:val="center"/>
          </w:tcPr>
          <w:p w14:paraId="0223B741" w14:textId="77777777" w:rsidR="00533A25" w:rsidRPr="0021037C" w:rsidRDefault="00533A25">
            <w:pPr>
              <w:pStyle w:val="Tabletext"/>
              <w:rPr>
                <w:b/>
                <w:bCs/>
              </w:rPr>
            </w:pPr>
            <w:r>
              <w:rPr>
                <w:b/>
                <w:bCs/>
              </w:rPr>
              <w:t>2,440</w:t>
            </w:r>
          </w:p>
        </w:tc>
        <w:tc>
          <w:tcPr>
            <w:tcW w:w="1667" w:type="pct"/>
            <w:tcBorders>
              <w:top w:val="nil"/>
              <w:left w:val="nil"/>
              <w:bottom w:val="single" w:sz="4" w:space="0" w:color="0054BA" w:themeColor="accent2"/>
              <w:right w:val="nil"/>
            </w:tcBorders>
            <w:tcMar>
              <w:top w:w="0" w:type="dxa"/>
              <w:left w:w="108" w:type="dxa"/>
              <w:bottom w:w="0" w:type="dxa"/>
              <w:right w:w="108" w:type="dxa"/>
            </w:tcMar>
            <w:vAlign w:val="center"/>
          </w:tcPr>
          <w:p w14:paraId="2F39F395" w14:textId="77777777" w:rsidR="00533A25" w:rsidRPr="0021037C" w:rsidRDefault="00533A25">
            <w:pPr>
              <w:pStyle w:val="Tabletext"/>
              <w:rPr>
                <w:rStyle w:val="Bold"/>
                <w:bCs/>
              </w:rPr>
            </w:pPr>
            <w:r>
              <w:rPr>
                <w:rStyle w:val="Bold"/>
                <w:bCs/>
              </w:rPr>
              <w:t>6,130</w:t>
            </w:r>
          </w:p>
        </w:tc>
      </w:tr>
    </w:tbl>
    <w:p w14:paraId="59465A00" w14:textId="77777777" w:rsidR="00533A25" w:rsidRPr="006F30CC" w:rsidRDefault="00533A25" w:rsidP="00533A25">
      <w:pPr>
        <w:rPr>
          <w:highlight w:val="yellow"/>
        </w:rPr>
      </w:pPr>
    </w:p>
    <w:p w14:paraId="7AF79C9F" w14:textId="6199D1F3" w:rsidR="00533A25" w:rsidRDefault="00533A25" w:rsidP="00533A25">
      <w:r>
        <w:fldChar w:fldCharType="begin"/>
      </w:r>
      <w:r>
        <w:instrText xml:space="preserve"> REF _Ref133404942 \h </w:instrText>
      </w:r>
      <w:r>
        <w:fldChar w:fldCharType="separate"/>
      </w:r>
      <w:r w:rsidR="00397D49" w:rsidRPr="00490C53">
        <w:t xml:space="preserve">Table </w:t>
      </w:r>
      <w:r w:rsidR="00397D49">
        <w:rPr>
          <w:noProof/>
        </w:rPr>
        <w:t>21</w:t>
      </w:r>
      <w:r>
        <w:fldChar w:fldCharType="end"/>
      </w:r>
      <w:r>
        <w:t xml:space="preserve"> below shows the sample outcomes for the recontact and fresh samples. </w:t>
      </w:r>
    </w:p>
    <w:p w14:paraId="08406BD0" w14:textId="7DE5374A" w:rsidR="00533A25" w:rsidRPr="00490C53" w:rsidRDefault="00533A25" w:rsidP="00533A25">
      <w:pPr>
        <w:pStyle w:val="Heading5"/>
      </w:pPr>
      <w:bookmarkStart w:id="212" w:name="_Ref133404942"/>
      <w:r w:rsidRPr="00490C53">
        <w:t xml:space="preserve">Table </w:t>
      </w:r>
      <w:r w:rsidRPr="00846F78">
        <w:fldChar w:fldCharType="begin"/>
      </w:r>
      <w:r w:rsidRPr="00490C53">
        <w:instrText xml:space="preserve"> SEQ Table \* ARABIC </w:instrText>
      </w:r>
      <w:r w:rsidRPr="00846F78">
        <w:fldChar w:fldCharType="separate"/>
      </w:r>
      <w:r w:rsidR="00397D49">
        <w:rPr>
          <w:noProof/>
        </w:rPr>
        <w:t>21</w:t>
      </w:r>
      <w:r w:rsidRPr="00846F78">
        <w:fldChar w:fldCharType="end"/>
      </w:r>
      <w:bookmarkEnd w:id="212"/>
      <w:r w:rsidRPr="00490C53">
        <w:t xml:space="preserve"> : </w:t>
      </w:r>
      <w:r>
        <w:t>Sample outcomes for recontact and fresh samples</w:t>
      </w:r>
    </w:p>
    <w:tbl>
      <w:tblPr>
        <w:tblStyle w:val="TableGrid"/>
        <w:tblW w:w="5000" w:type="pct"/>
        <w:tblLook w:val="04A0" w:firstRow="1" w:lastRow="0" w:firstColumn="1" w:lastColumn="0" w:noHBand="0" w:noVBand="1"/>
      </w:tblPr>
      <w:tblGrid>
        <w:gridCol w:w="3384"/>
        <w:gridCol w:w="3385"/>
        <w:gridCol w:w="3385"/>
      </w:tblGrid>
      <w:tr w:rsidR="00533A25" w:rsidRPr="00490C53" w14:paraId="026F7A80" w14:textId="77777777">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2A74BB58" w14:textId="77777777" w:rsidR="00533A25" w:rsidRPr="00490C53" w:rsidRDefault="00533A25">
            <w:pPr>
              <w:pStyle w:val="Tablecolumnheading-inkblue"/>
              <w:rPr>
                <w:color w:val="FFFFFF" w:themeColor="background1"/>
              </w:rPr>
            </w:pPr>
            <w:r>
              <w:rPr>
                <w:color w:val="FFFFFF" w:themeColor="background1"/>
              </w:rPr>
              <w:t>Outcome</w:t>
            </w:r>
          </w:p>
        </w:tc>
        <w:tc>
          <w:tcPr>
            <w:tcW w:w="1667" w:type="pct"/>
            <w:hideMark/>
          </w:tcPr>
          <w:p w14:paraId="5B43DBF6" w14:textId="77777777" w:rsidR="00533A25" w:rsidRPr="00490C53" w:rsidRDefault="00533A25">
            <w:pPr>
              <w:pStyle w:val="Tablecolumnheading-inkblue"/>
              <w:rPr>
                <w:color w:val="FFFFFF" w:themeColor="background1"/>
              </w:rPr>
            </w:pPr>
            <w:r>
              <w:rPr>
                <w:color w:val="FFFFFF" w:themeColor="background1"/>
              </w:rPr>
              <w:t>Recontact</w:t>
            </w:r>
          </w:p>
        </w:tc>
        <w:tc>
          <w:tcPr>
            <w:tcW w:w="1667" w:type="pct"/>
            <w:hideMark/>
          </w:tcPr>
          <w:p w14:paraId="555A40A9" w14:textId="77777777" w:rsidR="00533A25" w:rsidRPr="00490C53" w:rsidRDefault="00533A25">
            <w:pPr>
              <w:pStyle w:val="Tablecolumnheading-inkblue"/>
              <w:rPr>
                <w:color w:val="FFFFFF" w:themeColor="background1"/>
              </w:rPr>
            </w:pPr>
            <w:r>
              <w:rPr>
                <w:color w:val="FFFFFF" w:themeColor="background1"/>
              </w:rPr>
              <w:t>Fresh</w:t>
            </w:r>
          </w:p>
        </w:tc>
      </w:tr>
      <w:tr w:rsidR="00533A25" w:rsidRPr="00490C53" w14:paraId="7066A56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66" w:type="pct"/>
            <w:tcMar>
              <w:top w:w="0" w:type="dxa"/>
              <w:left w:w="108" w:type="dxa"/>
              <w:bottom w:w="0" w:type="dxa"/>
              <w:right w:w="108" w:type="dxa"/>
            </w:tcMar>
            <w:vAlign w:val="center"/>
          </w:tcPr>
          <w:p w14:paraId="09BB3195" w14:textId="77777777" w:rsidR="00533A25" w:rsidRPr="00490C53" w:rsidRDefault="00533A25">
            <w:pPr>
              <w:pStyle w:val="Tabletext"/>
            </w:pPr>
            <w:r>
              <w:t>Completed interviews</w:t>
            </w:r>
          </w:p>
        </w:tc>
        <w:tc>
          <w:tcPr>
            <w:tcW w:w="1667" w:type="pct"/>
            <w:tcMar>
              <w:top w:w="0" w:type="dxa"/>
              <w:left w:w="108" w:type="dxa"/>
              <w:bottom w:w="0" w:type="dxa"/>
              <w:right w:w="108" w:type="dxa"/>
            </w:tcMar>
            <w:vAlign w:val="center"/>
          </w:tcPr>
          <w:p w14:paraId="6D69D3A1" w14:textId="77777777" w:rsidR="00533A25" w:rsidRPr="00490C53" w:rsidRDefault="00533A25">
            <w:pPr>
              <w:pStyle w:val="Tabletext"/>
            </w:pPr>
            <w:r>
              <w:t>666</w:t>
            </w:r>
          </w:p>
        </w:tc>
        <w:tc>
          <w:tcPr>
            <w:tcW w:w="1667" w:type="pct"/>
            <w:tcMar>
              <w:top w:w="0" w:type="dxa"/>
              <w:left w:w="108" w:type="dxa"/>
              <w:bottom w:w="0" w:type="dxa"/>
              <w:right w:w="108" w:type="dxa"/>
            </w:tcMar>
            <w:vAlign w:val="center"/>
          </w:tcPr>
          <w:p w14:paraId="0FE8C8A9" w14:textId="77777777" w:rsidR="00533A25" w:rsidRPr="00490C53" w:rsidRDefault="00533A25">
            <w:pPr>
              <w:pStyle w:val="Tabletext"/>
              <w:rPr>
                <w:rStyle w:val="Bold"/>
                <w:b w:val="0"/>
                <w:bCs/>
              </w:rPr>
            </w:pPr>
            <w:r>
              <w:rPr>
                <w:rStyle w:val="Bold"/>
                <w:b w:val="0"/>
                <w:bCs/>
              </w:rPr>
              <w:t>295</w:t>
            </w:r>
          </w:p>
        </w:tc>
      </w:tr>
      <w:tr w:rsidR="00533A25" w:rsidRPr="00490C53" w14:paraId="24BACB6A" w14:textId="77777777">
        <w:tblPrEx>
          <w:tblCellMar>
            <w:left w:w="108" w:type="dxa"/>
            <w:right w:w="108" w:type="dxa"/>
          </w:tblCellMar>
        </w:tblPrEx>
        <w:tc>
          <w:tcPr>
            <w:tcW w:w="1666" w:type="pct"/>
            <w:tcMar>
              <w:top w:w="0" w:type="dxa"/>
              <w:left w:w="108" w:type="dxa"/>
              <w:bottom w:w="0" w:type="dxa"/>
              <w:right w:w="108" w:type="dxa"/>
            </w:tcMar>
            <w:vAlign w:val="center"/>
          </w:tcPr>
          <w:p w14:paraId="2CE542FB" w14:textId="77777777" w:rsidR="00533A25" w:rsidRPr="00490C53" w:rsidRDefault="00533A25">
            <w:pPr>
              <w:pStyle w:val="Tabletext"/>
            </w:pPr>
            <w:r>
              <w:lastRenderedPageBreak/>
              <w:t>Refused</w:t>
            </w:r>
          </w:p>
        </w:tc>
        <w:tc>
          <w:tcPr>
            <w:tcW w:w="1667" w:type="pct"/>
            <w:tcMar>
              <w:top w:w="0" w:type="dxa"/>
              <w:left w:w="108" w:type="dxa"/>
              <w:bottom w:w="0" w:type="dxa"/>
              <w:right w:w="108" w:type="dxa"/>
            </w:tcMar>
            <w:vAlign w:val="center"/>
          </w:tcPr>
          <w:p w14:paraId="72475EBD" w14:textId="77777777" w:rsidR="00533A25" w:rsidRPr="00490C53" w:rsidRDefault="00533A25">
            <w:pPr>
              <w:pStyle w:val="Tabletext"/>
            </w:pPr>
            <w:r>
              <w:t>118</w:t>
            </w:r>
          </w:p>
        </w:tc>
        <w:tc>
          <w:tcPr>
            <w:tcW w:w="1667" w:type="pct"/>
            <w:tcMar>
              <w:top w:w="0" w:type="dxa"/>
              <w:left w:w="108" w:type="dxa"/>
              <w:bottom w:w="0" w:type="dxa"/>
              <w:right w:w="108" w:type="dxa"/>
            </w:tcMar>
            <w:vAlign w:val="center"/>
          </w:tcPr>
          <w:p w14:paraId="370A6468" w14:textId="77777777" w:rsidR="00533A25" w:rsidRPr="00490C53" w:rsidRDefault="00533A25">
            <w:pPr>
              <w:pStyle w:val="Tabletext"/>
              <w:rPr>
                <w:rStyle w:val="Bold"/>
                <w:b w:val="0"/>
                <w:bCs/>
              </w:rPr>
            </w:pPr>
            <w:r>
              <w:rPr>
                <w:rStyle w:val="Bold"/>
                <w:b w:val="0"/>
                <w:bCs/>
              </w:rPr>
              <w:t>435</w:t>
            </w:r>
          </w:p>
        </w:tc>
      </w:tr>
      <w:tr w:rsidR="00533A25" w:rsidRPr="00490C53" w14:paraId="1E3A7AE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66" w:type="pct"/>
            <w:tcMar>
              <w:top w:w="0" w:type="dxa"/>
              <w:left w:w="108" w:type="dxa"/>
              <w:bottom w:w="0" w:type="dxa"/>
              <w:right w:w="108" w:type="dxa"/>
            </w:tcMar>
            <w:vAlign w:val="center"/>
          </w:tcPr>
          <w:p w14:paraId="2D1A6EFC" w14:textId="77777777" w:rsidR="00533A25" w:rsidRPr="00490C53" w:rsidRDefault="00533A25">
            <w:pPr>
              <w:pStyle w:val="Tabletext"/>
            </w:pPr>
            <w:r>
              <w:t>Unusable numbers</w:t>
            </w:r>
            <w:r>
              <w:rPr>
                <w:rStyle w:val="FootnoteReference"/>
              </w:rPr>
              <w:footnoteReference w:id="120"/>
            </w:r>
          </w:p>
        </w:tc>
        <w:tc>
          <w:tcPr>
            <w:tcW w:w="1667" w:type="pct"/>
            <w:tcMar>
              <w:top w:w="0" w:type="dxa"/>
              <w:left w:w="108" w:type="dxa"/>
              <w:bottom w:w="0" w:type="dxa"/>
              <w:right w:w="108" w:type="dxa"/>
            </w:tcMar>
            <w:vAlign w:val="center"/>
          </w:tcPr>
          <w:p w14:paraId="6A208C57" w14:textId="77777777" w:rsidR="00533A25" w:rsidRPr="00490C53" w:rsidRDefault="00533A25">
            <w:pPr>
              <w:pStyle w:val="Tabletext"/>
            </w:pPr>
            <w:r>
              <w:t>68</w:t>
            </w:r>
          </w:p>
        </w:tc>
        <w:tc>
          <w:tcPr>
            <w:tcW w:w="1667" w:type="pct"/>
            <w:tcMar>
              <w:top w:w="0" w:type="dxa"/>
              <w:left w:w="108" w:type="dxa"/>
              <w:bottom w:w="0" w:type="dxa"/>
              <w:right w:w="108" w:type="dxa"/>
            </w:tcMar>
            <w:vAlign w:val="center"/>
          </w:tcPr>
          <w:p w14:paraId="7DB4DACA" w14:textId="77777777" w:rsidR="00533A25" w:rsidRPr="00490C53" w:rsidRDefault="00533A25">
            <w:pPr>
              <w:pStyle w:val="Tabletext"/>
            </w:pPr>
            <w:r>
              <w:t>1,385</w:t>
            </w:r>
          </w:p>
        </w:tc>
      </w:tr>
      <w:tr w:rsidR="00533A25" w:rsidRPr="00490C53" w14:paraId="48DE9E99" w14:textId="77777777">
        <w:tblPrEx>
          <w:tblCellMar>
            <w:left w:w="108" w:type="dxa"/>
            <w:right w:w="108" w:type="dxa"/>
          </w:tblCellMar>
        </w:tblPrEx>
        <w:tc>
          <w:tcPr>
            <w:tcW w:w="1666" w:type="pct"/>
            <w:tcMar>
              <w:top w:w="0" w:type="dxa"/>
              <w:left w:w="108" w:type="dxa"/>
              <w:bottom w:w="0" w:type="dxa"/>
              <w:right w:w="108" w:type="dxa"/>
            </w:tcMar>
            <w:vAlign w:val="center"/>
          </w:tcPr>
          <w:p w14:paraId="4489018C" w14:textId="77777777" w:rsidR="00533A25" w:rsidRPr="00490C53" w:rsidRDefault="00533A25">
            <w:pPr>
              <w:pStyle w:val="Tabletext"/>
            </w:pPr>
            <w:r>
              <w:t>Unusable leads with working numbers</w:t>
            </w:r>
            <w:r>
              <w:rPr>
                <w:rStyle w:val="FootnoteReference"/>
              </w:rPr>
              <w:footnoteReference w:id="121"/>
            </w:r>
          </w:p>
        </w:tc>
        <w:tc>
          <w:tcPr>
            <w:tcW w:w="1667" w:type="pct"/>
            <w:tcMar>
              <w:top w:w="0" w:type="dxa"/>
              <w:left w:w="108" w:type="dxa"/>
              <w:bottom w:w="0" w:type="dxa"/>
              <w:right w:w="108" w:type="dxa"/>
            </w:tcMar>
            <w:vAlign w:val="center"/>
          </w:tcPr>
          <w:p w14:paraId="570D42B5" w14:textId="77777777" w:rsidR="00533A25" w:rsidRPr="00490C53" w:rsidRDefault="00533A25">
            <w:pPr>
              <w:pStyle w:val="Tabletext"/>
            </w:pPr>
            <w:r>
              <w:t>272</w:t>
            </w:r>
          </w:p>
        </w:tc>
        <w:tc>
          <w:tcPr>
            <w:tcW w:w="1667" w:type="pct"/>
            <w:tcMar>
              <w:top w:w="0" w:type="dxa"/>
              <w:left w:w="108" w:type="dxa"/>
              <w:bottom w:w="0" w:type="dxa"/>
              <w:right w:w="108" w:type="dxa"/>
            </w:tcMar>
            <w:vAlign w:val="center"/>
          </w:tcPr>
          <w:p w14:paraId="32C4F458" w14:textId="77777777" w:rsidR="00533A25" w:rsidRPr="00490C53" w:rsidRDefault="00533A25">
            <w:pPr>
              <w:pStyle w:val="Tabletext"/>
              <w:rPr>
                <w:rStyle w:val="Bold"/>
                <w:b w:val="0"/>
                <w:bCs/>
              </w:rPr>
            </w:pPr>
            <w:r>
              <w:rPr>
                <w:rStyle w:val="Bold"/>
                <w:b w:val="0"/>
                <w:bCs/>
              </w:rPr>
              <w:t>3,740</w:t>
            </w:r>
          </w:p>
        </w:tc>
      </w:tr>
      <w:tr w:rsidR="00533A25" w:rsidRPr="00490C53" w14:paraId="7DE3B5C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66" w:type="pct"/>
            <w:tcMar>
              <w:top w:w="0" w:type="dxa"/>
              <w:left w:w="108" w:type="dxa"/>
              <w:bottom w:w="0" w:type="dxa"/>
              <w:right w:w="108" w:type="dxa"/>
            </w:tcMar>
            <w:vAlign w:val="center"/>
          </w:tcPr>
          <w:p w14:paraId="1F772A20" w14:textId="77777777" w:rsidR="00533A25" w:rsidRPr="00490C53" w:rsidRDefault="00533A25">
            <w:pPr>
              <w:pStyle w:val="Tabletext"/>
            </w:pPr>
            <w:r>
              <w:t>Working numbers with unknown eligibility</w:t>
            </w:r>
            <w:r>
              <w:rPr>
                <w:rStyle w:val="FootnoteReference"/>
              </w:rPr>
              <w:footnoteReference w:id="122"/>
            </w:r>
          </w:p>
        </w:tc>
        <w:tc>
          <w:tcPr>
            <w:tcW w:w="1667" w:type="pct"/>
            <w:tcMar>
              <w:top w:w="0" w:type="dxa"/>
              <w:left w:w="108" w:type="dxa"/>
              <w:bottom w:w="0" w:type="dxa"/>
              <w:right w:w="108" w:type="dxa"/>
            </w:tcMar>
            <w:vAlign w:val="center"/>
          </w:tcPr>
          <w:p w14:paraId="3997DF99" w14:textId="77777777" w:rsidR="00533A25" w:rsidRPr="00490C53" w:rsidRDefault="00533A25">
            <w:pPr>
              <w:pStyle w:val="Tabletext"/>
            </w:pPr>
            <w:r>
              <w:t>411</w:t>
            </w:r>
          </w:p>
        </w:tc>
        <w:tc>
          <w:tcPr>
            <w:tcW w:w="1667" w:type="pct"/>
            <w:tcMar>
              <w:top w:w="0" w:type="dxa"/>
              <w:left w:w="108" w:type="dxa"/>
              <w:bottom w:w="0" w:type="dxa"/>
              <w:right w:w="108" w:type="dxa"/>
            </w:tcMar>
            <w:vAlign w:val="center"/>
          </w:tcPr>
          <w:p w14:paraId="1269BF7C" w14:textId="77777777" w:rsidR="00533A25" w:rsidRPr="00490C53" w:rsidRDefault="00533A25">
            <w:pPr>
              <w:pStyle w:val="Tabletext"/>
              <w:rPr>
                <w:rStyle w:val="Bold"/>
                <w:b w:val="0"/>
                <w:bCs/>
                <w:color w:val="auto"/>
              </w:rPr>
            </w:pPr>
            <w:r>
              <w:rPr>
                <w:rStyle w:val="Bold"/>
                <w:b w:val="0"/>
                <w:bCs/>
                <w:color w:val="auto"/>
              </w:rPr>
              <w:t>1,059</w:t>
            </w:r>
          </w:p>
        </w:tc>
      </w:tr>
      <w:tr w:rsidR="00533A25" w:rsidRPr="00490C53" w14:paraId="3F4FEC8A" w14:textId="77777777">
        <w:tblPrEx>
          <w:tblCellMar>
            <w:left w:w="108" w:type="dxa"/>
            <w:right w:w="108" w:type="dxa"/>
          </w:tblCellMar>
        </w:tblPrEx>
        <w:tc>
          <w:tcPr>
            <w:tcW w:w="1666" w:type="pct"/>
            <w:tcMar>
              <w:top w:w="0" w:type="dxa"/>
              <w:left w:w="108" w:type="dxa"/>
              <w:bottom w:w="0" w:type="dxa"/>
              <w:right w:w="108" w:type="dxa"/>
            </w:tcMar>
            <w:vAlign w:val="center"/>
          </w:tcPr>
          <w:p w14:paraId="23C1D3A3" w14:textId="77777777" w:rsidR="00533A25" w:rsidRPr="00490C53" w:rsidRDefault="00533A25">
            <w:pPr>
              <w:pStyle w:val="Tabletext"/>
            </w:pPr>
            <w:r>
              <w:t>Screened out</w:t>
            </w:r>
            <w:r>
              <w:rPr>
                <w:rStyle w:val="FootnoteReference"/>
              </w:rPr>
              <w:footnoteReference w:id="123"/>
            </w:r>
          </w:p>
        </w:tc>
        <w:tc>
          <w:tcPr>
            <w:tcW w:w="1667" w:type="pct"/>
            <w:tcMar>
              <w:top w:w="0" w:type="dxa"/>
              <w:left w:w="108" w:type="dxa"/>
              <w:bottom w:w="0" w:type="dxa"/>
              <w:right w:w="108" w:type="dxa"/>
            </w:tcMar>
            <w:vAlign w:val="center"/>
          </w:tcPr>
          <w:p w14:paraId="5DE0D22E" w14:textId="77777777" w:rsidR="00533A25" w:rsidRPr="00490C53" w:rsidRDefault="00533A25">
            <w:pPr>
              <w:pStyle w:val="Tabletext"/>
            </w:pPr>
            <w:r>
              <w:t>15</w:t>
            </w:r>
          </w:p>
        </w:tc>
        <w:tc>
          <w:tcPr>
            <w:tcW w:w="1667" w:type="pct"/>
            <w:tcMar>
              <w:top w:w="0" w:type="dxa"/>
              <w:left w:w="108" w:type="dxa"/>
              <w:bottom w:w="0" w:type="dxa"/>
              <w:right w:w="108" w:type="dxa"/>
            </w:tcMar>
            <w:vAlign w:val="center"/>
          </w:tcPr>
          <w:p w14:paraId="14EC10DF" w14:textId="77777777" w:rsidR="00533A25" w:rsidRPr="00490C53" w:rsidRDefault="00533A25">
            <w:pPr>
              <w:pStyle w:val="Tabletext"/>
              <w:rPr>
                <w:rStyle w:val="Bold"/>
                <w:b w:val="0"/>
                <w:bCs/>
                <w:color w:val="auto"/>
              </w:rPr>
            </w:pPr>
            <w:r>
              <w:rPr>
                <w:rStyle w:val="Bold"/>
                <w:b w:val="0"/>
                <w:bCs/>
                <w:color w:val="auto"/>
              </w:rPr>
              <w:t>106</w:t>
            </w:r>
          </w:p>
        </w:tc>
      </w:tr>
      <w:tr w:rsidR="00533A25" w:rsidRPr="00490C53" w14:paraId="13574E0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66" w:type="pct"/>
            <w:tcBorders>
              <w:top w:val="nil"/>
              <w:left w:val="nil"/>
              <w:bottom w:val="single" w:sz="4" w:space="0" w:color="0054BA" w:themeColor="accent2"/>
              <w:right w:val="nil"/>
            </w:tcBorders>
            <w:tcMar>
              <w:top w:w="0" w:type="dxa"/>
              <w:left w:w="108" w:type="dxa"/>
              <w:bottom w:w="0" w:type="dxa"/>
              <w:right w:w="108" w:type="dxa"/>
            </w:tcMar>
            <w:vAlign w:val="center"/>
          </w:tcPr>
          <w:p w14:paraId="78324671" w14:textId="77777777" w:rsidR="00533A25" w:rsidRPr="00197187" w:rsidRDefault="00533A25">
            <w:pPr>
              <w:pStyle w:val="Tabletext"/>
              <w:rPr>
                <w:b/>
                <w:bCs/>
              </w:rPr>
            </w:pPr>
            <w:r w:rsidRPr="00197187">
              <w:rPr>
                <w:b/>
                <w:bCs/>
              </w:rPr>
              <w:t>Total</w:t>
            </w:r>
          </w:p>
        </w:tc>
        <w:tc>
          <w:tcPr>
            <w:tcW w:w="1667" w:type="pct"/>
            <w:tcBorders>
              <w:top w:val="nil"/>
              <w:left w:val="nil"/>
              <w:bottom w:val="single" w:sz="4" w:space="0" w:color="0054BA" w:themeColor="accent2"/>
              <w:right w:val="nil"/>
            </w:tcBorders>
            <w:tcMar>
              <w:top w:w="0" w:type="dxa"/>
              <w:left w:w="108" w:type="dxa"/>
              <w:bottom w:w="0" w:type="dxa"/>
              <w:right w:w="108" w:type="dxa"/>
            </w:tcMar>
            <w:vAlign w:val="center"/>
          </w:tcPr>
          <w:p w14:paraId="3BC554DD" w14:textId="77777777" w:rsidR="00533A25" w:rsidRPr="00197187" w:rsidRDefault="00533A25">
            <w:pPr>
              <w:pStyle w:val="Tabletext"/>
              <w:rPr>
                <w:b/>
                <w:bCs/>
              </w:rPr>
            </w:pPr>
            <w:r>
              <w:rPr>
                <w:b/>
                <w:bCs/>
              </w:rPr>
              <w:t>1,550</w:t>
            </w:r>
          </w:p>
        </w:tc>
        <w:tc>
          <w:tcPr>
            <w:tcW w:w="1667" w:type="pct"/>
            <w:tcBorders>
              <w:top w:val="nil"/>
              <w:left w:val="nil"/>
              <w:bottom w:val="single" w:sz="4" w:space="0" w:color="0054BA" w:themeColor="accent2"/>
              <w:right w:val="nil"/>
            </w:tcBorders>
            <w:tcMar>
              <w:top w:w="0" w:type="dxa"/>
              <w:left w:w="108" w:type="dxa"/>
              <w:bottom w:w="0" w:type="dxa"/>
              <w:right w:w="108" w:type="dxa"/>
            </w:tcMar>
            <w:vAlign w:val="center"/>
          </w:tcPr>
          <w:p w14:paraId="1C5566D9" w14:textId="77777777" w:rsidR="00533A25" w:rsidRPr="00197187" w:rsidRDefault="00533A25">
            <w:pPr>
              <w:pStyle w:val="Tabletext"/>
              <w:rPr>
                <w:rStyle w:val="Bold"/>
                <w:bCs/>
              </w:rPr>
            </w:pPr>
            <w:r>
              <w:rPr>
                <w:rStyle w:val="Bold"/>
                <w:bCs/>
              </w:rPr>
              <w:t>7,020</w:t>
            </w:r>
          </w:p>
        </w:tc>
      </w:tr>
    </w:tbl>
    <w:p w14:paraId="25741A6A" w14:textId="77777777" w:rsidR="00341AE5" w:rsidRDefault="00341AE5" w:rsidP="00341AE5">
      <w:pPr>
        <w:rPr>
          <w:color w:val="142855" w:themeColor="text2"/>
        </w:rPr>
      </w:pPr>
    </w:p>
    <w:p w14:paraId="5E407CEF" w14:textId="0A882EB2" w:rsidR="00B2786E" w:rsidRDefault="00B2786E" w:rsidP="00236B73">
      <w:r w:rsidRPr="00236B73">
        <w:rPr>
          <w:color w:val="142855" w:themeColor="text2"/>
        </w:rPr>
        <w:t>Cooperation rates, fieldwork challenges and expected impact on the survey reliability</w:t>
      </w:r>
    </w:p>
    <w:p w14:paraId="6B05B384" w14:textId="77777777" w:rsidR="00B2786E" w:rsidRDefault="00B2786E" w:rsidP="00B2786E">
      <w:pPr>
        <w:rPr>
          <w:sz w:val="22"/>
        </w:rPr>
      </w:pPr>
      <w:r w:rsidRPr="006F30CC">
        <w:t>The cooperation rate</w:t>
      </w:r>
      <w:r>
        <w:rPr>
          <w:rStyle w:val="FootnoteReference"/>
          <w:rFonts w:ascii="Arial" w:hAnsi="Arial" w:cs="Arial"/>
        </w:rPr>
        <w:footnoteReference w:id="124"/>
      </w:r>
      <w:r>
        <w:t xml:space="preserve"> was 79% for Borrowers and 55% for Non-borrowers, representing an increase on Year 1 (48% and 29% respectively). This is related to a large proportion of the completed interviews from respondents who had participated in Year 1. The cooperation rate amongst the recontact sample was 85%, compared to 40% for the fresh sample (which is </w:t>
      </w:r>
      <w:proofErr w:type="gramStart"/>
      <w:r>
        <w:t>similar to</w:t>
      </w:r>
      <w:proofErr w:type="gramEnd"/>
      <w:r>
        <w:t xml:space="preserve"> the Year 1 figure). </w:t>
      </w:r>
    </w:p>
    <w:p w14:paraId="54C4AEDC" w14:textId="77777777" w:rsidR="00B2786E" w:rsidRDefault="00B2786E" w:rsidP="00B2786E">
      <w:r>
        <w:t xml:space="preserve">Year 2 of the survey took place after the lifting of coronavirus restrictions, so business operations were typically less impacted than during the Year 1 fieldwork making contact easier. However, the pandemic has had a lasting impact on how businesses communicate. Home working is commonplace and consequently the use of business numbers and generic office </w:t>
      </w:r>
      <w:r>
        <w:lastRenderedPageBreak/>
        <w:t xml:space="preserve">numbers is also declining, making it more challenging to contact business participants. In addition to this, the following challenges limited the volume of survey completes: </w:t>
      </w:r>
    </w:p>
    <w:p w14:paraId="18751AF2" w14:textId="77777777" w:rsidR="00B2786E" w:rsidRPr="006F30CC" w:rsidRDefault="00B2786E" w:rsidP="00B2786E">
      <w:pPr>
        <w:pStyle w:val="ListBullet"/>
      </w:pPr>
      <w:r>
        <w:t>The sample volume for CLBILS borrowers was lower than anticipated – as such there was a very small number of leads in the recontact sample, and no fresh leads for CLBILS.</w:t>
      </w:r>
    </w:p>
    <w:p w14:paraId="5F977467" w14:textId="77777777" w:rsidR="00B2786E" w:rsidRPr="00C92EFA" w:rsidRDefault="00B2786E" w:rsidP="00B2786E">
      <w:pPr>
        <w:pStyle w:val="ListBullet"/>
      </w:pPr>
      <w:r>
        <w:t>There were no named contacts provided in the borrower sample which made it more challenging to identify the relevant person and role.</w:t>
      </w:r>
    </w:p>
    <w:p w14:paraId="50597FFD" w14:textId="77777777" w:rsidR="00B2786E" w:rsidRPr="00236B73" w:rsidRDefault="00B2786E" w:rsidP="00236B73">
      <w:pPr>
        <w:pStyle w:val="Heading2"/>
      </w:pPr>
      <w:bookmarkStart w:id="213" w:name="_Toc94634100"/>
      <w:bookmarkStart w:id="214" w:name="_Toc149801265"/>
      <w:bookmarkStart w:id="215" w:name="_Toc151016584"/>
      <w:bookmarkStart w:id="216" w:name="_Toc151549900"/>
      <w:r w:rsidRPr="00C92EFA">
        <w:t>Data processing and weighting</w:t>
      </w:r>
      <w:bookmarkEnd w:id="213"/>
      <w:bookmarkEnd w:id="214"/>
      <w:bookmarkEnd w:id="215"/>
      <w:bookmarkEnd w:id="216"/>
      <w:r w:rsidRPr="00C92EFA">
        <w:t xml:space="preserve"> </w:t>
      </w:r>
    </w:p>
    <w:p w14:paraId="148FEE52" w14:textId="77777777" w:rsidR="00B2786E" w:rsidRPr="006F30CC" w:rsidRDefault="00B2786E" w:rsidP="00B2786E">
      <w:pPr>
        <w:rPr>
          <w:sz w:val="22"/>
        </w:rPr>
      </w:pPr>
      <w:r>
        <w:t xml:space="preserve">There were </w:t>
      </w:r>
      <w:proofErr w:type="gramStart"/>
      <w:r>
        <w:t>a number of</w:t>
      </w:r>
      <w:proofErr w:type="gramEnd"/>
      <w:r>
        <w:t xml:space="preserve"> logic checks in the script, which checked the consistency and likely accuracy of answers. If respondents gave unusually high or low numeric answers (such as turnover or value of external finance sought) relative to the size of their organisation, the interviewer would read out the response they had just recorded and double-check this is what the respondent meant to say. </w:t>
      </w:r>
    </w:p>
    <w:p w14:paraId="70B6785B" w14:textId="77777777" w:rsidR="00B2786E" w:rsidRPr="005D5D23" w:rsidRDefault="00B2786E" w:rsidP="00236B73">
      <w:r w:rsidRPr="00236B73">
        <w:rPr>
          <w:color w:val="142855" w:themeColor="text2"/>
        </w:rPr>
        <w:t>Coding</w:t>
      </w:r>
    </w:p>
    <w:p w14:paraId="23344095" w14:textId="77777777" w:rsidR="00B2786E" w:rsidRPr="006F30CC" w:rsidRDefault="00B2786E" w:rsidP="00B2786E">
      <w:pPr>
        <w:rPr>
          <w:rFonts w:ascii="Arial" w:hAnsi="Arial" w:cs="Arial"/>
          <w:sz w:val="22"/>
        </w:rPr>
      </w:pPr>
      <w:r>
        <w:rPr>
          <w:rFonts w:ascii="Arial" w:hAnsi="Arial" w:cs="Arial"/>
        </w:rPr>
        <w:t>The verbatim responses to unprompted questions could be coded as “other” by interviewers when they did not appear to fit into the predefined code frame. These “other” responses were coded manually by Ipsos’ coding team, and where possible, were assigned to codes in the existing code frame. It was also possible for new codes to be added where enough respondents had given a similar answer outside of the existing code frame. The Ipsos research team verified the accuracy of the coding, by checking and approving each new code proposed.</w:t>
      </w:r>
    </w:p>
    <w:p w14:paraId="269E61FB" w14:textId="77777777" w:rsidR="00B2786E" w:rsidRPr="005D5D23" w:rsidRDefault="00B2786E" w:rsidP="00236B73">
      <w:r w:rsidRPr="00236B73">
        <w:rPr>
          <w:color w:val="142855" w:themeColor="text2"/>
        </w:rPr>
        <w:t>Weighting</w:t>
      </w:r>
    </w:p>
    <w:p w14:paraId="2521A976" w14:textId="77777777" w:rsidR="00B2786E" w:rsidRPr="006F30CC" w:rsidRDefault="00B2786E" w:rsidP="00B2786E">
      <w:pPr>
        <w:rPr>
          <w:sz w:val="22"/>
        </w:rPr>
      </w:pPr>
      <w:r>
        <w:t xml:space="preserve">Weights are required for comparisons between BBLS and CBILS loan recipients and their respective control samples. Both the loan recipients and their corresponding controls were weighted to the loan recipient profile by sector, region, and turnover. </w:t>
      </w:r>
    </w:p>
    <w:p w14:paraId="176ECE17" w14:textId="77777777" w:rsidR="00B2786E" w:rsidRPr="00236B73" w:rsidRDefault="00B2786E" w:rsidP="00236B73">
      <w:pPr>
        <w:rPr>
          <w:color w:val="142855" w:themeColor="text2"/>
        </w:rPr>
      </w:pPr>
      <w:r w:rsidRPr="00236B73">
        <w:rPr>
          <w:color w:val="142855" w:themeColor="text2"/>
        </w:rPr>
        <w:t>Identifying BBLS and CBILS controls</w:t>
      </w:r>
    </w:p>
    <w:p w14:paraId="10E50101" w14:textId="59D7C853" w:rsidR="00B2786E" w:rsidRDefault="00B2786E" w:rsidP="00B2786E">
      <w:pPr>
        <w:rPr>
          <w:sz w:val="22"/>
        </w:rPr>
      </w:pPr>
      <w:r>
        <w:t xml:space="preserve">The first step was to identify control sample members for each of the BBLS and CBILS (the CBILS control group includes a small number of CLBILS controls but for brevity these will be referred to as CBILS throughout the weighting section of this annex). The BBLS and CBILS </w:t>
      </w:r>
      <w:r>
        <w:lastRenderedPageBreak/>
        <w:t xml:space="preserve">controls had been drawn as a single sample and needed to be allocated to control samples. This was based on turnover. </w:t>
      </w:r>
    </w:p>
    <w:p w14:paraId="3C644321" w14:textId="77777777" w:rsidR="00B2786E" w:rsidRDefault="00B2786E" w:rsidP="00B2786E">
      <w:r>
        <w:t xml:space="preserve">The longitudinal control sample were allocated to the same control groups as they had been in Year 1 to maintain consistency over time for purposes of analysis. </w:t>
      </w:r>
    </w:p>
    <w:p w14:paraId="6D701291" w14:textId="77777777" w:rsidR="00B2786E" w:rsidRDefault="00B2786E" w:rsidP="00B2786E">
      <w:r>
        <w:t>The fresh Year 2 control sample was allocated to groups based on the definitions used in Year 1. BBLS controls were defined as businesses not in receipt of a loan with a turnover less than £5 million. This cut off was suggested by the population data – 99% of BBLS recipients had a turnover less than £5 million, in addition, 97% of BBLS recipients in the sample had a turnover less than £5 million, hence BBLS controls should similarly have turnover less than this amount. Whilst BBLS should also have a lower bound turnover cut-off (their turnover should be greater than £8,000), there were a small number of BBLS recipients and a small number of businesses available as controls that reported a turnover less than this amount. For this reason, businesses with turnover less than £8,000 were retained and allocated as BBLS controls to make the BBLS control sample cover the same turnover range as observed among BBLS borrowers.</w:t>
      </w:r>
    </w:p>
    <w:p w14:paraId="7F852CBF" w14:textId="77777777" w:rsidR="00B2786E" w:rsidRDefault="00B2786E" w:rsidP="00B2786E">
      <w:r>
        <w:t xml:space="preserve">CBILS controls were defined as businesses not in receipt of a loan that had a turnover greater than £175,000 but less than £45 million. As with the BBLs, population data were used to identify a sensible cut-off; around 4% of CBILS loan recipients in both population data and our sample had a turnover less than £175,000, hence setting this value as the lower cut-off ensured the control sample would cover the same range of turnovers as the recipients. </w:t>
      </w:r>
    </w:p>
    <w:p w14:paraId="3312A721" w14:textId="77777777" w:rsidR="00B2786E" w:rsidRDefault="00B2786E" w:rsidP="00B2786E">
      <w:r>
        <w:t xml:space="preserve">This resulted in all potential BBLS and CBILS controls being used. </w:t>
      </w:r>
    </w:p>
    <w:p w14:paraId="6DA26DAF" w14:textId="77777777" w:rsidR="00B2786E" w:rsidRDefault="00B2786E" w:rsidP="00B2786E">
      <w:r>
        <w:t xml:space="preserve">The groups weights were run using rim weighting. This uses an iterative procedure to adjust the sample to ensure the weighted profile of the sample matches the population for a set of weighting targets. The weighting was run separately for recipients and controls. The weighting targets were sector, region, and turnover. Both the recipients and their controls were weighted to the same set of targets meaning, once the weights are applied, the recipients and their controls have the same profile for sector, region, and turnover.  </w:t>
      </w:r>
    </w:p>
    <w:p w14:paraId="0B56C478" w14:textId="77777777" w:rsidR="00B2786E" w:rsidRDefault="00B2786E" w:rsidP="00B2786E">
      <w:r>
        <w:t>Two versions of these weight were needed: one for the longitudinal sample (</w:t>
      </w:r>
      <w:proofErr w:type="gramStart"/>
      <w:r>
        <w:t>i.e.</w:t>
      </w:r>
      <w:proofErr w:type="gramEnd"/>
      <w:r>
        <w:t xml:space="preserve"> those cases that had been interviewed in Year 1 and recontacted and interviewed a second time in Year 2) and one for the total Year 2 sample (the longitudinal sample plus any fresh sample members that were interviewed for the first time in Year 2). The weighting was carried out separately for </w:t>
      </w:r>
      <w:r>
        <w:lastRenderedPageBreak/>
        <w:t xml:space="preserve">both the longitudinal and total samples. The same set of weighting totals was used for each since the population figures for on region, sector and turnover profile of loan recipients had not been updated between the two waves, hence the same set of weighting totals had to be used each time. </w:t>
      </w:r>
    </w:p>
    <w:p w14:paraId="1ABBE6AB" w14:textId="06961E09" w:rsidR="00B2786E" w:rsidRDefault="00B2786E" w:rsidP="00B2786E">
      <w:pPr>
        <w:rPr>
          <w:rFonts w:eastAsia="Times New Roman"/>
          <w:color w:val="000000"/>
          <w:lang w:eastAsia="en-GB"/>
        </w:rPr>
      </w:pPr>
      <w:r>
        <w:t xml:space="preserve">Different turnover bands were used for BBLS and CBILS to reflect the range of turnovers covered by each group. The BBLS weighting used the following four grouped bands: </w:t>
      </w:r>
      <w:r>
        <w:rPr>
          <w:rFonts w:eastAsia="Times New Roman"/>
          <w:color w:val="000000"/>
          <w:lang w:eastAsia="en-GB"/>
        </w:rPr>
        <w:t>&lt;£50,000; £50,000-&lt;£100,000; £100,000-&lt;£250,000; £250,000+, whi</w:t>
      </w:r>
      <w:r w:rsidR="00161801">
        <w:rPr>
          <w:rFonts w:eastAsia="Times New Roman"/>
          <w:color w:val="000000"/>
          <w:lang w:eastAsia="en-GB"/>
        </w:rPr>
        <w:t>l</w:t>
      </w:r>
      <w:r>
        <w:rPr>
          <w:rFonts w:eastAsia="Times New Roman"/>
          <w:color w:val="000000"/>
          <w:lang w:eastAsia="en-GB"/>
        </w:rPr>
        <w:t>st the CBILS weighting used three grouped bands (fewer bands were used because the CBILS sample size was smaller): &lt;£1 million; £1 million-&lt;£5 million; £5 million+.</w:t>
      </w:r>
    </w:p>
    <w:p w14:paraId="358CF501" w14:textId="77777777" w:rsidR="00B2786E" w:rsidRPr="006F30CC" w:rsidRDefault="00B2786E" w:rsidP="00B2786E">
      <w:pPr>
        <w:rPr>
          <w:rFonts w:eastAsia="Times New Roman"/>
          <w:color w:val="000000"/>
          <w:lang w:eastAsia="en-GB"/>
        </w:rPr>
      </w:pPr>
      <w:r>
        <w:rPr>
          <w:rFonts w:eastAsia="Times New Roman"/>
          <w:color w:val="000000"/>
          <w:lang w:eastAsia="en-GB"/>
        </w:rPr>
        <w:t>The grouping of turnover bands means weighted frequencies of controls that use a finer breakdown of turnover (</w:t>
      </w:r>
      <w:proofErr w:type="gramStart"/>
      <w:r>
        <w:rPr>
          <w:rFonts w:eastAsia="Times New Roman"/>
          <w:color w:val="000000"/>
          <w:lang w:eastAsia="en-GB"/>
        </w:rPr>
        <w:t>i.e.</w:t>
      </w:r>
      <w:proofErr w:type="gramEnd"/>
      <w:r>
        <w:rPr>
          <w:rFonts w:eastAsia="Times New Roman"/>
          <w:color w:val="000000"/>
          <w:lang w:eastAsia="en-GB"/>
        </w:rPr>
        <w:t xml:space="preserve"> turnover for BBLS that includes categories that splits out the £250,000+ band into £250,000-&lt;£500,000 and £500,000+ for example) may not exactly match the weighted frequencies of the recipients.</w:t>
      </w:r>
    </w:p>
    <w:p w14:paraId="7B9FFAC1" w14:textId="77777777" w:rsidR="00B2786E" w:rsidRPr="00236B73" w:rsidRDefault="00B2786E" w:rsidP="00236B73">
      <w:pPr>
        <w:rPr>
          <w:color w:val="142855" w:themeColor="text2"/>
        </w:rPr>
      </w:pPr>
      <w:r w:rsidRPr="00236B73">
        <w:rPr>
          <w:color w:val="142855" w:themeColor="text2"/>
        </w:rPr>
        <w:t xml:space="preserve">Weighting scheme for all respondents </w:t>
      </w:r>
    </w:p>
    <w:p w14:paraId="4363C4AF" w14:textId="77777777" w:rsidR="00B2786E" w:rsidRDefault="00B2786E" w:rsidP="00B2786E">
      <w:pPr>
        <w:rPr>
          <w:sz w:val="22"/>
        </w:rPr>
      </w:pPr>
      <w:r>
        <w:t xml:space="preserve">A further set of weights was needed to adjust the combined BBLS and CBILS population (both borrowers and non-borrowers) into a single sample. This sample should be representative of the overall population of businesses that were eligible for BBLS and CBILS. </w:t>
      </w:r>
    </w:p>
    <w:p w14:paraId="657D501A" w14:textId="77777777" w:rsidR="00B2786E" w:rsidRDefault="00B2786E" w:rsidP="00B2786E">
      <w:r>
        <w:t xml:space="preserve">Two versions of this weight were needed – one for the longitudinal sample and one for the total Year 2 sample. As before, this involved running the weighting twice to the same set of totals. </w:t>
      </w:r>
    </w:p>
    <w:p w14:paraId="1376F02E" w14:textId="77777777" w:rsidR="00B2786E" w:rsidRDefault="00B2786E" w:rsidP="00B2786E">
      <w:r>
        <w:t xml:space="preserve">The first step was to generate starter weights for BBLS recipients, CBILS recipients, and the combined BBLS and CBILS controls. For the BBLS and CBILS recipients this starter weight was the weight generated for the group analysis (see above) which weighted the recipient samples to their respective populations by sector, region, and turnover. </w:t>
      </w:r>
    </w:p>
    <w:p w14:paraId="54E8DC6B" w14:textId="77777777" w:rsidR="00B2786E" w:rsidRDefault="00B2786E" w:rsidP="00B2786E">
      <w:r>
        <w:t xml:space="preserve">The combined BBLS and CBILS control population was weighted together in a single step to population estimates of non-recipient businesses. </w:t>
      </w:r>
    </w:p>
    <w:p w14:paraId="045CC832" w14:textId="77777777" w:rsidR="00B2786E" w:rsidRDefault="00B2786E" w:rsidP="00B2786E">
      <w:r>
        <w:t>BEIS provided a set of population estimates for businesses from the IDBR. These were used to identify the number of businesses by region, sector, and turnover.</w:t>
      </w:r>
    </w:p>
    <w:p w14:paraId="7678D90A" w14:textId="77777777" w:rsidR="00B2786E" w:rsidRDefault="00B2786E" w:rsidP="00B2786E">
      <w:r>
        <w:lastRenderedPageBreak/>
        <w:t>The number of loan recipients was taken from BBB figures.</w:t>
      </w:r>
      <w:r>
        <w:rPr>
          <w:rStyle w:val="FootnoteReference"/>
          <w:rFonts w:ascii="Arial" w:hAnsi="Arial" w:cs="Arial"/>
        </w:rPr>
        <w:footnoteReference w:id="125"/>
      </w:r>
      <w:r>
        <w:t xml:space="preserve"> The number of non-loan businesses was then calculated as the number of businesses minus the number of loan recipients. The combined BBLS and CBILS controls were weighted to these figures. These weights were the control sample starter weights. </w:t>
      </w:r>
    </w:p>
    <w:p w14:paraId="152B3B4A" w14:textId="77777777" w:rsidR="00B2786E" w:rsidRDefault="00B2786E" w:rsidP="00B2786E">
      <w:r>
        <w:t>The three starter weights (BBLS borrowers, CBILS borrowers, and joint BBLS/CBILS controls) were then each scaled to their corresponding populations. The recipient population sizes were each taken from BBB figures (based on the number of facilities). The control population size was the estimated size of the non-borrower population calculated by subtracting the BBB figures from the BEIS figures.</w:t>
      </w:r>
      <w:r>
        <w:rPr>
          <w:rStyle w:val="FootnoteReference"/>
        </w:rPr>
        <w:footnoteReference w:id="126"/>
      </w:r>
      <w:r>
        <w:t xml:space="preserve"> In addition, the BEIS figures are taken from the IDBR, and as such they include VAT-registered businesses only. The sample contains a small number of non-VAT registered businesses. This means the BEIS population figures under-estimate the number of businesses with lower turnover (since these businesses are less likely to be VAT registered). Despite that, these figures remain the best estimate available of the population and are appropriate as weighting targets. </w:t>
      </w:r>
    </w:p>
    <w:p w14:paraId="368E33AA" w14:textId="462D0BEB" w:rsidR="00B2786E" w:rsidRPr="006F30CC" w:rsidRDefault="00B2786E" w:rsidP="00B2786E">
      <w:pPr>
        <w:rPr>
          <w:rFonts w:eastAsia="Times New Roman"/>
          <w:color w:val="000000"/>
          <w:lang w:eastAsia="en-GB"/>
        </w:rPr>
      </w:pPr>
      <w:r>
        <w:t xml:space="preserve">The three scaled starter weights are then combined into a single weight. The scaling step means each of the three groups (BBLS borrowers, CBILS borrowers, and joint BBLS/CBILS controls) are in their correct population proportions when the weights are combined. These weights are then re-scaled to give a mean weight of one and ensure that the weighted sample size matches the unweighted sample size. </w:t>
      </w:r>
      <w:r>
        <w:rPr>
          <w:rFonts w:eastAsia="Times New Roman"/>
          <w:color w:val="000000"/>
          <w:lang w:eastAsia="en-GB"/>
        </w:rPr>
        <w:t xml:space="preserve">A small amount of trimming was carried out to remove a small number of outliers that had high weights. The trimming helps to reduce the variability of the weights which reduces the impact of weighting on the design effects. </w:t>
      </w:r>
    </w:p>
    <w:p w14:paraId="0860D9ED" w14:textId="77777777" w:rsidR="00B2786E" w:rsidRPr="005D5D23" w:rsidRDefault="00B2786E" w:rsidP="00236B73">
      <w:bookmarkStart w:id="217" w:name="_Toc94634101"/>
      <w:bookmarkStart w:id="218" w:name="_Toc149801266"/>
      <w:bookmarkStart w:id="219" w:name="_Toc151016585"/>
      <w:r w:rsidRPr="00236B73">
        <w:rPr>
          <w:color w:val="142855" w:themeColor="text2"/>
        </w:rPr>
        <w:t>Recontact rates</w:t>
      </w:r>
      <w:bookmarkEnd w:id="217"/>
      <w:bookmarkEnd w:id="218"/>
      <w:bookmarkEnd w:id="219"/>
    </w:p>
    <w:p w14:paraId="0695126C" w14:textId="77777777" w:rsidR="00B2786E" w:rsidRPr="006F30CC" w:rsidRDefault="00B2786E" w:rsidP="00B2786E">
      <w:pPr>
        <w:rPr>
          <w:sz w:val="22"/>
        </w:rPr>
      </w:pPr>
      <w:r>
        <w:t xml:space="preserve">All respondents were asked whether they agree to be recontacted again for further research in Year 3 of the study. Overall, 82% of businesses said that they are willing to be contacted (a detailed breakdown is provided in the table below).  </w:t>
      </w:r>
    </w:p>
    <w:p w14:paraId="1FF06AFD" w14:textId="00402E62" w:rsidR="00B2786E" w:rsidRPr="000804B3" w:rsidRDefault="00B2786E" w:rsidP="00B2786E">
      <w:pPr>
        <w:pStyle w:val="Heading5"/>
      </w:pPr>
      <w:bookmarkStart w:id="220" w:name="_Ref94716700"/>
      <w:r w:rsidRPr="000804B3">
        <w:lastRenderedPageBreak/>
        <w:t xml:space="preserve">Table </w:t>
      </w:r>
      <w:r>
        <w:fldChar w:fldCharType="begin"/>
      </w:r>
      <w:r>
        <w:instrText>SEQ Table \* ARABIC</w:instrText>
      </w:r>
      <w:r>
        <w:fldChar w:fldCharType="separate"/>
      </w:r>
      <w:r w:rsidR="00397D49">
        <w:rPr>
          <w:noProof/>
        </w:rPr>
        <w:t>22</w:t>
      </w:r>
      <w:r>
        <w:fldChar w:fldCharType="end"/>
      </w:r>
      <w:bookmarkEnd w:id="220"/>
      <w:r w:rsidRPr="000804B3">
        <w:t xml:space="preserve">: Proportion of business willing to be recontacted (by Ipsos) </w:t>
      </w:r>
    </w:p>
    <w:tbl>
      <w:tblPr>
        <w:tblStyle w:val="TableGrid"/>
        <w:tblW w:w="5000" w:type="pct"/>
        <w:tblLook w:val="04A0" w:firstRow="1" w:lastRow="0" w:firstColumn="1" w:lastColumn="0" w:noHBand="0" w:noVBand="1"/>
      </w:tblPr>
      <w:tblGrid>
        <w:gridCol w:w="2680"/>
        <w:gridCol w:w="2553"/>
        <w:gridCol w:w="3357"/>
        <w:gridCol w:w="1564"/>
      </w:tblGrid>
      <w:tr w:rsidR="00B2786E" w:rsidRPr="000804B3" w14:paraId="174A3EA7" w14:textId="77777777">
        <w:trPr>
          <w:cnfStyle w:val="100000000000" w:firstRow="1" w:lastRow="0" w:firstColumn="0" w:lastColumn="0" w:oddVBand="0" w:evenVBand="0" w:oddHBand="0" w:evenHBand="0" w:firstRowFirstColumn="0" w:firstRowLastColumn="0" w:lastRowFirstColumn="0" w:lastRowLastColumn="0"/>
          <w:trHeight w:val="407"/>
          <w:tblHeader/>
        </w:trPr>
        <w:tc>
          <w:tcPr>
            <w:tcW w:w="0" w:type="pct"/>
          </w:tcPr>
          <w:p w14:paraId="654536C3" w14:textId="77777777" w:rsidR="00B2786E" w:rsidRPr="000804B3" w:rsidRDefault="00B2786E">
            <w:pPr>
              <w:spacing w:before="0"/>
              <w:rPr>
                <w:rFonts w:asciiTheme="majorHAnsi" w:hAnsiTheme="majorHAnsi" w:cstheme="majorHAnsi"/>
                <w:b w:val="0"/>
                <w:bCs/>
                <w:color w:val="FFFFFF" w:themeColor="background2"/>
                <w:szCs w:val="24"/>
              </w:rPr>
            </w:pPr>
          </w:p>
        </w:tc>
        <w:tc>
          <w:tcPr>
            <w:tcW w:w="0" w:type="pct"/>
            <w:vAlign w:val="center"/>
          </w:tcPr>
          <w:p w14:paraId="2B52C24A" w14:textId="77777777" w:rsidR="00B2786E" w:rsidRPr="000804B3" w:rsidRDefault="00B2786E">
            <w:pPr>
              <w:pStyle w:val="Tablecolumnheading-inkblue"/>
              <w:jc w:val="right"/>
            </w:pPr>
            <w:r>
              <w:rPr>
                <w:color w:val="FFFFFF" w:themeColor="background1"/>
              </w:rPr>
              <w:t>Total interviewed</w:t>
            </w:r>
          </w:p>
        </w:tc>
        <w:tc>
          <w:tcPr>
            <w:tcW w:w="0" w:type="pct"/>
            <w:vAlign w:val="center"/>
          </w:tcPr>
          <w:p w14:paraId="20F4567E" w14:textId="77777777" w:rsidR="00B2786E" w:rsidRPr="000804B3" w:rsidRDefault="00B2786E">
            <w:pPr>
              <w:pStyle w:val="Tablecolumnheading-inkblue"/>
              <w:jc w:val="right"/>
            </w:pPr>
            <w:r>
              <w:rPr>
                <w:color w:val="FFFFFF" w:themeColor="background1"/>
              </w:rPr>
              <w:t>Number agreed to be recontacted</w:t>
            </w:r>
          </w:p>
        </w:tc>
        <w:tc>
          <w:tcPr>
            <w:tcW w:w="0" w:type="pct"/>
            <w:vAlign w:val="center"/>
          </w:tcPr>
          <w:p w14:paraId="58A6EFCC" w14:textId="77777777" w:rsidR="00B2786E" w:rsidRPr="000804B3" w:rsidRDefault="00B2786E">
            <w:pPr>
              <w:pStyle w:val="Tablecolumnheading-inkblue"/>
              <w:jc w:val="right"/>
            </w:pPr>
            <w:r>
              <w:rPr>
                <w:color w:val="FFFFFF" w:themeColor="background1"/>
              </w:rPr>
              <w:t xml:space="preserve">Recontact rate </w:t>
            </w:r>
          </w:p>
        </w:tc>
      </w:tr>
      <w:tr w:rsidR="00B2786E" w:rsidRPr="000804B3" w14:paraId="4DE3A45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2"/>
        </w:trPr>
        <w:tc>
          <w:tcPr>
            <w:tcW w:w="1320" w:type="pct"/>
          </w:tcPr>
          <w:p w14:paraId="16524278" w14:textId="77777777" w:rsidR="00B2786E" w:rsidRPr="000804B3" w:rsidRDefault="00B2786E">
            <w:pPr>
              <w:pStyle w:val="Tabletext"/>
            </w:pPr>
            <w:r w:rsidRPr="000804B3">
              <w:t>BBL borrowers</w:t>
            </w:r>
          </w:p>
        </w:tc>
        <w:tc>
          <w:tcPr>
            <w:tcW w:w="1257" w:type="pct"/>
            <w:vAlign w:val="center"/>
          </w:tcPr>
          <w:p w14:paraId="6CCCB91A" w14:textId="77777777" w:rsidR="00B2786E" w:rsidRPr="000804B3" w:rsidRDefault="00B2786E">
            <w:pPr>
              <w:pStyle w:val="Tabletext"/>
              <w:jc w:val="right"/>
            </w:pPr>
            <w:r>
              <w:t>242</w:t>
            </w:r>
          </w:p>
        </w:tc>
        <w:tc>
          <w:tcPr>
            <w:tcW w:w="1653" w:type="pct"/>
            <w:vAlign w:val="center"/>
          </w:tcPr>
          <w:p w14:paraId="04E60D8A" w14:textId="77777777" w:rsidR="00B2786E" w:rsidRPr="000804B3" w:rsidRDefault="00B2786E">
            <w:pPr>
              <w:pStyle w:val="Tabletext"/>
              <w:jc w:val="right"/>
            </w:pPr>
            <w:r>
              <w:t>198</w:t>
            </w:r>
          </w:p>
        </w:tc>
        <w:tc>
          <w:tcPr>
            <w:tcW w:w="770" w:type="pct"/>
            <w:vAlign w:val="center"/>
          </w:tcPr>
          <w:p w14:paraId="08A21A9D" w14:textId="77777777" w:rsidR="00B2786E" w:rsidRPr="000804B3" w:rsidRDefault="00B2786E">
            <w:pPr>
              <w:pStyle w:val="Tabletext"/>
              <w:jc w:val="right"/>
            </w:pPr>
            <w:r>
              <w:t>82%</w:t>
            </w:r>
          </w:p>
        </w:tc>
      </w:tr>
      <w:tr w:rsidR="00B2786E" w:rsidRPr="000804B3" w14:paraId="5C52617B" w14:textId="77777777">
        <w:tblPrEx>
          <w:tblCellMar>
            <w:left w:w="108" w:type="dxa"/>
            <w:right w:w="108" w:type="dxa"/>
          </w:tblCellMar>
        </w:tblPrEx>
        <w:trPr>
          <w:trHeight w:val="555"/>
        </w:trPr>
        <w:tc>
          <w:tcPr>
            <w:tcW w:w="0" w:type="pct"/>
          </w:tcPr>
          <w:p w14:paraId="31249D5C" w14:textId="77777777" w:rsidR="00B2786E" w:rsidRPr="000804B3" w:rsidRDefault="00B2786E">
            <w:pPr>
              <w:pStyle w:val="Tabletext"/>
            </w:pPr>
            <w:r w:rsidRPr="000804B3">
              <w:t>CBIL borrowers</w:t>
            </w:r>
          </w:p>
        </w:tc>
        <w:tc>
          <w:tcPr>
            <w:tcW w:w="0" w:type="pct"/>
            <w:vAlign w:val="center"/>
          </w:tcPr>
          <w:p w14:paraId="64B5A0A5" w14:textId="77777777" w:rsidR="00B2786E" w:rsidRPr="000804B3" w:rsidRDefault="00B2786E">
            <w:pPr>
              <w:pStyle w:val="Tabletext"/>
              <w:jc w:val="right"/>
            </w:pPr>
            <w:r>
              <w:t>189</w:t>
            </w:r>
          </w:p>
        </w:tc>
        <w:tc>
          <w:tcPr>
            <w:tcW w:w="0" w:type="pct"/>
            <w:vAlign w:val="center"/>
          </w:tcPr>
          <w:p w14:paraId="26E0CC0F" w14:textId="77777777" w:rsidR="00B2786E" w:rsidRPr="000804B3" w:rsidRDefault="00B2786E">
            <w:pPr>
              <w:pStyle w:val="Tabletext"/>
              <w:jc w:val="right"/>
            </w:pPr>
            <w:r>
              <w:t>162</w:t>
            </w:r>
          </w:p>
        </w:tc>
        <w:tc>
          <w:tcPr>
            <w:tcW w:w="0" w:type="pct"/>
            <w:vAlign w:val="center"/>
          </w:tcPr>
          <w:p w14:paraId="1901276E" w14:textId="77777777" w:rsidR="00B2786E" w:rsidRPr="000804B3" w:rsidRDefault="00B2786E">
            <w:pPr>
              <w:pStyle w:val="Tabletext"/>
              <w:jc w:val="right"/>
            </w:pPr>
            <w:r>
              <w:t>86%</w:t>
            </w:r>
          </w:p>
        </w:tc>
      </w:tr>
      <w:tr w:rsidR="00B2786E" w:rsidRPr="000804B3" w14:paraId="4DB07FF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2"/>
        </w:trPr>
        <w:tc>
          <w:tcPr>
            <w:tcW w:w="1320" w:type="pct"/>
          </w:tcPr>
          <w:p w14:paraId="5F728033" w14:textId="77777777" w:rsidR="00B2786E" w:rsidRPr="000804B3" w:rsidRDefault="00B2786E">
            <w:pPr>
              <w:pStyle w:val="Tabletext"/>
            </w:pPr>
            <w:r w:rsidRPr="000804B3">
              <w:t>CLBIL borrowers</w:t>
            </w:r>
          </w:p>
        </w:tc>
        <w:tc>
          <w:tcPr>
            <w:tcW w:w="1257" w:type="pct"/>
            <w:vAlign w:val="center"/>
          </w:tcPr>
          <w:p w14:paraId="46AD2089" w14:textId="77777777" w:rsidR="00B2786E" w:rsidRPr="000804B3" w:rsidRDefault="00B2786E">
            <w:pPr>
              <w:pStyle w:val="Tabletext"/>
              <w:jc w:val="right"/>
            </w:pPr>
            <w:r>
              <w:t>9</w:t>
            </w:r>
          </w:p>
        </w:tc>
        <w:tc>
          <w:tcPr>
            <w:tcW w:w="1653" w:type="pct"/>
            <w:vAlign w:val="center"/>
          </w:tcPr>
          <w:p w14:paraId="7AC5F2D8" w14:textId="77777777" w:rsidR="00B2786E" w:rsidRPr="000804B3" w:rsidRDefault="00B2786E">
            <w:pPr>
              <w:pStyle w:val="Tabletext"/>
              <w:jc w:val="right"/>
            </w:pPr>
            <w:r>
              <w:t>7</w:t>
            </w:r>
          </w:p>
        </w:tc>
        <w:tc>
          <w:tcPr>
            <w:tcW w:w="770" w:type="pct"/>
            <w:vAlign w:val="center"/>
          </w:tcPr>
          <w:p w14:paraId="170248D3" w14:textId="77777777" w:rsidR="00B2786E" w:rsidRPr="000804B3" w:rsidRDefault="00B2786E">
            <w:pPr>
              <w:pStyle w:val="Tabletext"/>
              <w:jc w:val="right"/>
            </w:pPr>
            <w:r>
              <w:t>78%</w:t>
            </w:r>
          </w:p>
        </w:tc>
      </w:tr>
      <w:tr w:rsidR="00B2786E" w:rsidRPr="000804B3" w14:paraId="56096413" w14:textId="77777777">
        <w:tblPrEx>
          <w:tblCellMar>
            <w:left w:w="108" w:type="dxa"/>
            <w:right w:w="108" w:type="dxa"/>
          </w:tblCellMar>
        </w:tblPrEx>
        <w:trPr>
          <w:trHeight w:val="158"/>
        </w:trPr>
        <w:tc>
          <w:tcPr>
            <w:tcW w:w="0" w:type="pct"/>
          </w:tcPr>
          <w:p w14:paraId="072A4B94" w14:textId="77777777" w:rsidR="00B2786E" w:rsidRPr="000804B3" w:rsidRDefault="00B2786E">
            <w:pPr>
              <w:pStyle w:val="Tabletext"/>
            </w:pPr>
            <w:r w:rsidRPr="000804B3">
              <w:t>Non-borrowers</w:t>
            </w:r>
          </w:p>
        </w:tc>
        <w:tc>
          <w:tcPr>
            <w:tcW w:w="0" w:type="pct"/>
            <w:vAlign w:val="center"/>
          </w:tcPr>
          <w:p w14:paraId="7CA21141" w14:textId="77777777" w:rsidR="00B2786E" w:rsidRPr="000804B3" w:rsidRDefault="00B2786E">
            <w:pPr>
              <w:pStyle w:val="Tabletext"/>
              <w:jc w:val="right"/>
            </w:pPr>
            <w:r>
              <w:t>521</w:t>
            </w:r>
          </w:p>
        </w:tc>
        <w:tc>
          <w:tcPr>
            <w:tcW w:w="0" w:type="pct"/>
            <w:vAlign w:val="center"/>
          </w:tcPr>
          <w:p w14:paraId="707CD60F" w14:textId="77777777" w:rsidR="00B2786E" w:rsidRPr="000804B3" w:rsidRDefault="00B2786E">
            <w:pPr>
              <w:pStyle w:val="Tabletext"/>
              <w:jc w:val="right"/>
            </w:pPr>
            <w:r>
              <w:t>418</w:t>
            </w:r>
          </w:p>
        </w:tc>
        <w:tc>
          <w:tcPr>
            <w:tcW w:w="0" w:type="pct"/>
            <w:vAlign w:val="center"/>
          </w:tcPr>
          <w:p w14:paraId="002CE993" w14:textId="77777777" w:rsidR="00B2786E" w:rsidRPr="000804B3" w:rsidRDefault="00B2786E">
            <w:pPr>
              <w:pStyle w:val="Tabletext"/>
              <w:jc w:val="right"/>
            </w:pPr>
            <w:r>
              <w:t>80%</w:t>
            </w:r>
          </w:p>
        </w:tc>
      </w:tr>
      <w:tr w:rsidR="00B2786E" w14:paraId="01FBBE0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02"/>
        </w:trPr>
        <w:tc>
          <w:tcPr>
            <w:tcW w:w="0" w:type="pct"/>
            <w:tcBorders>
              <w:bottom w:val="single" w:sz="4" w:space="0" w:color="0054BA" w:themeColor="accent2"/>
            </w:tcBorders>
          </w:tcPr>
          <w:p w14:paraId="4151052B" w14:textId="77777777" w:rsidR="00B2786E" w:rsidRPr="000804B3" w:rsidRDefault="00B2786E">
            <w:pPr>
              <w:pStyle w:val="Tabletext"/>
              <w:rPr>
                <w:b/>
                <w:bCs/>
              </w:rPr>
            </w:pPr>
            <w:r w:rsidRPr="000804B3">
              <w:rPr>
                <w:b/>
                <w:bCs/>
              </w:rPr>
              <w:t>Overall</w:t>
            </w:r>
          </w:p>
        </w:tc>
        <w:tc>
          <w:tcPr>
            <w:tcW w:w="0" w:type="pct"/>
            <w:tcBorders>
              <w:bottom w:val="single" w:sz="4" w:space="0" w:color="0054BA" w:themeColor="accent2"/>
            </w:tcBorders>
            <w:vAlign w:val="center"/>
          </w:tcPr>
          <w:p w14:paraId="5C4029CC" w14:textId="77777777" w:rsidR="00B2786E" w:rsidRPr="000804B3" w:rsidRDefault="00B2786E">
            <w:pPr>
              <w:pStyle w:val="Tabletext"/>
              <w:jc w:val="right"/>
              <w:rPr>
                <w:b/>
                <w:bCs/>
              </w:rPr>
            </w:pPr>
            <w:r>
              <w:rPr>
                <w:b/>
                <w:bCs/>
              </w:rPr>
              <w:t>961</w:t>
            </w:r>
          </w:p>
        </w:tc>
        <w:tc>
          <w:tcPr>
            <w:tcW w:w="0" w:type="pct"/>
            <w:tcBorders>
              <w:bottom w:val="single" w:sz="4" w:space="0" w:color="0054BA" w:themeColor="accent2"/>
            </w:tcBorders>
            <w:vAlign w:val="center"/>
          </w:tcPr>
          <w:p w14:paraId="24905585" w14:textId="77777777" w:rsidR="00B2786E" w:rsidRPr="000804B3" w:rsidRDefault="00B2786E">
            <w:pPr>
              <w:pStyle w:val="Tabletext"/>
              <w:jc w:val="right"/>
              <w:rPr>
                <w:b/>
                <w:bCs/>
              </w:rPr>
            </w:pPr>
            <w:r>
              <w:rPr>
                <w:b/>
                <w:bCs/>
              </w:rPr>
              <w:t>785</w:t>
            </w:r>
          </w:p>
        </w:tc>
        <w:tc>
          <w:tcPr>
            <w:tcW w:w="0" w:type="pct"/>
            <w:tcBorders>
              <w:bottom w:val="single" w:sz="4" w:space="0" w:color="0054BA" w:themeColor="accent2"/>
            </w:tcBorders>
            <w:vAlign w:val="center"/>
          </w:tcPr>
          <w:p w14:paraId="502DA40F" w14:textId="77777777" w:rsidR="00B2786E" w:rsidRPr="005C267D" w:rsidRDefault="00B2786E">
            <w:pPr>
              <w:pStyle w:val="Tabletext"/>
              <w:jc w:val="right"/>
              <w:rPr>
                <w:b/>
                <w:bCs/>
              </w:rPr>
            </w:pPr>
            <w:r>
              <w:rPr>
                <w:b/>
                <w:bCs/>
              </w:rPr>
              <w:t>82%</w:t>
            </w:r>
          </w:p>
        </w:tc>
      </w:tr>
    </w:tbl>
    <w:p w14:paraId="31B4C4B7" w14:textId="77777777" w:rsidR="00B2786E" w:rsidRDefault="00B2786E" w:rsidP="00B2786E"/>
    <w:p w14:paraId="7EEB7B98" w14:textId="77777777" w:rsidR="00B2786E" w:rsidRDefault="00B2786E" w:rsidP="00397D49">
      <w:pPr>
        <w:pStyle w:val="Heading2"/>
      </w:pPr>
      <w:bookmarkStart w:id="221" w:name="_Toc94634102"/>
      <w:bookmarkStart w:id="222" w:name="_Toc105749903"/>
      <w:bookmarkStart w:id="223" w:name="_Toc151549901"/>
      <w:r>
        <w:t>Questionnaire</w:t>
      </w:r>
      <w:bookmarkEnd w:id="221"/>
      <w:bookmarkEnd w:id="222"/>
      <w:bookmarkEnd w:id="223"/>
    </w:p>
    <w:p w14:paraId="2AF16244" w14:textId="77777777" w:rsidR="00B2786E" w:rsidRPr="00BF759D" w:rsidRDefault="00B2786E" w:rsidP="00B2786E">
      <w:pPr>
        <w:rPr>
          <w:b/>
          <w:bCs/>
        </w:rPr>
      </w:pPr>
      <w:r w:rsidRPr="00E31C85">
        <w:rPr>
          <w:b/>
          <w:color w:val="1D1D1B" w:themeColor="text1"/>
        </w:rPr>
        <w:t xml:space="preserve">Evaluation of the BBLS, CBILS and CLBILS </w:t>
      </w:r>
      <w:r w:rsidRPr="00BF759D">
        <w:rPr>
          <w:b/>
          <w:bCs/>
        </w:rPr>
        <w:t>Loan Beneficiary and Non-Beneficiary Survey</w:t>
      </w:r>
    </w:p>
    <w:p w14:paraId="0953A1D9" w14:textId="77777777" w:rsidR="00B2786E" w:rsidRDefault="00B2786E" w:rsidP="00B2786E">
      <w:pPr>
        <w:autoSpaceDE w:val="0"/>
        <w:autoSpaceDN w:val="0"/>
        <w:rPr>
          <w:rFonts w:cs="Arial"/>
          <w:b/>
          <w:bCs/>
          <w:sz w:val="22"/>
          <w:lang w:eastAsia="en-GB"/>
        </w:rPr>
      </w:pPr>
      <w:r>
        <w:rPr>
          <w:rFonts w:cs="Arial"/>
          <w:b/>
          <w:bCs/>
          <w:lang w:eastAsia="en-GB"/>
        </w:rPr>
        <w:t>Key</w:t>
      </w:r>
    </w:p>
    <w:p w14:paraId="6874BED2" w14:textId="77777777" w:rsidR="00B2786E" w:rsidRDefault="00B2786E" w:rsidP="00B2786E">
      <w:pPr>
        <w:numPr>
          <w:ilvl w:val="0"/>
          <w:numId w:val="66"/>
        </w:numPr>
        <w:spacing w:before="120" w:after="0" w:line="240" w:lineRule="auto"/>
        <w:rPr>
          <w:rFonts w:cs="Arial"/>
          <w:color w:val="000000"/>
        </w:rPr>
      </w:pPr>
      <w:r>
        <w:rPr>
          <w:rFonts w:cs="Arial"/>
          <w:color w:val="000000"/>
        </w:rPr>
        <w:t>Anything that appears static on the interviewer screen in black</w:t>
      </w:r>
    </w:p>
    <w:p w14:paraId="61C978F2" w14:textId="77777777" w:rsidR="00B2786E" w:rsidRDefault="00B2786E" w:rsidP="00B2786E">
      <w:pPr>
        <w:numPr>
          <w:ilvl w:val="0"/>
          <w:numId w:val="66"/>
        </w:numPr>
        <w:spacing w:after="0" w:line="240" w:lineRule="auto"/>
        <w:rPr>
          <w:rFonts w:cs="Arial"/>
          <w:b/>
          <w:color w:val="000000"/>
        </w:rPr>
      </w:pPr>
      <w:r>
        <w:rPr>
          <w:rFonts w:cs="Arial"/>
          <w:b/>
          <w:color w:val="000000"/>
        </w:rPr>
        <w:t>QUESTION/NEW SCREEN LABELS IN BOLD CAPS</w:t>
      </w:r>
    </w:p>
    <w:p w14:paraId="0931C305" w14:textId="77777777" w:rsidR="00B2786E" w:rsidRDefault="00B2786E" w:rsidP="00B2786E">
      <w:pPr>
        <w:numPr>
          <w:ilvl w:val="0"/>
          <w:numId w:val="66"/>
        </w:numPr>
        <w:spacing w:after="0" w:line="240" w:lineRule="auto"/>
        <w:rPr>
          <w:rFonts w:cs="Arial"/>
          <w:color w:val="F14354"/>
        </w:rPr>
      </w:pPr>
      <w:r>
        <w:rPr>
          <w:rFonts w:cs="Arial"/>
          <w:color w:val="F14354"/>
        </w:rPr>
        <w:t>Any scripting instructions and text substitutions in red</w:t>
      </w:r>
    </w:p>
    <w:p w14:paraId="551347E5" w14:textId="77777777" w:rsidR="00B2786E" w:rsidRDefault="00B2786E" w:rsidP="00B2786E">
      <w:pPr>
        <w:numPr>
          <w:ilvl w:val="0"/>
          <w:numId w:val="66"/>
        </w:numPr>
        <w:spacing w:after="0" w:line="240" w:lineRule="auto"/>
        <w:rPr>
          <w:rFonts w:cs="Arial"/>
          <w:color w:val="3E9660"/>
        </w:rPr>
      </w:pPr>
      <w:r>
        <w:rPr>
          <w:rFonts w:cs="Arial"/>
          <w:color w:val="3E9660"/>
        </w:rPr>
        <w:t>Any interviewer instructions / text that should be removed for web survey in green</w:t>
      </w:r>
    </w:p>
    <w:p w14:paraId="5FB9F50E" w14:textId="77777777" w:rsidR="00B2786E" w:rsidRDefault="00B2786E" w:rsidP="00B2786E">
      <w:pPr>
        <w:rPr>
          <w:rFonts w:cs="Arial"/>
        </w:rPr>
      </w:pPr>
    </w:p>
    <w:p w14:paraId="7BFB0442" w14:textId="77777777" w:rsidR="00B2786E" w:rsidRDefault="00B2786E" w:rsidP="00B2786E">
      <w:pPr>
        <w:rPr>
          <w:rFonts w:cs="Arial"/>
          <w:color w:val="FF0000"/>
        </w:rPr>
      </w:pPr>
      <w:r>
        <w:rPr>
          <w:rFonts w:cs="Arial"/>
          <w:color w:val="FF0000"/>
        </w:rPr>
        <w:t>FOR WORD INSERTS USE THROUGHOUT:</w:t>
      </w:r>
    </w:p>
    <w:p w14:paraId="67DF4093" w14:textId="77777777" w:rsidR="00B2786E" w:rsidRDefault="00B2786E" w:rsidP="00B2786E">
      <w:pPr>
        <w:rPr>
          <w:rFonts w:cs="Arial"/>
          <w:bCs/>
          <w:iCs/>
          <w:color w:val="1D1D1B" w:themeColor="text1"/>
        </w:rPr>
      </w:pPr>
      <w:bookmarkStart w:id="224" w:name="_Hlk78372322"/>
      <w:r>
        <w:rPr>
          <w:rFonts w:cs="Arial"/>
          <w:color w:val="FF0000"/>
        </w:rPr>
        <w:t>IF SAMPLE= CLBIL</w:t>
      </w:r>
      <w:r>
        <w:rPr>
          <w:rFonts w:cs="Arial"/>
        </w:rPr>
        <w:t>:</w:t>
      </w:r>
      <w:r>
        <w:rPr>
          <w:rFonts w:cs="Arial"/>
          <w:b/>
          <w:iCs/>
          <w:color w:val="1D1D1B" w:themeColor="text1"/>
        </w:rPr>
        <w:t xml:space="preserve"> Coronavirus Large Business Interruption Loan Scheme</w:t>
      </w:r>
    </w:p>
    <w:p w14:paraId="7ABD371E" w14:textId="77777777" w:rsidR="00B2786E" w:rsidRDefault="00B2786E" w:rsidP="00B2786E">
      <w:pPr>
        <w:rPr>
          <w:rFonts w:cs="Arial"/>
          <w:b/>
          <w:iCs/>
          <w:color w:val="1D1D1B" w:themeColor="text1"/>
        </w:rPr>
      </w:pPr>
      <w:r>
        <w:rPr>
          <w:rFonts w:cs="Arial"/>
          <w:bCs/>
          <w:iCs/>
          <w:color w:val="FF0000"/>
        </w:rPr>
        <w:t xml:space="preserve">IF </w:t>
      </w:r>
      <w:r>
        <w:rPr>
          <w:rFonts w:cs="Arial"/>
          <w:color w:val="FF0000"/>
        </w:rPr>
        <w:t xml:space="preserve">SAMPLE= </w:t>
      </w:r>
      <w:r>
        <w:rPr>
          <w:rFonts w:cs="Arial"/>
          <w:bCs/>
          <w:iCs/>
          <w:color w:val="FF0000"/>
        </w:rPr>
        <w:t>CBIL:</w:t>
      </w:r>
      <w:r>
        <w:rPr>
          <w:rFonts w:cs="Arial"/>
          <w:color w:val="FF0000"/>
        </w:rPr>
        <w:t xml:space="preserve"> </w:t>
      </w:r>
      <w:r>
        <w:rPr>
          <w:rFonts w:cs="Arial"/>
          <w:b/>
          <w:iCs/>
          <w:color w:val="1D1D1B" w:themeColor="text1"/>
        </w:rPr>
        <w:t>Coronavirus Business Interruption Loan Scheme</w:t>
      </w:r>
    </w:p>
    <w:p w14:paraId="47F8736F" w14:textId="77777777" w:rsidR="00B2786E" w:rsidRPr="006F30CC" w:rsidRDefault="00B2786E" w:rsidP="00B2786E">
      <w:pPr>
        <w:rPr>
          <w:rFonts w:cs="Arial"/>
          <w:b/>
          <w:iCs/>
          <w:color w:val="1D1D1B" w:themeColor="text1"/>
        </w:rPr>
      </w:pPr>
      <w:r>
        <w:rPr>
          <w:rFonts w:cs="Arial"/>
          <w:color w:val="FF0000"/>
        </w:rPr>
        <w:t>IF SAMPLE= BBLL</w:t>
      </w:r>
      <w:r>
        <w:rPr>
          <w:rFonts w:cs="Arial"/>
        </w:rPr>
        <w:t xml:space="preserve">: </w:t>
      </w:r>
      <w:r>
        <w:rPr>
          <w:rFonts w:cs="Arial"/>
          <w:b/>
          <w:iCs/>
          <w:color w:val="1D1D1B" w:themeColor="text1"/>
        </w:rPr>
        <w:t>Bounce Back Loan Scheme</w:t>
      </w:r>
    </w:p>
    <w:bookmarkEnd w:id="224"/>
    <w:p w14:paraId="217134C7" w14:textId="77777777" w:rsidR="00B2786E" w:rsidRDefault="00B2786E" w:rsidP="00B2786E">
      <w:pPr>
        <w:rPr>
          <w:rFonts w:cs="Arial"/>
          <w:color w:val="F06603" w:themeColor="accent6"/>
        </w:rPr>
      </w:pPr>
      <w:r>
        <w:rPr>
          <w:rFonts w:cs="Arial"/>
          <w:color w:val="F06603" w:themeColor="accent6"/>
        </w:rPr>
        <w:t xml:space="preserve">IF NO EMPLOYEES OR MICRO BUSINESS INDICATED: ASK TO SPEAK TO OWNER/ MANAGING DIRECTOR. </w:t>
      </w:r>
    </w:p>
    <w:p w14:paraId="0F028CC3" w14:textId="77777777" w:rsidR="00B2786E" w:rsidRDefault="00B2786E" w:rsidP="00B2786E">
      <w:pPr>
        <w:rPr>
          <w:rFonts w:cs="Arial"/>
          <w:color w:val="F06603" w:themeColor="accent6"/>
        </w:rPr>
      </w:pPr>
      <w:r>
        <w:rPr>
          <w:rFonts w:cs="Arial"/>
          <w:color w:val="F06603" w:themeColor="accent6"/>
        </w:rPr>
        <w:t>IF SMALL/MEDIUM SIZED OR LARGE BUSINESS: ASK TO SPEAK TO FINANCE DIRECTOR</w:t>
      </w:r>
    </w:p>
    <w:p w14:paraId="6FDEDFD7" w14:textId="77777777" w:rsidR="00B2786E" w:rsidRDefault="00B2786E" w:rsidP="00B2786E">
      <w:pPr>
        <w:rPr>
          <w:rFonts w:cs="Arial"/>
          <w:color w:val="F06603" w:themeColor="accent6"/>
        </w:rPr>
      </w:pPr>
      <w:r>
        <w:rPr>
          <w:rFonts w:cs="Arial"/>
          <w:color w:val="F06603" w:themeColor="accent6"/>
        </w:rPr>
        <w:lastRenderedPageBreak/>
        <w:t xml:space="preserve">ADD IF NECESSARY: </w:t>
      </w:r>
      <w:r>
        <w:rPr>
          <w:rFonts w:cs="Arial"/>
          <w:b/>
        </w:rPr>
        <w:t>This may be</w:t>
      </w:r>
      <w:r>
        <w:rPr>
          <w:rFonts w:cs="Arial"/>
        </w:rPr>
        <w:t xml:space="preserve"> </w:t>
      </w:r>
      <w:r>
        <w:rPr>
          <w:rFonts w:cs="Arial"/>
          <w:color w:val="FF0000"/>
        </w:rPr>
        <w:t>[INSERT INDIVIDUAL NAME FROM SAMPLE]</w:t>
      </w:r>
    </w:p>
    <w:p w14:paraId="543E347D" w14:textId="77777777" w:rsidR="00B2786E" w:rsidRDefault="00B2786E" w:rsidP="00B2786E">
      <w:pPr>
        <w:rPr>
          <w:rFonts w:cs="Arial"/>
          <w:color w:val="1D1D1B" w:themeColor="text1"/>
        </w:rPr>
      </w:pPr>
    </w:p>
    <w:p w14:paraId="71708323" w14:textId="77777777" w:rsidR="00B2786E" w:rsidRPr="006F30CC" w:rsidRDefault="00B2786E" w:rsidP="00B2786E">
      <w:pPr>
        <w:rPr>
          <w:rFonts w:cs="Arial"/>
          <w:color w:val="FF0000"/>
        </w:rPr>
      </w:pPr>
      <w:r>
        <w:rPr>
          <w:rFonts w:cs="Arial"/>
          <w:color w:val="FF0000"/>
        </w:rPr>
        <w:t>[SCREEN 1]</w:t>
      </w:r>
    </w:p>
    <w:p w14:paraId="0463CCDB" w14:textId="77777777" w:rsidR="00B2786E" w:rsidRDefault="00B2786E" w:rsidP="00B2786E">
      <w:pPr>
        <w:rPr>
          <w:rFonts w:cs="Arial"/>
          <w:bCs/>
          <w:color w:val="FF0000"/>
        </w:rPr>
      </w:pPr>
      <w:r>
        <w:rPr>
          <w:rFonts w:cs="Arial"/>
          <w:color w:val="FF0000"/>
        </w:rPr>
        <w:t>SHOW ALL</w:t>
      </w:r>
      <w:r>
        <w:rPr>
          <w:rFonts w:cs="Arial"/>
          <w:bCs/>
          <w:color w:val="FF0000"/>
        </w:rPr>
        <w:t>:</w:t>
      </w:r>
    </w:p>
    <w:p w14:paraId="03B699D8" w14:textId="77777777" w:rsidR="00B2786E" w:rsidRDefault="00B2786E" w:rsidP="00B2786E">
      <w:pPr>
        <w:rPr>
          <w:rFonts w:cs="Arial"/>
          <w:b/>
          <w:color w:val="1D1D1B" w:themeColor="text1"/>
        </w:rPr>
      </w:pPr>
      <w:r>
        <w:rPr>
          <w:rFonts w:cs="Arial"/>
          <w:b/>
          <w:color w:val="1D1D1B" w:themeColor="text1"/>
        </w:rPr>
        <w:t xml:space="preserve">It’s XX calling from Ipsos an independent research organisation. I’m calling about taking part in a survey that we are conducting on behalf of the UK Government’s British Business Bank. The survey should take around 20 </w:t>
      </w:r>
      <w:proofErr w:type="spellStart"/>
      <w:r>
        <w:rPr>
          <w:rFonts w:cs="Arial"/>
          <w:b/>
          <w:color w:val="1D1D1B" w:themeColor="text1"/>
        </w:rPr>
        <w:t>minutesto</w:t>
      </w:r>
      <w:proofErr w:type="spellEnd"/>
      <w:r>
        <w:rPr>
          <w:rFonts w:cs="Arial"/>
          <w:b/>
          <w:color w:val="1D1D1B" w:themeColor="text1"/>
        </w:rPr>
        <w:t xml:space="preserve"> complete, depending on your answers. You will be asked questions about your business, the impact of </w:t>
      </w:r>
      <w:r>
        <w:rPr>
          <w:rFonts w:cs="Arial"/>
          <w:b/>
        </w:rPr>
        <w:t>Covid-</w:t>
      </w:r>
      <w:proofErr w:type="gramStart"/>
      <w:r>
        <w:rPr>
          <w:rFonts w:cs="Arial"/>
          <w:b/>
        </w:rPr>
        <w:t>19</w:t>
      </w:r>
      <w:r>
        <w:rPr>
          <w:rFonts w:cs="Arial"/>
          <w:b/>
          <w:color w:val="1D1D1B" w:themeColor="text1"/>
        </w:rPr>
        <w:t>,the</w:t>
      </w:r>
      <w:proofErr w:type="gramEnd"/>
      <w:r>
        <w:rPr>
          <w:rFonts w:cs="Arial"/>
          <w:b/>
          <w:color w:val="1D1D1B" w:themeColor="text1"/>
        </w:rPr>
        <w:t xml:space="preserve"> market(s) in which you operate and general business factors. </w:t>
      </w:r>
    </w:p>
    <w:p w14:paraId="0F38B45C" w14:textId="77777777" w:rsidR="00B2786E" w:rsidRPr="006F30CC" w:rsidRDefault="00B2786E" w:rsidP="00B2786E">
      <w:pPr>
        <w:rPr>
          <w:rFonts w:cs="Arial"/>
          <w:color w:val="FF0000"/>
        </w:rPr>
      </w:pPr>
      <w:r>
        <w:rPr>
          <w:rFonts w:cs="Arial"/>
          <w:color w:val="FF0000"/>
        </w:rPr>
        <w:t>[SCREEN 2]</w:t>
      </w:r>
    </w:p>
    <w:p w14:paraId="0D6BEC71" w14:textId="77777777" w:rsidR="00B2786E" w:rsidRDefault="00B2786E" w:rsidP="00B2786E">
      <w:pPr>
        <w:rPr>
          <w:rFonts w:cs="Arial"/>
          <w:color w:val="FF0000"/>
        </w:rPr>
      </w:pPr>
      <w:r>
        <w:rPr>
          <w:rFonts w:cs="Arial"/>
          <w:color w:val="FF0000"/>
        </w:rPr>
        <w:t>SHOW IF FRESH NEW CBIL/BBIL:</w:t>
      </w:r>
    </w:p>
    <w:p w14:paraId="005A5551" w14:textId="77777777" w:rsidR="00B2786E" w:rsidRDefault="00B2786E" w:rsidP="00B2786E">
      <w:pPr>
        <w:rPr>
          <w:rFonts w:cs="Arial"/>
          <w:bCs/>
          <w:color w:val="FF0000"/>
        </w:rPr>
      </w:pPr>
      <w:r>
        <w:rPr>
          <w:rFonts w:cs="Arial"/>
          <w:bCs/>
          <w:color w:val="FF0000"/>
        </w:rPr>
        <w:t>READ OUT IF CATI ONLY</w:t>
      </w:r>
      <w:r>
        <w:rPr>
          <w:rFonts w:cs="Arial"/>
          <w:bCs/>
        </w:rPr>
        <w:tab/>
      </w:r>
    </w:p>
    <w:p w14:paraId="2487A2A0" w14:textId="77777777" w:rsidR="00B2786E" w:rsidRDefault="00B2786E" w:rsidP="00B2786E">
      <w:pPr>
        <w:rPr>
          <w:rFonts w:cs="Arial"/>
          <w:b/>
          <w:color w:val="1D1D1B" w:themeColor="text1"/>
        </w:rPr>
      </w:pPr>
      <w:r>
        <w:rPr>
          <w:rFonts w:cs="Arial"/>
          <w:b/>
          <w:color w:val="1D1D1B" w:themeColor="text1"/>
        </w:rPr>
        <w:t>Your business has been selected to take part in a survey because you applied for external finance from the</w:t>
      </w:r>
      <w:r>
        <w:rPr>
          <w:rFonts w:cs="Arial"/>
          <w:bCs/>
          <w:color w:val="1D1D1B" w:themeColor="text1"/>
        </w:rPr>
        <w:t xml:space="preserve"> </w:t>
      </w:r>
      <w:r>
        <w:rPr>
          <w:rFonts w:cs="Arial"/>
          <w:iCs/>
          <w:color w:val="FF0000"/>
        </w:rPr>
        <w:t>[INSERT LOAN FROM SAMPLE:</w:t>
      </w:r>
      <w:r>
        <w:rPr>
          <w:rFonts w:cs="Arial"/>
          <w:b/>
          <w:iCs/>
          <w:color w:val="FF0000"/>
        </w:rPr>
        <w:t xml:space="preserve"> </w:t>
      </w:r>
      <w:r>
        <w:rPr>
          <w:rFonts w:cs="Arial"/>
          <w:b/>
          <w:iCs/>
          <w:color w:val="1D1D1B" w:themeColor="text1"/>
        </w:rPr>
        <w:t>Bounce Back Loan Scheme/Coronavirus Business Interruption Loan Scheme/Coronavirus Large Business Interruption Loan Scheme</w:t>
      </w:r>
      <w:r>
        <w:rPr>
          <w:rFonts w:cs="Arial"/>
          <w:iCs/>
          <w:color w:val="1D1D1B" w:themeColor="text1"/>
        </w:rPr>
        <w:t>]</w:t>
      </w:r>
      <w:r>
        <w:rPr>
          <w:rFonts w:cs="Arial"/>
          <w:b/>
          <w:color w:val="1D1D1B" w:themeColor="text1"/>
        </w:rPr>
        <w:t xml:space="preserve"> last year We are conducting the survey on behalf of the UK Government’s British Business Bank, part of the Department for Business, Energy &amp; Industrial Strategy (BEIS).</w:t>
      </w:r>
    </w:p>
    <w:p w14:paraId="02768F53" w14:textId="77777777" w:rsidR="00B2786E" w:rsidRDefault="00B2786E" w:rsidP="00B2786E">
      <w:pPr>
        <w:rPr>
          <w:rFonts w:cs="Arial"/>
        </w:rPr>
      </w:pPr>
      <w:r>
        <w:rPr>
          <w:rFonts w:cs="Arial"/>
          <w:color w:val="FF0000"/>
        </w:rPr>
        <w:t>SHOW IF RECONTACT:</w:t>
      </w:r>
    </w:p>
    <w:p w14:paraId="196511AF" w14:textId="77777777" w:rsidR="00B2786E" w:rsidRDefault="00B2786E" w:rsidP="00B2786E">
      <w:pPr>
        <w:rPr>
          <w:rFonts w:cs="Arial"/>
        </w:rPr>
      </w:pPr>
      <w:r>
        <w:rPr>
          <w:rFonts w:cs="Arial"/>
          <w:bCs/>
          <w:color w:val="FF0000"/>
        </w:rPr>
        <w:t>READ OUT IF CATI ONLY</w:t>
      </w:r>
    </w:p>
    <w:p w14:paraId="556438B2" w14:textId="77777777" w:rsidR="00B2786E" w:rsidRPr="006F30CC" w:rsidRDefault="00B2786E" w:rsidP="00B2786E">
      <w:pPr>
        <w:rPr>
          <w:rFonts w:cs="Arial"/>
          <w:b/>
          <w:color w:val="1D1D1B" w:themeColor="text1"/>
        </w:rPr>
      </w:pPr>
      <w:r>
        <w:rPr>
          <w:rFonts w:cs="Arial"/>
          <w:b/>
          <w:color w:val="1D1D1B" w:themeColor="text1"/>
        </w:rPr>
        <w:t xml:space="preserve">You may remember that we spoke to you last autumn and you kindly said that you would be willing to participate in future research. We are conducting the survey on behalf of the UK Government’s British Business Bank, part of the Department for Business, Energy &amp; Industrial Strategy (BEIS). </w:t>
      </w:r>
    </w:p>
    <w:p w14:paraId="00DFF882" w14:textId="77777777" w:rsidR="00B2786E" w:rsidRDefault="00B2786E" w:rsidP="00B2786E">
      <w:pPr>
        <w:rPr>
          <w:rFonts w:cs="Arial"/>
          <w:color w:val="FF0000"/>
        </w:rPr>
      </w:pPr>
      <w:r>
        <w:rPr>
          <w:rFonts w:cs="Arial"/>
          <w:color w:val="FF0000"/>
        </w:rPr>
        <w:t>SHOW IF FRESHCONTROL:</w:t>
      </w:r>
    </w:p>
    <w:p w14:paraId="2B4D3FA9" w14:textId="77777777" w:rsidR="00B2786E" w:rsidRDefault="00B2786E" w:rsidP="00B2786E">
      <w:pPr>
        <w:rPr>
          <w:rFonts w:cs="Arial"/>
          <w:color w:val="1D1D1B" w:themeColor="text1"/>
        </w:rPr>
      </w:pPr>
      <w:r>
        <w:rPr>
          <w:rFonts w:cs="Arial"/>
          <w:bCs/>
          <w:color w:val="FF0000"/>
        </w:rPr>
        <w:t>READ OUT IF CATI ONLY</w:t>
      </w:r>
    </w:p>
    <w:p w14:paraId="4D900538" w14:textId="77777777" w:rsidR="00B2786E" w:rsidRDefault="00B2786E" w:rsidP="00B2786E">
      <w:pPr>
        <w:rPr>
          <w:rFonts w:cs="Arial"/>
          <w:b/>
          <w:color w:val="1D1D1B" w:themeColor="text1"/>
        </w:rPr>
      </w:pPr>
      <w:r>
        <w:rPr>
          <w:rFonts w:cs="Arial"/>
          <w:b/>
          <w:color w:val="1D1D1B" w:themeColor="text1"/>
        </w:rPr>
        <w:lastRenderedPageBreak/>
        <w:t>Your business has been selected to take part in a survey we are conducting on behalf of the UK Government’s British Business Bank, part of the Department for Business, Energy &amp; Industrial Strategy (BEIS).</w:t>
      </w:r>
    </w:p>
    <w:p w14:paraId="29251DFC" w14:textId="77777777" w:rsidR="00B2786E" w:rsidRPr="006F30CC" w:rsidRDefault="00B2786E" w:rsidP="00B2786E">
      <w:pPr>
        <w:rPr>
          <w:rFonts w:cs="Arial"/>
          <w:color w:val="FF0000"/>
        </w:rPr>
      </w:pPr>
      <w:r>
        <w:rPr>
          <w:rFonts w:cs="Arial"/>
          <w:color w:val="FF0000"/>
        </w:rPr>
        <w:t>[SCREEN 3]</w:t>
      </w:r>
    </w:p>
    <w:p w14:paraId="0FFC063F" w14:textId="77777777" w:rsidR="00B2786E" w:rsidRDefault="00B2786E" w:rsidP="00B2786E">
      <w:pPr>
        <w:rPr>
          <w:rFonts w:cs="Arial"/>
          <w:b/>
          <w:color w:val="1D1D1B" w:themeColor="text1"/>
        </w:rPr>
      </w:pPr>
      <w:r>
        <w:rPr>
          <w:rFonts w:cs="Arial"/>
          <w:b/>
          <w:color w:val="1D1D1B" w:themeColor="text1"/>
        </w:rPr>
        <w:t>[</w:t>
      </w:r>
      <w:r>
        <w:rPr>
          <w:rFonts w:cs="Arial"/>
          <w:bCs/>
          <w:color w:val="FF0000"/>
        </w:rPr>
        <w:t xml:space="preserve">CATI: </w:t>
      </w:r>
      <w:r>
        <w:rPr>
          <w:rFonts w:cs="Arial"/>
          <w:b/>
          <w:color w:val="1D1D1B" w:themeColor="text1"/>
        </w:rPr>
        <w:t>I] [</w:t>
      </w:r>
      <w:r>
        <w:rPr>
          <w:rFonts w:cs="Arial"/>
          <w:bCs/>
          <w:color w:val="FF0000"/>
        </w:rPr>
        <w:t xml:space="preserve">WEB: </w:t>
      </w:r>
      <w:r>
        <w:rPr>
          <w:rFonts w:cs="Arial"/>
          <w:b/>
          <w:color w:val="1D1D1B" w:themeColor="text1"/>
        </w:rPr>
        <w:t xml:space="preserve">We] can reassure you that your answers and other information you provide will be treated in the strictest confidence and answers will not be attributed to you or your </w:t>
      </w:r>
      <w:r>
        <w:rPr>
          <w:rFonts w:cs="Arial"/>
          <w:b/>
          <w:bCs/>
        </w:rPr>
        <w:t>business</w:t>
      </w:r>
      <w:r>
        <w:rPr>
          <w:rFonts w:cs="Arial"/>
          <w:b/>
          <w:color w:val="1D1D1B" w:themeColor="text1"/>
        </w:rPr>
        <w:t xml:space="preserve"> in the data we pass on to the British Business Bank unless you give explicit permission to do so.</w:t>
      </w:r>
    </w:p>
    <w:p w14:paraId="52884D1E" w14:textId="77777777" w:rsidR="00B2786E" w:rsidRDefault="00B2786E" w:rsidP="00B2786E">
      <w:pPr>
        <w:rPr>
          <w:rFonts w:cs="Arial"/>
          <w:b/>
          <w:color w:val="1D1D1B" w:themeColor="text1"/>
        </w:rPr>
      </w:pPr>
      <w:r>
        <w:rPr>
          <w:rFonts w:cs="Arial"/>
          <w:b/>
          <w:color w:val="1D1D1B" w:themeColor="text1"/>
        </w:rPr>
        <w:t xml:space="preserve">Anonymised findings from the survey will be published on the British Business Bank website in 2023. </w:t>
      </w:r>
    </w:p>
    <w:p w14:paraId="52035482" w14:textId="77777777" w:rsidR="00B2786E" w:rsidRDefault="00B2786E" w:rsidP="00B2786E">
      <w:pPr>
        <w:rPr>
          <w:rFonts w:cs="Arial"/>
          <w:b/>
          <w:color w:val="FF0000"/>
        </w:rPr>
      </w:pPr>
      <w:r>
        <w:rPr>
          <w:rFonts w:cs="Arial"/>
          <w:b/>
          <w:color w:val="1D1D1B" w:themeColor="text1"/>
        </w:rPr>
        <w:t>IF NECESSARY/</w:t>
      </w:r>
      <w:r>
        <w:rPr>
          <w:rFonts w:cs="Arial"/>
          <w:color w:val="FF0000"/>
        </w:rPr>
        <w:t>INFO BUTTON FOR ONLINE SURVEY:</w:t>
      </w:r>
      <w:r>
        <w:rPr>
          <w:rFonts w:cs="Arial"/>
          <w:b/>
          <w:color w:val="FF0000"/>
        </w:rPr>
        <w:t xml:space="preserve"> </w:t>
      </w:r>
    </w:p>
    <w:p w14:paraId="64CDEC8C" w14:textId="77777777" w:rsidR="00B2786E" w:rsidRDefault="00B2786E" w:rsidP="00B2786E">
      <w:pPr>
        <w:rPr>
          <w:rFonts w:cs="Arial"/>
          <w:b/>
          <w:color w:val="1D1D1B" w:themeColor="text1"/>
        </w:rPr>
      </w:pPr>
      <w:r>
        <w:rPr>
          <w:rFonts w:cs="Arial"/>
          <w:b/>
          <w:color w:val="1D1D1B" w:themeColor="text1"/>
        </w:rPr>
        <w:t>The British Business Bank is the UK government’s economic development bank. Established in November 2014, its mission is to make finance markets for smaller businesses work more effectively, enabling those businesses to prosper, grow and build UK economic activity. Its remit is to design, deliver and efficiently manage UK-wide smaller businesses’ access to finance programmes for the UK government.</w:t>
      </w:r>
    </w:p>
    <w:p w14:paraId="4AF89139" w14:textId="77777777" w:rsidR="00B2786E" w:rsidRDefault="00B2786E" w:rsidP="00B2786E">
      <w:pPr>
        <w:rPr>
          <w:rFonts w:cs="Arial"/>
          <w:b/>
          <w:color w:val="1D1D1B" w:themeColor="text1"/>
        </w:rPr>
      </w:pPr>
      <w:r>
        <w:rPr>
          <w:rFonts w:cs="Arial"/>
          <w:b/>
          <w:color w:val="1D1D1B" w:themeColor="text1"/>
        </w:rPr>
        <w:t>The British Business Bank’s core programmes supported nearly £8bn of finance to almost 95,000 smaller businesses by end of January 2021. Since March 2020, the British Business Bank has also launched four new Coronavirus business loan schemes, delivering more than £72bn of finance to over 1.5m businesses.</w:t>
      </w:r>
    </w:p>
    <w:p w14:paraId="3CE813CB" w14:textId="77777777" w:rsidR="00B2786E" w:rsidRPr="006F30CC" w:rsidRDefault="00B2786E" w:rsidP="00B2786E">
      <w:pPr>
        <w:rPr>
          <w:rFonts w:cs="Arial"/>
          <w:b/>
          <w:color w:val="1D1D1B" w:themeColor="text1"/>
        </w:rPr>
      </w:pPr>
      <w:r>
        <w:rPr>
          <w:rFonts w:cs="Arial"/>
          <w:b/>
          <w:color w:val="1D1D1B" w:themeColor="text1"/>
        </w:rPr>
        <w:t xml:space="preserve">This survey will inform how the Bank can help businesses learn about and access finance more easily.  </w:t>
      </w:r>
    </w:p>
    <w:p w14:paraId="2E4C35A7" w14:textId="77777777" w:rsidR="00B2786E" w:rsidRDefault="00B2786E" w:rsidP="00B2786E">
      <w:pPr>
        <w:rPr>
          <w:rFonts w:cs="Arial"/>
          <w:color w:val="FF0000"/>
        </w:rPr>
      </w:pPr>
      <w:r>
        <w:rPr>
          <w:rFonts w:cs="Arial"/>
          <w:color w:val="FF0000"/>
        </w:rPr>
        <w:t>REASSURANCES IF NECESSARY:</w:t>
      </w:r>
    </w:p>
    <w:p w14:paraId="3CB31884" w14:textId="77777777" w:rsidR="00B2786E" w:rsidRDefault="00B2786E" w:rsidP="00B2786E">
      <w:pPr>
        <w:pStyle w:val="ListParagraph"/>
        <w:numPr>
          <w:ilvl w:val="0"/>
          <w:numId w:val="47"/>
        </w:numPr>
        <w:spacing w:after="0" w:line="240" w:lineRule="auto"/>
        <w:rPr>
          <w:b/>
          <w:bCs/>
          <w:color w:val="1D1D1B" w:themeColor="text1"/>
          <w:szCs w:val="20"/>
        </w:rPr>
      </w:pPr>
      <w:r>
        <w:rPr>
          <w:bCs/>
          <w:color w:val="FF0000"/>
        </w:rPr>
        <w:t>SHOW FOR LOAN RECIPIENTS (</w:t>
      </w:r>
      <w:bookmarkStart w:id="225" w:name="_Hlk109061533"/>
      <w:r>
        <w:rPr>
          <w:color w:val="FF0000"/>
        </w:rPr>
        <w:t>FRESH</w:t>
      </w:r>
      <w:bookmarkEnd w:id="225"/>
      <w:r>
        <w:rPr>
          <w:bCs/>
          <w:color w:val="FF0000"/>
        </w:rPr>
        <w:t>):</w:t>
      </w:r>
      <w:r>
        <w:rPr>
          <w:b/>
          <w:bCs/>
          <w:color w:val="FF0000"/>
        </w:rPr>
        <w:t xml:space="preserve"> </w:t>
      </w:r>
      <w:r>
        <w:rPr>
          <w:b/>
          <w:bCs/>
          <w:color w:val="1D1D1B" w:themeColor="text1"/>
        </w:rPr>
        <w:t xml:space="preserve">Your business has been selected at random from the list of </w:t>
      </w:r>
      <w:r>
        <w:rPr>
          <w:iCs/>
          <w:color w:val="FF0000"/>
        </w:rPr>
        <w:t>[INSERT LOAN FROM SAMPLE</w:t>
      </w:r>
      <w:r>
        <w:rPr>
          <w:b/>
          <w:bCs/>
          <w:iCs/>
          <w:color w:val="FF0000"/>
        </w:rPr>
        <w:t xml:space="preserve"> </w:t>
      </w:r>
      <w:r>
        <w:rPr>
          <w:b/>
          <w:bCs/>
          <w:iCs/>
          <w:color w:val="1D1D1B" w:themeColor="text1"/>
        </w:rPr>
        <w:t>Bounce Back Loan Scheme/Coronavirus Business Interruption Loan Scheme/Coronavirus Large Business Interruption Loan Scheme</w:t>
      </w:r>
      <w:r>
        <w:rPr>
          <w:bCs/>
          <w:iCs/>
          <w:color w:val="1D1D1B" w:themeColor="text1"/>
        </w:rPr>
        <w:t>]</w:t>
      </w:r>
      <w:r>
        <w:rPr>
          <w:b/>
          <w:bCs/>
          <w:color w:val="1D1D1B" w:themeColor="text1"/>
        </w:rPr>
        <w:t xml:space="preserve"> customers. </w:t>
      </w:r>
      <w:r>
        <w:rPr>
          <w:b/>
          <w:bCs/>
          <w:color w:val="1D1D1B" w:themeColor="text1"/>
          <w:szCs w:val="20"/>
        </w:rPr>
        <w:t>Your details were provided by your lender to the British Business Bank who manage the government-backed guarantee.</w:t>
      </w:r>
    </w:p>
    <w:p w14:paraId="3DC0596B" w14:textId="77777777" w:rsidR="00B2786E" w:rsidRDefault="00B2786E" w:rsidP="00B2786E">
      <w:pPr>
        <w:pStyle w:val="ListParagraph"/>
        <w:numPr>
          <w:ilvl w:val="0"/>
          <w:numId w:val="47"/>
        </w:numPr>
        <w:spacing w:after="0" w:line="240" w:lineRule="auto"/>
        <w:rPr>
          <w:b/>
          <w:bCs/>
          <w:color w:val="1D1D1B" w:themeColor="text1"/>
          <w:szCs w:val="20"/>
        </w:rPr>
      </w:pPr>
      <w:r>
        <w:rPr>
          <w:bCs/>
          <w:color w:val="FF0000"/>
          <w:szCs w:val="20"/>
        </w:rPr>
        <w:lastRenderedPageBreak/>
        <w:t>SHOW FOR RECONTACT SAMPLE (</w:t>
      </w:r>
      <w:r>
        <w:rPr>
          <w:bCs/>
          <w:color w:val="FF0000"/>
        </w:rPr>
        <w:t xml:space="preserve">if </w:t>
      </w:r>
      <w:r>
        <w:rPr>
          <w:color w:val="FF0000"/>
        </w:rPr>
        <w:t xml:space="preserve">CLBIL, </w:t>
      </w:r>
      <w:r>
        <w:rPr>
          <w:bCs/>
          <w:iCs/>
          <w:color w:val="FF0000"/>
        </w:rPr>
        <w:t xml:space="preserve">CBIL or </w:t>
      </w:r>
      <w:r>
        <w:rPr>
          <w:color w:val="FF0000"/>
        </w:rPr>
        <w:t>BBLL</w:t>
      </w:r>
      <w:r>
        <w:rPr>
          <w:bCs/>
          <w:color w:val="FF0000"/>
          <w:szCs w:val="20"/>
        </w:rPr>
        <w:t>):</w:t>
      </w:r>
      <w:r>
        <w:rPr>
          <w:b/>
          <w:bCs/>
          <w:color w:val="FF0000"/>
          <w:szCs w:val="20"/>
        </w:rPr>
        <w:t xml:space="preserve"> </w:t>
      </w:r>
      <w:r>
        <w:rPr>
          <w:b/>
          <w:bCs/>
          <w:color w:val="1D1D1B" w:themeColor="text1"/>
          <w:szCs w:val="20"/>
        </w:rPr>
        <w:t>Your business has been selected because you took part in a survey for the British Business Bank in autumn last year and agreed to be contacted about future research.</w:t>
      </w:r>
    </w:p>
    <w:p w14:paraId="17333311" w14:textId="77777777" w:rsidR="00B2786E" w:rsidRDefault="00B2786E" w:rsidP="00B2786E">
      <w:pPr>
        <w:pStyle w:val="ListParagraph"/>
        <w:numPr>
          <w:ilvl w:val="0"/>
          <w:numId w:val="47"/>
        </w:numPr>
        <w:spacing w:after="0" w:line="240" w:lineRule="auto"/>
        <w:rPr>
          <w:b/>
          <w:bCs/>
          <w:color w:val="1D1D1B" w:themeColor="text1"/>
          <w:szCs w:val="20"/>
        </w:rPr>
      </w:pPr>
      <w:r>
        <w:rPr>
          <w:bCs/>
          <w:color w:val="FF0000"/>
          <w:szCs w:val="20"/>
        </w:rPr>
        <w:t>SHOW FOR CONTROL GROUPS (CONTROL OR FRESHCONTROL):</w:t>
      </w:r>
      <w:r>
        <w:rPr>
          <w:b/>
          <w:bCs/>
          <w:color w:val="FF0000"/>
          <w:szCs w:val="20"/>
        </w:rPr>
        <w:t xml:space="preserve"> </w:t>
      </w:r>
      <w:r>
        <w:rPr>
          <w:b/>
          <w:bCs/>
          <w:color w:val="1D1D1B" w:themeColor="text1"/>
          <w:szCs w:val="20"/>
        </w:rPr>
        <w:t xml:space="preserve">Your business has been selected at random from </w:t>
      </w:r>
      <w:r>
        <w:rPr>
          <w:bCs/>
          <w:color w:val="1D1D1B" w:themeColor="text1"/>
          <w:szCs w:val="20"/>
        </w:rPr>
        <w:t xml:space="preserve">[D&amp;B sample:] </w:t>
      </w:r>
      <w:r>
        <w:rPr>
          <w:b/>
          <w:bCs/>
          <w:color w:val="1D1D1B" w:themeColor="text1"/>
          <w:szCs w:val="20"/>
        </w:rPr>
        <w:t xml:space="preserve">Dun and Bradstreet, </w:t>
      </w:r>
      <w:r>
        <w:rPr>
          <w:b/>
          <w:color w:val="1D1D1B" w:themeColor="text1"/>
          <w:szCs w:val="20"/>
        </w:rPr>
        <w:t xml:space="preserve">a commercial business database </w:t>
      </w:r>
      <w:r>
        <w:rPr>
          <w:color w:val="1D1D1B" w:themeColor="text1"/>
          <w:szCs w:val="20"/>
        </w:rPr>
        <w:t>[IDBR sample]:</w:t>
      </w:r>
      <w:r>
        <w:rPr>
          <w:b/>
          <w:color w:val="1D1D1B" w:themeColor="text1"/>
          <w:szCs w:val="20"/>
        </w:rPr>
        <w:t xml:space="preserve"> the Office for National Statistics Inter-Departmental Business Register.</w:t>
      </w:r>
    </w:p>
    <w:p w14:paraId="223ADACF" w14:textId="77777777" w:rsidR="00B2786E" w:rsidRDefault="00B2786E" w:rsidP="00B2786E">
      <w:pPr>
        <w:pStyle w:val="ListParagraph"/>
        <w:numPr>
          <w:ilvl w:val="0"/>
          <w:numId w:val="47"/>
        </w:numPr>
        <w:spacing w:after="0" w:line="240" w:lineRule="auto"/>
        <w:rPr>
          <w:b/>
          <w:color w:val="1D1D1B" w:themeColor="text1"/>
          <w:szCs w:val="20"/>
        </w:rPr>
      </w:pPr>
      <w:r>
        <w:rPr>
          <w:bCs/>
          <w:color w:val="FF0000"/>
        </w:rPr>
        <w:t xml:space="preserve">SHOW FOR ALL: </w:t>
      </w:r>
      <w:r>
        <w:rPr>
          <w:b/>
          <w:color w:val="1D1D1B" w:themeColor="text1"/>
          <w:szCs w:val="20"/>
        </w:rPr>
        <w:t>We work strictly within the Market Research Society Code of Conduct.</w:t>
      </w:r>
    </w:p>
    <w:p w14:paraId="46E9038D" w14:textId="77777777" w:rsidR="00B2786E" w:rsidRDefault="00B2786E" w:rsidP="00B2786E">
      <w:pPr>
        <w:pStyle w:val="ListParagraph"/>
        <w:numPr>
          <w:ilvl w:val="0"/>
          <w:numId w:val="47"/>
        </w:numPr>
        <w:spacing w:after="0" w:line="240" w:lineRule="auto"/>
        <w:rPr>
          <w:b/>
          <w:bCs/>
          <w:color w:val="1D1D1B" w:themeColor="text1"/>
          <w:szCs w:val="20"/>
        </w:rPr>
      </w:pPr>
      <w:r>
        <w:rPr>
          <w:bCs/>
          <w:color w:val="FF0000"/>
          <w:szCs w:val="20"/>
        </w:rPr>
        <w:t xml:space="preserve">SHOW FOR ALL: </w:t>
      </w:r>
      <w:r>
        <w:rPr>
          <w:b/>
          <w:bCs/>
          <w:color w:val="1D1D1B" w:themeColor="text1"/>
          <w:szCs w:val="20"/>
        </w:rPr>
        <w:t xml:space="preserve">British Business Bank is interested in the views of all different types of businesses. </w:t>
      </w:r>
    </w:p>
    <w:p w14:paraId="743A1595" w14:textId="77777777" w:rsidR="00B2786E" w:rsidRDefault="00B2786E" w:rsidP="00B2786E">
      <w:pPr>
        <w:pStyle w:val="ListParagraph"/>
        <w:numPr>
          <w:ilvl w:val="0"/>
          <w:numId w:val="47"/>
        </w:numPr>
        <w:spacing w:after="0" w:line="240" w:lineRule="auto"/>
        <w:rPr>
          <w:b/>
          <w:bCs/>
          <w:color w:val="1D1D1B" w:themeColor="text1"/>
          <w:szCs w:val="20"/>
        </w:rPr>
      </w:pPr>
      <w:r>
        <w:rPr>
          <w:bCs/>
          <w:color w:val="FF0000"/>
          <w:szCs w:val="20"/>
        </w:rPr>
        <w:t xml:space="preserve">SHOW FOR ALL: </w:t>
      </w:r>
      <w:r>
        <w:rPr>
          <w:b/>
          <w:bCs/>
          <w:color w:val="1D1D1B" w:themeColor="text1"/>
          <w:szCs w:val="20"/>
        </w:rPr>
        <w:t xml:space="preserve">We need to talk to a wide range of </w:t>
      </w:r>
      <w:r>
        <w:rPr>
          <w:b/>
          <w:bCs/>
        </w:rPr>
        <w:t>businesses</w:t>
      </w:r>
      <w:r>
        <w:rPr>
          <w:b/>
          <w:bCs/>
          <w:color w:val="1D1D1B" w:themeColor="text1"/>
          <w:szCs w:val="20"/>
        </w:rPr>
        <w:t xml:space="preserve"> in this survey and you will not be asked irrelevant questions.</w:t>
      </w:r>
    </w:p>
    <w:p w14:paraId="735ADB67" w14:textId="77777777" w:rsidR="00B2786E" w:rsidRDefault="00B2786E" w:rsidP="00B2786E">
      <w:pPr>
        <w:pStyle w:val="ListParagraph"/>
        <w:numPr>
          <w:ilvl w:val="0"/>
          <w:numId w:val="47"/>
        </w:numPr>
        <w:spacing w:after="0" w:line="240" w:lineRule="auto"/>
        <w:rPr>
          <w:b/>
          <w:bCs/>
          <w:color w:val="1D1D1B" w:themeColor="text1"/>
          <w:szCs w:val="20"/>
        </w:rPr>
      </w:pPr>
      <w:r>
        <w:rPr>
          <w:bCs/>
          <w:color w:val="FF0000"/>
          <w:szCs w:val="20"/>
        </w:rPr>
        <w:t xml:space="preserve">SHOW FOR ALL: </w:t>
      </w:r>
      <w:r>
        <w:rPr>
          <w:b/>
          <w:bCs/>
          <w:color w:val="1D1D1B" w:themeColor="text1"/>
          <w:szCs w:val="20"/>
        </w:rPr>
        <w:t>The survey is not technical, and you don’t need any specific finance-related knowledge to take part.</w:t>
      </w:r>
    </w:p>
    <w:p w14:paraId="7F9FFC5E" w14:textId="77777777" w:rsidR="00B2786E" w:rsidRDefault="00B2786E" w:rsidP="00B2786E">
      <w:pPr>
        <w:pStyle w:val="ListParagraph"/>
        <w:numPr>
          <w:ilvl w:val="0"/>
          <w:numId w:val="47"/>
        </w:numPr>
        <w:spacing w:after="0" w:line="240" w:lineRule="auto"/>
        <w:rPr>
          <w:b/>
          <w:bCs/>
          <w:color w:val="1D1D1B" w:themeColor="text1"/>
          <w:szCs w:val="20"/>
        </w:rPr>
      </w:pPr>
      <w:r>
        <w:rPr>
          <w:bCs/>
          <w:color w:val="FF0000"/>
          <w:szCs w:val="20"/>
        </w:rPr>
        <w:t xml:space="preserve">SHOW FOR ALL: </w:t>
      </w:r>
      <w:r>
        <w:rPr>
          <w:b/>
          <w:bCs/>
          <w:color w:val="1D1D1B" w:themeColor="text1"/>
          <w:szCs w:val="20"/>
        </w:rPr>
        <w:t>We can share some of the questions with you by email, to help you find the right person to take part.</w:t>
      </w:r>
    </w:p>
    <w:p w14:paraId="37A1AF64" w14:textId="77777777" w:rsidR="00B2786E" w:rsidRDefault="00B2786E" w:rsidP="00B2786E">
      <w:pPr>
        <w:numPr>
          <w:ilvl w:val="0"/>
          <w:numId w:val="48"/>
        </w:numPr>
        <w:spacing w:after="0" w:line="240" w:lineRule="auto"/>
        <w:rPr>
          <w:rFonts w:cs="Arial"/>
          <w:b/>
          <w:color w:val="1D1D1B" w:themeColor="text1"/>
          <w:lang w:val="en-US"/>
        </w:rPr>
      </w:pPr>
      <w:r>
        <w:rPr>
          <w:rFonts w:cs="Arial"/>
          <w:bCs/>
          <w:color w:val="FF0000"/>
        </w:rPr>
        <w:t xml:space="preserve">SHOW FOR ALL: </w:t>
      </w:r>
      <w:r>
        <w:rPr>
          <w:rFonts w:cs="Arial"/>
          <w:b/>
          <w:color w:val="1D1D1B" w:themeColor="text1"/>
        </w:rPr>
        <w:t>Should you wish to get verification on the survey, the contact at Ipsos is [David Thompson</w:t>
      </w:r>
      <w:r>
        <w:rPr>
          <w:rFonts w:cs="Arial"/>
          <w:b/>
          <w:iCs/>
          <w:color w:val="1D1D1B" w:themeColor="text1"/>
        </w:rPr>
        <w:t xml:space="preserve">] </w:t>
      </w:r>
      <w:r>
        <w:rPr>
          <w:rFonts w:cs="Arial"/>
          <w:b/>
          <w:color w:val="1D1D1B" w:themeColor="text1"/>
        </w:rPr>
        <w:t xml:space="preserve">on </w:t>
      </w:r>
      <w:r>
        <w:rPr>
          <w:rFonts w:cs="Arial"/>
          <w:b/>
          <w:iCs/>
          <w:color w:val="1D1D1B" w:themeColor="text1"/>
        </w:rPr>
        <w:t>[08081413076]</w:t>
      </w:r>
      <w:r>
        <w:rPr>
          <w:rFonts w:cs="Arial"/>
          <w:b/>
          <w:color w:val="1D1D1B" w:themeColor="text1"/>
        </w:rPr>
        <w:t>, and the contact</w:t>
      </w:r>
      <w:r>
        <w:rPr>
          <w:rFonts w:cs="Arial"/>
          <w:b/>
          <w:color w:val="1D1D1B" w:themeColor="text1"/>
          <w:lang w:val="en-US"/>
        </w:rPr>
        <w:t xml:space="preserve"> at British Business Bank is </w:t>
      </w:r>
      <w:r>
        <w:rPr>
          <w:rFonts w:cs="Arial"/>
          <w:b/>
          <w:iCs/>
          <w:color w:val="1D1D1B" w:themeColor="text1"/>
        </w:rPr>
        <w:t xml:space="preserve">[Chris Warner] </w:t>
      </w:r>
      <w:r>
        <w:rPr>
          <w:rFonts w:cs="Arial"/>
          <w:b/>
          <w:color w:val="1D1D1B" w:themeColor="text1"/>
        </w:rPr>
        <w:t xml:space="preserve">on </w:t>
      </w:r>
      <w:r>
        <w:rPr>
          <w:rFonts w:cs="Arial"/>
          <w:b/>
          <w:iCs/>
          <w:color w:val="1D1D1B" w:themeColor="text1"/>
        </w:rPr>
        <w:t>[</w:t>
      </w:r>
      <w:r>
        <w:rPr>
          <w:rFonts w:cs="Arial"/>
          <w:color w:val="142854"/>
          <w:sz w:val="18"/>
          <w:szCs w:val="18"/>
          <w:lang w:eastAsia="en-GB"/>
        </w:rPr>
        <w:t>+44 (0)20 3905 1494</w:t>
      </w:r>
      <w:r>
        <w:rPr>
          <w:rFonts w:cs="Arial"/>
          <w:b/>
          <w:iCs/>
          <w:color w:val="1D1D1B" w:themeColor="text1"/>
        </w:rPr>
        <w:t>]</w:t>
      </w:r>
      <w:r>
        <w:rPr>
          <w:rFonts w:cs="Arial"/>
          <w:b/>
          <w:color w:val="1D1D1B" w:themeColor="text1"/>
          <w:lang w:val="en-US"/>
        </w:rPr>
        <w:t>.</w:t>
      </w:r>
    </w:p>
    <w:p w14:paraId="50D251F0" w14:textId="14C28869" w:rsidR="00B2786E" w:rsidRDefault="00B2786E" w:rsidP="00B2786E">
      <w:pPr>
        <w:numPr>
          <w:ilvl w:val="0"/>
          <w:numId w:val="48"/>
        </w:numPr>
        <w:spacing w:after="0" w:line="240" w:lineRule="auto"/>
        <w:rPr>
          <w:rStyle w:val="Hyperlink"/>
          <w:rFonts w:ascii="Arial" w:hAnsi="Arial"/>
          <w:color w:val="1D1D1B" w:themeColor="text1"/>
        </w:rPr>
      </w:pPr>
      <w:r>
        <w:rPr>
          <w:rFonts w:cs="Arial"/>
          <w:bCs/>
          <w:color w:val="FF0000"/>
        </w:rPr>
        <w:t>SHOW FOR ALL:</w:t>
      </w:r>
      <w:r>
        <w:rPr>
          <w:rFonts w:cs="Arial"/>
          <w:b/>
          <w:color w:val="FF0000"/>
          <w:lang w:val="en-US"/>
        </w:rPr>
        <w:t xml:space="preserve"> </w:t>
      </w:r>
      <w:r>
        <w:rPr>
          <w:rFonts w:cs="Arial"/>
          <w:b/>
          <w:color w:val="1D1D1B" w:themeColor="text1"/>
          <w:lang w:val="en-US"/>
        </w:rPr>
        <w:t xml:space="preserve">Further information on British Business Bank evaluations can be accessed online at </w:t>
      </w:r>
      <w:r>
        <w:rPr>
          <w:rFonts w:cs="Arial"/>
          <w:lang w:val="en-US"/>
        </w:rPr>
        <w:t xml:space="preserve"> </w:t>
      </w:r>
      <w:hyperlink r:id="rId62" w:history="1">
        <w:r>
          <w:rPr>
            <w:rStyle w:val="Hyperlink"/>
            <w:rFonts w:ascii="Arial" w:hAnsi="Arial" w:cs="Arial"/>
          </w:rPr>
          <w:t>https://www.british-business-bank.co.uk/about-our-evaluations/</w:t>
        </w:r>
      </w:hyperlink>
    </w:p>
    <w:p w14:paraId="2F9E5063" w14:textId="2BF27EAE" w:rsidR="00B2786E" w:rsidRDefault="00B2786E" w:rsidP="00B2786E">
      <w:pPr>
        <w:numPr>
          <w:ilvl w:val="0"/>
          <w:numId w:val="48"/>
        </w:numPr>
        <w:spacing w:after="0" w:line="240" w:lineRule="auto"/>
      </w:pPr>
      <w:r>
        <w:rPr>
          <w:rFonts w:cs="Arial"/>
          <w:bCs/>
          <w:color w:val="FF0000"/>
        </w:rPr>
        <w:t xml:space="preserve">SHOW FOR ALL: </w:t>
      </w:r>
      <w:r>
        <w:rPr>
          <w:rFonts w:cs="Arial"/>
          <w:b/>
          <w:color w:val="1D1D1B" w:themeColor="text1"/>
          <w:lang w:val="en-US"/>
        </w:rPr>
        <w:t>Last year’s report for this research can be found online at:</w:t>
      </w:r>
      <w:r>
        <w:rPr>
          <w:rFonts w:cs="Arial"/>
          <w:lang w:val="en-US"/>
        </w:rPr>
        <w:t xml:space="preserve"> </w:t>
      </w:r>
      <w:hyperlink r:id="rId63" w:history="1">
        <w:r w:rsidR="00994BE7">
          <w:rPr>
            <w:rStyle w:val="Hyperlink"/>
            <w:rFonts w:ascii="Arial" w:hAnsi="Arial" w:cs="Arial"/>
          </w:rPr>
          <w:t>https://www.british-business-bank.co.uk/wp-content/uploads/2022/06/Evaluation_of_BBLS_CBILS_and_CLBILS___Yr1_Report__accessible_.pdf</w:t>
        </w:r>
      </w:hyperlink>
      <w:r>
        <w:rPr>
          <w:rFonts w:cs="Arial"/>
        </w:rPr>
        <w:t xml:space="preserve"> </w:t>
      </w:r>
    </w:p>
    <w:p w14:paraId="677EA487" w14:textId="77777777" w:rsidR="00B2786E" w:rsidRDefault="00B2786E" w:rsidP="00B2786E">
      <w:pPr>
        <w:rPr>
          <w:rFonts w:cs="Arial"/>
          <w:color w:val="1D1D1B" w:themeColor="text1"/>
          <w:lang w:eastAsia="en-GB"/>
        </w:rPr>
      </w:pPr>
    </w:p>
    <w:p w14:paraId="007AC296" w14:textId="77777777" w:rsidR="00B2786E" w:rsidRDefault="00B2786E" w:rsidP="00B2786E">
      <w:pPr>
        <w:rPr>
          <w:rFonts w:cs="Arial"/>
          <w:color w:val="1D1D1B" w:themeColor="text1"/>
          <w:lang w:eastAsia="en-GB"/>
        </w:rPr>
      </w:pPr>
      <w:r>
        <w:rPr>
          <w:rFonts w:cs="Arial"/>
          <w:color w:val="1D1D1B" w:themeColor="text1"/>
          <w:lang w:eastAsia="en-GB"/>
        </w:rPr>
        <w:t>NOTE FOR DP: IF RESPONDENT REQUESTS SEND ADVANCE EMAIL WITH FURTHER INFORMATION/ADVANCE NOTICE OF FINANCIAL QUESTIONS THAT THEY MAY PREFER TO LOOK UP IN ADVANCE.</w:t>
      </w:r>
    </w:p>
    <w:p w14:paraId="0087AB6B" w14:textId="77777777" w:rsidR="00B2786E" w:rsidRDefault="00B2786E" w:rsidP="00B2786E">
      <w:pPr>
        <w:rPr>
          <w:rFonts w:cs="Arial"/>
          <w:color w:val="1D1D1B" w:themeColor="text1"/>
          <w:lang w:eastAsia="en-GB"/>
        </w:rPr>
      </w:pPr>
      <w:r>
        <w:rPr>
          <w:rFonts w:cs="Arial"/>
          <w:color w:val="1D1D1B" w:themeColor="text1"/>
          <w:lang w:eastAsia="en-GB"/>
        </w:rPr>
        <w:t>CAN YOU PLEASE LOG HOW MANY PEOPLE REQUEST AND ADVANCE EMAIL IN THE OUTCOME FILE?</w:t>
      </w:r>
    </w:p>
    <w:p w14:paraId="6FC7E0D1" w14:textId="77777777" w:rsidR="00B2786E" w:rsidRDefault="00B2786E" w:rsidP="00B2786E">
      <w:pPr>
        <w:rPr>
          <w:rFonts w:cs="Arial"/>
          <w:color w:val="FF0000"/>
          <w:lang w:eastAsia="en-GB"/>
        </w:rPr>
      </w:pPr>
      <w:r>
        <w:rPr>
          <w:rFonts w:cs="Arial"/>
          <w:color w:val="FF0000"/>
          <w:lang w:eastAsia="en-GB"/>
        </w:rPr>
        <w:t>IF REFUSED</w:t>
      </w:r>
    </w:p>
    <w:p w14:paraId="6208990F" w14:textId="77777777" w:rsidR="00B2786E" w:rsidRDefault="00B2786E" w:rsidP="00B2786E">
      <w:pPr>
        <w:rPr>
          <w:rFonts w:cs="Arial"/>
          <w:color w:val="FF0000"/>
          <w:lang w:eastAsia="en-GB"/>
        </w:rPr>
      </w:pPr>
      <w:r>
        <w:rPr>
          <w:rFonts w:cs="Arial"/>
          <w:color w:val="FF0000"/>
          <w:lang w:eastAsia="en-GB"/>
        </w:rPr>
        <w:t>REF: Are you happy for us to let the British Business Bank know that you do not want to participate in this survey?</w:t>
      </w:r>
    </w:p>
    <w:p w14:paraId="7EE4D1F3" w14:textId="77777777" w:rsidR="00B2786E" w:rsidRDefault="00B2786E" w:rsidP="00B2786E">
      <w:pPr>
        <w:rPr>
          <w:rFonts w:cs="Arial"/>
          <w:color w:val="FF0000"/>
          <w:lang w:eastAsia="en-GB"/>
        </w:rPr>
      </w:pPr>
      <w:r>
        <w:rPr>
          <w:rFonts w:cs="Arial"/>
          <w:color w:val="FF0000"/>
          <w:lang w:eastAsia="en-GB"/>
        </w:rPr>
        <w:t xml:space="preserve">READ: The British Business Bank would like to use this information to ensure that other government departments know you do not wish to participate in this research and do not contact you further. The only information we will pass on to BBB is your business’ name and company registration number.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8168"/>
        <w:gridCol w:w="1976"/>
      </w:tblGrid>
      <w:tr w:rsidR="00B2786E" w14:paraId="39B7534E" w14:textId="77777777">
        <w:trPr>
          <w:cantSplit/>
          <w:trHeight w:val="320"/>
        </w:trPr>
        <w:tc>
          <w:tcPr>
            <w:tcW w:w="4026" w:type="pct"/>
            <w:tcBorders>
              <w:top w:val="single" w:sz="4" w:space="0" w:color="auto"/>
              <w:left w:val="single" w:sz="4" w:space="0" w:color="auto"/>
              <w:bottom w:val="single" w:sz="4" w:space="0" w:color="auto"/>
              <w:right w:val="single" w:sz="4" w:space="0" w:color="auto"/>
            </w:tcBorders>
            <w:hideMark/>
          </w:tcPr>
          <w:p w14:paraId="2B5760FF"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lastRenderedPageBreak/>
              <w:t>Yes</w:t>
            </w:r>
          </w:p>
        </w:tc>
        <w:tc>
          <w:tcPr>
            <w:tcW w:w="974" w:type="pct"/>
            <w:tcBorders>
              <w:top w:val="single" w:sz="4" w:space="0" w:color="auto"/>
              <w:left w:val="single" w:sz="4" w:space="0" w:color="auto"/>
              <w:bottom w:val="single" w:sz="4" w:space="0" w:color="auto"/>
              <w:right w:val="single" w:sz="4" w:space="0" w:color="auto"/>
            </w:tcBorders>
            <w:vAlign w:val="center"/>
            <w:hideMark/>
          </w:tcPr>
          <w:p w14:paraId="5230EB15" w14:textId="77777777" w:rsidR="00B2786E" w:rsidRDefault="00B2786E">
            <w:pPr>
              <w:spacing w:before="60"/>
              <w:jc w:val="center"/>
              <w:rPr>
                <w:rFonts w:cs="Arial"/>
                <w:color w:val="1D1D1B" w:themeColor="text1"/>
              </w:rPr>
            </w:pPr>
            <w:r>
              <w:rPr>
                <w:rFonts w:cs="Arial"/>
                <w:color w:val="1D1D1B" w:themeColor="text1"/>
              </w:rPr>
              <w:t>1</w:t>
            </w:r>
          </w:p>
        </w:tc>
      </w:tr>
      <w:tr w:rsidR="00B2786E" w14:paraId="4A0D25BB" w14:textId="77777777">
        <w:trPr>
          <w:cantSplit/>
          <w:trHeight w:val="320"/>
        </w:trPr>
        <w:tc>
          <w:tcPr>
            <w:tcW w:w="4026" w:type="pct"/>
            <w:tcBorders>
              <w:top w:val="single" w:sz="4" w:space="0" w:color="auto"/>
              <w:left w:val="single" w:sz="4" w:space="0" w:color="auto"/>
              <w:bottom w:val="single" w:sz="4" w:space="0" w:color="auto"/>
              <w:right w:val="single" w:sz="4" w:space="0" w:color="auto"/>
            </w:tcBorders>
            <w:hideMark/>
          </w:tcPr>
          <w:p w14:paraId="4903A689"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 xml:space="preserve">No </w:t>
            </w:r>
          </w:p>
        </w:tc>
        <w:tc>
          <w:tcPr>
            <w:tcW w:w="974" w:type="pct"/>
            <w:tcBorders>
              <w:top w:val="single" w:sz="4" w:space="0" w:color="auto"/>
              <w:left w:val="single" w:sz="4" w:space="0" w:color="auto"/>
              <w:bottom w:val="single" w:sz="4" w:space="0" w:color="auto"/>
              <w:right w:val="single" w:sz="4" w:space="0" w:color="auto"/>
            </w:tcBorders>
            <w:vAlign w:val="center"/>
            <w:hideMark/>
          </w:tcPr>
          <w:p w14:paraId="2C18AF63" w14:textId="77777777" w:rsidR="00B2786E" w:rsidRDefault="00B2786E">
            <w:pPr>
              <w:spacing w:before="60"/>
              <w:jc w:val="center"/>
              <w:rPr>
                <w:rFonts w:cs="Arial"/>
                <w:color w:val="1D1D1B" w:themeColor="text1"/>
              </w:rPr>
            </w:pPr>
            <w:r>
              <w:rPr>
                <w:rFonts w:cs="Arial"/>
                <w:color w:val="1D1D1B" w:themeColor="text1"/>
              </w:rPr>
              <w:t>2</w:t>
            </w:r>
          </w:p>
        </w:tc>
      </w:tr>
    </w:tbl>
    <w:p w14:paraId="756D5CAF" w14:textId="77777777" w:rsidR="00B2786E" w:rsidRDefault="00B2786E" w:rsidP="00B2786E">
      <w:pPr>
        <w:rPr>
          <w:rFonts w:cs="Arial"/>
          <w:color w:val="FF0000"/>
          <w:sz w:val="22"/>
          <w:lang w:eastAsia="en-GB"/>
        </w:rPr>
      </w:pPr>
    </w:p>
    <w:p w14:paraId="7F899909" w14:textId="77777777" w:rsidR="00B2786E" w:rsidRDefault="00B2786E" w:rsidP="00B2786E">
      <w:pPr>
        <w:rPr>
          <w:rFonts w:cs="Arial"/>
          <w:color w:val="FF0000"/>
          <w:lang w:eastAsia="en-GB"/>
        </w:rPr>
      </w:pPr>
      <w:r>
        <w:rPr>
          <w:rFonts w:cs="Arial"/>
          <w:color w:val="FF0000"/>
          <w:lang w:eastAsia="en-GB"/>
        </w:rPr>
        <w:t>[SCREEN 3]</w:t>
      </w:r>
    </w:p>
    <w:p w14:paraId="5CC0EB06" w14:textId="77777777" w:rsidR="00B2786E" w:rsidRDefault="00B2786E" w:rsidP="00B2786E">
      <w:pPr>
        <w:rPr>
          <w:rFonts w:cs="Arial"/>
          <w:color w:val="FF0000"/>
          <w:lang w:eastAsia="en-GB"/>
        </w:rPr>
      </w:pPr>
      <w:r>
        <w:rPr>
          <w:rFonts w:cs="Arial"/>
          <w:color w:val="FF0000"/>
          <w:lang w:eastAsia="en-GB"/>
        </w:rPr>
        <w:t xml:space="preserve">Q_VOLUNTARY. </w:t>
      </w:r>
    </w:p>
    <w:p w14:paraId="70052FA6" w14:textId="77777777" w:rsidR="00B2786E" w:rsidRDefault="00B2786E" w:rsidP="00B2786E">
      <w:pPr>
        <w:rPr>
          <w:rFonts w:cs="Arial"/>
          <w:color w:val="FF0000"/>
          <w:lang w:eastAsia="en-GB"/>
        </w:rPr>
      </w:pPr>
      <w:r>
        <w:rPr>
          <w:rFonts w:cs="Arial"/>
          <w:color w:val="FF0000"/>
          <w:lang w:eastAsia="en-GB"/>
        </w:rPr>
        <w:t>ASK ALL</w:t>
      </w:r>
    </w:p>
    <w:p w14:paraId="1201F7C8" w14:textId="0044D4B7" w:rsidR="00B2786E" w:rsidRDefault="00B2786E" w:rsidP="00B2786E">
      <w:pPr>
        <w:rPr>
          <w:rFonts w:cs="Arial"/>
          <w:color w:val="1D1D1B" w:themeColor="text1"/>
          <w:lang w:eastAsia="en-GB"/>
        </w:rPr>
      </w:pPr>
      <w:r>
        <w:rPr>
          <w:rFonts w:eastAsia="Calibri" w:cs="Arial"/>
          <w:b/>
          <w:color w:val="1D1D1B" w:themeColor="text1"/>
        </w:rPr>
        <w:t xml:space="preserve">Before we start, I want to clarify that participation in the survey is voluntary and you can change your mind at any time. </w:t>
      </w:r>
      <w:r>
        <w:rPr>
          <w:rFonts w:cs="Arial"/>
          <w:b/>
          <w:bCs/>
        </w:rPr>
        <w:t>Please note that there are questions which ask you to describe your ethnic origin, age, health condition and gender identity, however you are free to not answer.</w:t>
      </w:r>
      <w:r>
        <w:rPr>
          <w:rFonts w:eastAsia="Calibri" w:cs="Arial"/>
          <w:b/>
          <w:color w:val="1D1D1B" w:themeColor="text1"/>
        </w:rPr>
        <w:t xml:space="preserve"> Are you happy to proceed with the interview? </w:t>
      </w:r>
      <w:r>
        <w:rPr>
          <w:rFonts w:eastAsia="Calibri" w:cs="Arial"/>
          <w:color w:val="1D1D1B" w:themeColor="text1"/>
        </w:rPr>
        <w:t>IF NECESSARY:</w:t>
      </w:r>
      <w:r>
        <w:rPr>
          <w:rFonts w:eastAsia="Calibri" w:cs="Arial"/>
          <w:b/>
          <w:color w:val="1D1D1B" w:themeColor="text1"/>
        </w:rPr>
        <w:t xml:space="preserve"> If you would like to read the Privacy Notice beforehand you can access it online at </w:t>
      </w:r>
      <w:hyperlink r:id="rId64" w:history="1">
        <w:r>
          <w:rPr>
            <w:rStyle w:val="Hyperlink"/>
          </w:rPr>
          <w:t>https://ipsos.uk/LoanScheme</w:t>
        </w:r>
      </w:hyperlink>
    </w:p>
    <w:p w14:paraId="708B6C86" w14:textId="77777777" w:rsidR="00B2786E" w:rsidRDefault="00B2786E" w:rsidP="00B2786E">
      <w:pPr>
        <w:rPr>
          <w:rFonts w:cs="Arial"/>
          <w:color w:val="FF0000"/>
        </w:rPr>
      </w:pPr>
      <w:r>
        <w:rPr>
          <w:rFonts w:cs="Arial"/>
          <w:color w:val="FF0000"/>
        </w:rPr>
        <w:t>ASK ALL</w:t>
      </w:r>
    </w:p>
    <w:p w14:paraId="2FCF4BB7" w14:textId="77777777" w:rsidR="00B2786E" w:rsidRDefault="00B2786E" w:rsidP="00B2786E">
      <w:pPr>
        <w:rPr>
          <w:rFonts w:cs="Arial"/>
          <w:color w:val="FF0000"/>
        </w:rPr>
      </w:pPr>
      <w:r>
        <w:rPr>
          <w:rFonts w:cs="Arial"/>
          <w:color w:val="FF0000"/>
        </w:rPr>
        <w:t>ASK IF CATI</w:t>
      </w:r>
    </w:p>
    <w:p w14:paraId="3E9868D9" w14:textId="77777777" w:rsidR="00B2786E" w:rsidRDefault="00B2786E" w:rsidP="00B2786E">
      <w:pPr>
        <w:tabs>
          <w:tab w:val="left" w:pos="720"/>
        </w:tabs>
        <w:ind w:left="486" w:hanging="486"/>
        <w:rPr>
          <w:rFonts w:cs="Arial"/>
          <w:b/>
          <w:color w:val="1D1D1B" w:themeColor="text1"/>
        </w:rPr>
      </w:pPr>
      <w:r>
        <w:rPr>
          <w:rFonts w:cs="Arial"/>
          <w:b/>
          <w:bCs/>
          <w:color w:val="1D1D1B" w:themeColor="text1"/>
        </w:rPr>
        <w:t>S1</w:t>
      </w:r>
      <w:r>
        <w:rPr>
          <w:rFonts w:cs="Arial"/>
          <w:color w:val="1D1D1B" w:themeColor="text1"/>
        </w:rPr>
        <w:t> </w:t>
      </w:r>
      <w:r>
        <w:rPr>
          <w:rFonts w:cs="Arial"/>
          <w:b/>
          <w:color w:val="1D1D1B" w:themeColor="text1"/>
        </w:rPr>
        <w:t xml:space="preserve">Can I just check the business name that we have for you is </w:t>
      </w:r>
      <w:r>
        <w:rPr>
          <w:rFonts w:cs="Arial"/>
          <w:iCs/>
          <w:color w:val="1D1D1B" w:themeColor="text1"/>
        </w:rPr>
        <w:t>[INSERT TRADING NAME]</w:t>
      </w:r>
      <w:r>
        <w:rPr>
          <w:rFonts w:cs="Arial"/>
          <w:b/>
          <w:color w:val="1D1D1B" w:themeColor="text1"/>
        </w:rPr>
        <w:t xml:space="preserve">, is this correct? </w:t>
      </w:r>
      <w:r>
        <w:rPr>
          <w:rFonts w:cs="Arial"/>
          <w:color w:val="1D1D1B" w:themeColor="text1"/>
        </w:rPr>
        <w:t xml:space="preserve">IF NO: </w:t>
      </w:r>
      <w:r>
        <w:rPr>
          <w:rFonts w:cs="Arial"/>
          <w:b/>
          <w:color w:val="1D1D1B" w:themeColor="text1"/>
        </w:rPr>
        <w:t>Can you please tell me the correct business name?</w:t>
      </w:r>
    </w:p>
    <w:p w14:paraId="77FB1D9A" w14:textId="77777777" w:rsidR="00B2786E" w:rsidRDefault="00B2786E" w:rsidP="00B2786E">
      <w:pPr>
        <w:tabs>
          <w:tab w:val="left" w:pos="720"/>
        </w:tabs>
        <w:ind w:left="486" w:hanging="486"/>
        <w:rPr>
          <w:rFonts w:cs="Arial"/>
          <w:bCs/>
          <w:color w:val="FF0000"/>
        </w:rPr>
      </w:pPr>
      <w:r>
        <w:rPr>
          <w:rFonts w:cs="Arial"/>
          <w:bCs/>
          <w:color w:val="FF0000"/>
        </w:rPr>
        <w:t>ASK IF WEB</w:t>
      </w:r>
    </w:p>
    <w:p w14:paraId="77AB95CD" w14:textId="77777777" w:rsidR="00B2786E" w:rsidRDefault="00B2786E" w:rsidP="00B2786E">
      <w:pPr>
        <w:tabs>
          <w:tab w:val="left" w:pos="720"/>
        </w:tabs>
        <w:ind w:left="486" w:hanging="486"/>
        <w:rPr>
          <w:rFonts w:cs="Arial"/>
          <w:b/>
          <w:color w:val="1D1D1B" w:themeColor="text1"/>
        </w:rPr>
      </w:pPr>
      <w:r>
        <w:rPr>
          <w:rFonts w:cs="Arial"/>
          <w:b/>
          <w:bCs/>
          <w:color w:val="1D1D1B" w:themeColor="text1"/>
        </w:rPr>
        <w:t>S1</w:t>
      </w:r>
      <w:r>
        <w:rPr>
          <w:rFonts w:cs="Arial"/>
          <w:color w:val="1D1D1B" w:themeColor="text1"/>
        </w:rPr>
        <w:t> </w:t>
      </w:r>
      <w:r>
        <w:rPr>
          <w:rFonts w:cs="Arial"/>
          <w:b/>
          <w:bCs/>
          <w:color w:val="1D1D1B" w:themeColor="text1"/>
        </w:rPr>
        <w:t>The</w:t>
      </w:r>
      <w:r>
        <w:rPr>
          <w:rFonts w:cs="Arial"/>
          <w:b/>
          <w:color w:val="1D1D1B" w:themeColor="text1"/>
        </w:rPr>
        <w:t xml:space="preserve"> business name that we have for you is </w:t>
      </w:r>
      <w:r>
        <w:rPr>
          <w:rFonts w:cs="Arial"/>
          <w:iCs/>
          <w:color w:val="1D1D1B" w:themeColor="text1"/>
        </w:rPr>
        <w:t>[INSERT TRADING NAME]</w:t>
      </w:r>
      <w:r>
        <w:rPr>
          <w:rFonts w:cs="Arial"/>
          <w:b/>
          <w:color w:val="1D1D1B" w:themeColor="text1"/>
        </w:rPr>
        <w:t xml:space="preserve">, is this correct? </w:t>
      </w:r>
      <w:r>
        <w:rPr>
          <w:rFonts w:cs="Arial"/>
          <w:color w:val="1D1D1B" w:themeColor="text1"/>
        </w:rPr>
        <w:t xml:space="preserve">IF NO: </w:t>
      </w:r>
      <w:r>
        <w:rPr>
          <w:rFonts w:cs="Arial"/>
          <w:b/>
          <w:color w:val="1D1D1B" w:themeColor="text1"/>
        </w:rPr>
        <w:t>Please can you provide us with the correct business name?</w:t>
      </w:r>
    </w:p>
    <w:p w14:paraId="0C9ED93B" w14:textId="77777777" w:rsidR="00B2786E" w:rsidRDefault="00B2786E" w:rsidP="00B2786E">
      <w:pPr>
        <w:tabs>
          <w:tab w:val="left" w:pos="720"/>
        </w:tabs>
        <w:rPr>
          <w:rFonts w:cs="Arial"/>
          <w:color w:val="1D1D1B" w:themeColor="text1"/>
        </w:rPr>
      </w:pPr>
      <w:r>
        <w:rPr>
          <w:rFonts w:cs="Arial"/>
          <w:color w:val="F06603" w:themeColor="accent6"/>
        </w:rPr>
        <w:t>INTERVIEWER NOTE FOR LOAN RECIPIENTS: IF THE RESPONDENT SAYS THEY HAVE MORE THAN ONE BUSINESS, AND THAT IT DOESN’T INCLUDE THE ONE NAMED HERE, SAY THAT FOR THE PURPOSE OF THIS SURVEY WE ARE INTERESTED IN ONE OF THEIR BUSINESSES FOR WHICH THEY SOUGHT EXTERNAL FINANCE THROUGH THE</w:t>
      </w:r>
      <w:r>
        <w:rPr>
          <w:rFonts w:cs="Arial"/>
          <w:color w:val="1D1D1B" w:themeColor="text1"/>
        </w:rPr>
        <w:t xml:space="preserve"> </w:t>
      </w:r>
      <w:r>
        <w:rPr>
          <w:rFonts w:cs="Arial"/>
          <w:color w:val="FF0000"/>
        </w:rPr>
        <w:t>[</w:t>
      </w:r>
      <w:r>
        <w:rPr>
          <w:rFonts w:cs="Arial"/>
          <w:iCs/>
          <w:color w:val="FF0000"/>
        </w:rPr>
        <w:t>INSERT FRESHNEW:</w:t>
      </w:r>
      <w:r>
        <w:rPr>
          <w:rFonts w:cs="Arial"/>
          <w:b/>
          <w:i/>
          <w:iCs/>
          <w:color w:val="1D1D1B" w:themeColor="text1"/>
        </w:rPr>
        <w:t xml:space="preserve"> </w:t>
      </w:r>
      <w:r>
        <w:rPr>
          <w:rFonts w:cs="Arial"/>
          <w:b/>
          <w:iCs/>
          <w:color w:val="1D1D1B" w:themeColor="text1"/>
        </w:rPr>
        <w:t>Bounce Back Loan Scheme /Coronavirus Business Interruption Loan Scheme/Coronavirus Large Business Interruption Loan Scheme</w:t>
      </w:r>
      <w:r>
        <w:rPr>
          <w:rFonts w:cs="Arial"/>
          <w:iCs/>
          <w:color w:val="1D1D1B" w:themeColor="text1"/>
        </w:rPr>
        <w:t>]</w:t>
      </w:r>
      <w:r>
        <w:rPr>
          <w:rFonts w:cs="Arial"/>
          <w:color w:val="1D1D1B" w:themeColor="text1"/>
        </w:rPr>
        <w:t>.</w:t>
      </w:r>
    </w:p>
    <w:p w14:paraId="4500545F" w14:textId="77777777" w:rsidR="00B2786E" w:rsidRPr="006F30CC" w:rsidRDefault="00B2786E" w:rsidP="00B2786E">
      <w:pPr>
        <w:tabs>
          <w:tab w:val="left" w:pos="720"/>
        </w:tabs>
        <w:rPr>
          <w:rFonts w:cs="Arial"/>
          <w:color w:val="F06603" w:themeColor="accent6"/>
        </w:rPr>
      </w:pPr>
      <w:r>
        <w:rPr>
          <w:rFonts w:cs="Arial"/>
          <w:color w:val="F06603" w:themeColor="accent6"/>
        </w:rPr>
        <w:lastRenderedPageBreak/>
        <w:t>INTERVIEWER NOTE FOR CONTROL GROUP: IF THE RESPONDENT SAYS THEY HAVE MORE THAN ONE BUSINESS, AND THAT IT DOESN’T INCLUDE THE ONE NAMED HERE, SAY THAT FOR THE PURPOSE OF THIS SURVEY WE ARE INTERESTED IN ONE OF THEIR BUSINESSES WITH [</w:t>
      </w:r>
      <w:proofErr w:type="spellStart"/>
      <w:r>
        <w:rPr>
          <w:rFonts w:cs="Arial"/>
          <w:color w:val="F06603" w:themeColor="accent6"/>
        </w:rPr>
        <w:t>BBL</w:t>
      </w:r>
      <w:r>
        <w:rPr>
          <w:rFonts w:cs="Arial"/>
        </w:rPr>
        <w:t>turnover</w:t>
      </w:r>
      <w:proofErr w:type="spellEnd"/>
      <w:r>
        <w:rPr>
          <w:rFonts w:cs="Arial"/>
        </w:rPr>
        <w:t xml:space="preserve"> in last financial year between with at least</w:t>
      </w:r>
      <w:r>
        <w:rPr>
          <w:rFonts w:cs="Arial"/>
          <w:color w:val="F06603" w:themeColor="accent6"/>
        </w:rPr>
        <w:t xml:space="preserve"> </w:t>
      </w:r>
      <w:r>
        <w:rPr>
          <w:rFonts w:cs="Arial"/>
        </w:rPr>
        <w:t xml:space="preserve">£30,000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8168"/>
        <w:gridCol w:w="1976"/>
      </w:tblGrid>
      <w:tr w:rsidR="00B2786E" w14:paraId="773FE3EC" w14:textId="77777777">
        <w:trPr>
          <w:cantSplit/>
          <w:trHeight w:val="320"/>
        </w:trPr>
        <w:tc>
          <w:tcPr>
            <w:tcW w:w="4026" w:type="pct"/>
            <w:tcBorders>
              <w:top w:val="single" w:sz="4" w:space="0" w:color="auto"/>
              <w:left w:val="single" w:sz="4" w:space="0" w:color="auto"/>
              <w:bottom w:val="single" w:sz="4" w:space="0" w:color="auto"/>
              <w:right w:val="single" w:sz="4" w:space="0" w:color="auto"/>
            </w:tcBorders>
            <w:hideMark/>
          </w:tcPr>
          <w:p w14:paraId="38B1933C"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Yes</w:t>
            </w:r>
          </w:p>
        </w:tc>
        <w:tc>
          <w:tcPr>
            <w:tcW w:w="974" w:type="pct"/>
            <w:tcBorders>
              <w:top w:val="single" w:sz="4" w:space="0" w:color="auto"/>
              <w:left w:val="single" w:sz="4" w:space="0" w:color="auto"/>
              <w:bottom w:val="single" w:sz="4" w:space="0" w:color="auto"/>
              <w:right w:val="single" w:sz="4" w:space="0" w:color="auto"/>
            </w:tcBorders>
            <w:vAlign w:val="center"/>
            <w:hideMark/>
          </w:tcPr>
          <w:p w14:paraId="0F6A2CA8" w14:textId="77777777" w:rsidR="00B2786E" w:rsidRDefault="00B2786E">
            <w:pPr>
              <w:spacing w:before="60"/>
              <w:jc w:val="center"/>
              <w:rPr>
                <w:rFonts w:cs="Arial"/>
                <w:color w:val="1D1D1B" w:themeColor="text1"/>
              </w:rPr>
            </w:pPr>
            <w:r>
              <w:rPr>
                <w:rFonts w:cs="Arial"/>
                <w:color w:val="1D1D1B" w:themeColor="text1"/>
              </w:rPr>
              <w:t>1</w:t>
            </w:r>
          </w:p>
        </w:tc>
      </w:tr>
      <w:tr w:rsidR="00B2786E" w14:paraId="2C5DFE16" w14:textId="77777777">
        <w:trPr>
          <w:cantSplit/>
          <w:trHeight w:val="320"/>
        </w:trPr>
        <w:tc>
          <w:tcPr>
            <w:tcW w:w="4026" w:type="pct"/>
            <w:tcBorders>
              <w:top w:val="single" w:sz="4" w:space="0" w:color="auto"/>
              <w:left w:val="single" w:sz="4" w:space="0" w:color="auto"/>
              <w:bottom w:val="single" w:sz="4" w:space="0" w:color="auto"/>
              <w:right w:val="single" w:sz="4" w:space="0" w:color="auto"/>
            </w:tcBorders>
            <w:hideMark/>
          </w:tcPr>
          <w:p w14:paraId="6917CC18"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No – WRITE IN CORRECT NAME</w:t>
            </w:r>
          </w:p>
        </w:tc>
        <w:tc>
          <w:tcPr>
            <w:tcW w:w="974" w:type="pct"/>
            <w:tcBorders>
              <w:top w:val="single" w:sz="4" w:space="0" w:color="auto"/>
              <w:left w:val="single" w:sz="4" w:space="0" w:color="auto"/>
              <w:bottom w:val="single" w:sz="4" w:space="0" w:color="auto"/>
              <w:right w:val="single" w:sz="4" w:space="0" w:color="auto"/>
            </w:tcBorders>
            <w:vAlign w:val="center"/>
            <w:hideMark/>
          </w:tcPr>
          <w:p w14:paraId="50FD9C32" w14:textId="77777777" w:rsidR="00B2786E" w:rsidRDefault="00B2786E">
            <w:pPr>
              <w:spacing w:before="60"/>
              <w:jc w:val="center"/>
              <w:rPr>
                <w:rFonts w:cs="Arial"/>
                <w:color w:val="1D1D1B" w:themeColor="text1"/>
              </w:rPr>
            </w:pPr>
            <w:r>
              <w:rPr>
                <w:rFonts w:cs="Arial"/>
                <w:color w:val="1D1D1B" w:themeColor="text1"/>
              </w:rPr>
              <w:t>2</w:t>
            </w:r>
          </w:p>
        </w:tc>
      </w:tr>
      <w:tr w:rsidR="00B2786E" w14:paraId="7B6A5799" w14:textId="77777777">
        <w:trPr>
          <w:cantSplit/>
          <w:trHeight w:val="320"/>
        </w:trPr>
        <w:tc>
          <w:tcPr>
            <w:tcW w:w="4026" w:type="pct"/>
            <w:tcBorders>
              <w:top w:val="single" w:sz="4" w:space="0" w:color="auto"/>
              <w:left w:val="single" w:sz="4" w:space="0" w:color="auto"/>
              <w:bottom w:val="single" w:sz="4" w:space="0" w:color="auto"/>
              <w:right w:val="single" w:sz="4" w:space="0" w:color="auto"/>
            </w:tcBorders>
            <w:hideMark/>
          </w:tcPr>
          <w:p w14:paraId="2CE95641"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Don’t know</w:t>
            </w:r>
          </w:p>
        </w:tc>
        <w:tc>
          <w:tcPr>
            <w:tcW w:w="974" w:type="pct"/>
            <w:tcBorders>
              <w:top w:val="single" w:sz="4" w:space="0" w:color="auto"/>
              <w:left w:val="single" w:sz="4" w:space="0" w:color="auto"/>
              <w:bottom w:val="single" w:sz="4" w:space="0" w:color="auto"/>
              <w:right w:val="single" w:sz="4" w:space="0" w:color="auto"/>
            </w:tcBorders>
            <w:vAlign w:val="center"/>
            <w:hideMark/>
          </w:tcPr>
          <w:p w14:paraId="0E9EC14D" w14:textId="77777777" w:rsidR="00B2786E" w:rsidRDefault="00B2786E">
            <w:pPr>
              <w:spacing w:before="60"/>
              <w:jc w:val="center"/>
              <w:rPr>
                <w:rFonts w:cs="Arial"/>
                <w:color w:val="1D1D1B" w:themeColor="text1"/>
              </w:rPr>
            </w:pPr>
            <w:r>
              <w:rPr>
                <w:rFonts w:cs="Arial"/>
                <w:color w:val="1D1D1B" w:themeColor="text1"/>
              </w:rPr>
              <w:t>98</w:t>
            </w:r>
          </w:p>
        </w:tc>
      </w:tr>
    </w:tbl>
    <w:p w14:paraId="39AF845D" w14:textId="77777777" w:rsidR="00B2786E" w:rsidRDefault="00B2786E" w:rsidP="00B2786E">
      <w:pPr>
        <w:rPr>
          <w:rFonts w:cs="Arial"/>
          <w:color w:val="1D1D1B" w:themeColor="text1"/>
        </w:rPr>
      </w:pPr>
    </w:p>
    <w:p w14:paraId="1D75C053" w14:textId="77777777" w:rsidR="00B2786E" w:rsidRDefault="00B2786E" w:rsidP="00B2786E">
      <w:pPr>
        <w:rPr>
          <w:rFonts w:cs="Arial"/>
          <w:color w:val="FF0000"/>
        </w:rPr>
      </w:pPr>
      <w:r>
        <w:rPr>
          <w:rFonts w:cs="Arial"/>
          <w:color w:val="FF0000"/>
        </w:rPr>
        <w:t>ASK ALL</w:t>
      </w:r>
    </w:p>
    <w:p w14:paraId="495FF024" w14:textId="77777777" w:rsidR="00B2786E" w:rsidRPr="006F30CC" w:rsidRDefault="00B2786E" w:rsidP="00B2786E">
      <w:pPr>
        <w:rPr>
          <w:rFonts w:cs="Arial"/>
          <w:b/>
          <w:bCs/>
        </w:rPr>
      </w:pPr>
      <w:r>
        <w:rPr>
          <w:rFonts w:cs="Arial"/>
          <w:b/>
          <w:bCs/>
        </w:rPr>
        <w:t xml:space="preserve">We will be focussing on </w:t>
      </w:r>
      <w:r>
        <w:rPr>
          <w:rFonts w:cs="Arial"/>
          <w:bCs/>
          <w:color w:val="FF0000"/>
        </w:rPr>
        <w:t>[INSERT BUSINESS NAME FROM SAMPLE IF CODE 1 AT S1 OR FROM SCRIPT IF CODE 2 AT S1]</w:t>
      </w:r>
      <w:r>
        <w:rPr>
          <w:rFonts w:cs="Arial"/>
          <w:b/>
          <w:bCs/>
          <w:color w:val="FF0000"/>
        </w:rPr>
        <w:t xml:space="preserve"> </w:t>
      </w:r>
      <w:r>
        <w:rPr>
          <w:rFonts w:cs="Arial"/>
          <w:b/>
          <w:bCs/>
        </w:rPr>
        <w:t>throughout</w:t>
      </w:r>
      <w:r>
        <w:rPr>
          <w:rFonts w:cs="Arial"/>
          <w:b/>
          <w:bCs/>
          <w:color w:val="FF0000"/>
        </w:rPr>
        <w:t xml:space="preserve"> </w:t>
      </w:r>
      <w:r>
        <w:rPr>
          <w:rFonts w:cs="Arial"/>
          <w:b/>
          <w:bCs/>
        </w:rPr>
        <w:t>this interview.</w:t>
      </w:r>
    </w:p>
    <w:p w14:paraId="008C7391" w14:textId="77777777" w:rsidR="00B2786E" w:rsidRDefault="00B2786E" w:rsidP="00B2786E">
      <w:pPr>
        <w:rPr>
          <w:rFonts w:cs="Arial"/>
          <w:color w:val="FF0000"/>
        </w:rPr>
      </w:pPr>
      <w:r>
        <w:rPr>
          <w:rFonts w:cs="Arial"/>
          <w:color w:val="FF0000"/>
        </w:rPr>
        <w:t>ASK ALL</w:t>
      </w:r>
    </w:p>
    <w:p w14:paraId="273A3707" w14:textId="77777777" w:rsidR="00B2786E" w:rsidRPr="006F30CC" w:rsidRDefault="00B2786E" w:rsidP="00B2786E">
      <w:pPr>
        <w:rPr>
          <w:rFonts w:cs="Arial"/>
          <w:b/>
        </w:rPr>
      </w:pPr>
      <w:r>
        <w:rPr>
          <w:rFonts w:cs="Arial"/>
          <w:b/>
        </w:rPr>
        <w:t>S2 [</w:t>
      </w:r>
      <w:r>
        <w:rPr>
          <w:rFonts w:cs="Arial"/>
          <w:bCs/>
          <w:color w:val="FF0000"/>
        </w:rPr>
        <w:t xml:space="preserve">CATI: </w:t>
      </w:r>
      <w:r>
        <w:rPr>
          <w:rFonts w:cs="Arial"/>
          <w:b/>
        </w:rPr>
        <w:t>Can I just check, are] [</w:t>
      </w:r>
      <w:r>
        <w:rPr>
          <w:rFonts w:cs="Arial"/>
          <w:bCs/>
          <w:color w:val="FF0000"/>
        </w:rPr>
        <w:t xml:space="preserve">WEB: </w:t>
      </w:r>
      <w:r>
        <w:rPr>
          <w:rFonts w:cs="Arial"/>
          <w:b/>
        </w:rPr>
        <w:t xml:space="preserve">Are] you able to answer questions about the business’s financial performance and its finance needs?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3577"/>
        <w:gridCol w:w="1126"/>
        <w:gridCol w:w="5441"/>
      </w:tblGrid>
      <w:tr w:rsidR="00B2786E" w14:paraId="378B5AEA" w14:textId="77777777">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7F5DC79B"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Yes</w:t>
            </w:r>
          </w:p>
        </w:tc>
        <w:tc>
          <w:tcPr>
            <w:tcW w:w="555" w:type="pct"/>
            <w:tcBorders>
              <w:top w:val="single" w:sz="4" w:space="0" w:color="auto"/>
              <w:left w:val="single" w:sz="4" w:space="0" w:color="auto"/>
              <w:bottom w:val="single" w:sz="4" w:space="0" w:color="auto"/>
              <w:right w:val="single" w:sz="4" w:space="0" w:color="auto"/>
            </w:tcBorders>
            <w:vAlign w:val="center"/>
            <w:hideMark/>
          </w:tcPr>
          <w:p w14:paraId="4BBF7643" w14:textId="77777777" w:rsidR="00B2786E" w:rsidRDefault="00B2786E">
            <w:pPr>
              <w:spacing w:before="60"/>
              <w:jc w:val="center"/>
              <w:rPr>
                <w:rFonts w:cs="Arial"/>
                <w:color w:val="1D1D1B" w:themeColor="text1"/>
              </w:rPr>
            </w:pPr>
            <w:r>
              <w:rPr>
                <w:rFonts w:cs="Arial"/>
                <w:color w:val="1D1D1B" w:themeColor="text1"/>
              </w:rPr>
              <w:t>1</w:t>
            </w:r>
          </w:p>
        </w:tc>
        <w:tc>
          <w:tcPr>
            <w:tcW w:w="2682" w:type="pct"/>
            <w:tcBorders>
              <w:top w:val="single" w:sz="4" w:space="0" w:color="auto"/>
              <w:left w:val="single" w:sz="4" w:space="0" w:color="auto"/>
              <w:bottom w:val="single" w:sz="4" w:space="0" w:color="auto"/>
              <w:right w:val="single" w:sz="4" w:space="0" w:color="auto"/>
            </w:tcBorders>
            <w:hideMark/>
          </w:tcPr>
          <w:p w14:paraId="0B28CE9F" w14:textId="77777777" w:rsidR="00B2786E" w:rsidRDefault="00B2786E">
            <w:pPr>
              <w:spacing w:before="60"/>
              <w:ind w:left="120"/>
              <w:rPr>
                <w:rFonts w:cs="Arial"/>
                <w:color w:val="1D1D1B" w:themeColor="text1"/>
              </w:rPr>
            </w:pPr>
            <w:r>
              <w:rPr>
                <w:rFonts w:cs="Arial"/>
                <w:color w:val="FF0000"/>
              </w:rPr>
              <w:t>CONTINUE</w:t>
            </w:r>
          </w:p>
        </w:tc>
      </w:tr>
      <w:tr w:rsidR="00B2786E" w14:paraId="3C4AA3CD" w14:textId="77777777">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782BA2D7"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No – transfer</w:t>
            </w:r>
          </w:p>
        </w:tc>
        <w:tc>
          <w:tcPr>
            <w:tcW w:w="555" w:type="pct"/>
            <w:tcBorders>
              <w:top w:val="single" w:sz="4" w:space="0" w:color="auto"/>
              <w:left w:val="single" w:sz="4" w:space="0" w:color="auto"/>
              <w:bottom w:val="single" w:sz="4" w:space="0" w:color="auto"/>
              <w:right w:val="single" w:sz="4" w:space="0" w:color="auto"/>
            </w:tcBorders>
            <w:vAlign w:val="center"/>
            <w:hideMark/>
          </w:tcPr>
          <w:p w14:paraId="3D12F829" w14:textId="77777777" w:rsidR="00B2786E" w:rsidRDefault="00B2786E">
            <w:pPr>
              <w:spacing w:before="60"/>
              <w:jc w:val="center"/>
              <w:rPr>
                <w:rFonts w:cs="Arial"/>
                <w:color w:val="1D1D1B" w:themeColor="text1"/>
              </w:rPr>
            </w:pPr>
            <w:r>
              <w:rPr>
                <w:rFonts w:cs="Arial"/>
                <w:color w:val="1D1D1B" w:themeColor="text1"/>
              </w:rPr>
              <w:t>2</w:t>
            </w:r>
          </w:p>
        </w:tc>
        <w:tc>
          <w:tcPr>
            <w:tcW w:w="2682" w:type="pct"/>
            <w:tcBorders>
              <w:top w:val="single" w:sz="4" w:space="0" w:color="auto"/>
              <w:left w:val="single" w:sz="4" w:space="0" w:color="auto"/>
              <w:bottom w:val="single" w:sz="4" w:space="0" w:color="auto"/>
              <w:right w:val="single" w:sz="4" w:space="0" w:color="auto"/>
            </w:tcBorders>
            <w:hideMark/>
          </w:tcPr>
          <w:p w14:paraId="1BC6FFA8" w14:textId="77777777" w:rsidR="00B2786E" w:rsidRDefault="00B2786E">
            <w:pPr>
              <w:spacing w:before="60"/>
              <w:ind w:left="120"/>
              <w:rPr>
                <w:rFonts w:cs="Arial"/>
                <w:color w:val="FF0000"/>
              </w:rPr>
            </w:pPr>
            <w:r>
              <w:rPr>
                <w:rFonts w:cs="Arial"/>
                <w:color w:val="FF0000"/>
              </w:rPr>
              <w:t>TRANSFER AND RETURN TO INTRO FOR CATI SCREEN OUT FOR WEB</w:t>
            </w:r>
          </w:p>
        </w:tc>
      </w:tr>
      <w:tr w:rsidR="00B2786E" w14:paraId="5E1D91F1" w14:textId="77777777">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167ACC29"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No – they are unavailable</w:t>
            </w:r>
          </w:p>
        </w:tc>
        <w:tc>
          <w:tcPr>
            <w:tcW w:w="555" w:type="pct"/>
            <w:tcBorders>
              <w:top w:val="single" w:sz="4" w:space="0" w:color="auto"/>
              <w:left w:val="single" w:sz="4" w:space="0" w:color="auto"/>
              <w:bottom w:val="single" w:sz="4" w:space="0" w:color="auto"/>
              <w:right w:val="single" w:sz="4" w:space="0" w:color="auto"/>
            </w:tcBorders>
            <w:vAlign w:val="center"/>
            <w:hideMark/>
          </w:tcPr>
          <w:p w14:paraId="7FF70ED1" w14:textId="77777777" w:rsidR="00B2786E" w:rsidRDefault="00B2786E">
            <w:pPr>
              <w:spacing w:before="60"/>
              <w:jc w:val="center"/>
              <w:rPr>
                <w:rFonts w:cs="Arial"/>
                <w:color w:val="1D1D1B" w:themeColor="text1"/>
              </w:rPr>
            </w:pPr>
            <w:r>
              <w:rPr>
                <w:rFonts w:cs="Arial"/>
                <w:color w:val="1D1D1B" w:themeColor="text1"/>
              </w:rPr>
              <w:t>3</w:t>
            </w:r>
          </w:p>
        </w:tc>
        <w:tc>
          <w:tcPr>
            <w:tcW w:w="2682" w:type="pct"/>
            <w:tcBorders>
              <w:top w:val="single" w:sz="4" w:space="0" w:color="auto"/>
              <w:left w:val="single" w:sz="4" w:space="0" w:color="auto"/>
              <w:bottom w:val="single" w:sz="4" w:space="0" w:color="auto"/>
              <w:right w:val="single" w:sz="4" w:space="0" w:color="auto"/>
            </w:tcBorders>
            <w:hideMark/>
          </w:tcPr>
          <w:p w14:paraId="44006488" w14:textId="77777777" w:rsidR="00B2786E" w:rsidRDefault="00B2786E">
            <w:pPr>
              <w:spacing w:before="60"/>
              <w:ind w:left="120"/>
              <w:rPr>
                <w:rFonts w:cs="Arial"/>
                <w:color w:val="FF0000"/>
              </w:rPr>
            </w:pPr>
            <w:r>
              <w:rPr>
                <w:rFonts w:cs="Arial"/>
                <w:color w:val="FF0000"/>
              </w:rPr>
              <w:t>ASK FOR NAME OF CORRECT RESPONDENT TO CALL. THANK AND CLOSE</w:t>
            </w:r>
          </w:p>
        </w:tc>
      </w:tr>
    </w:tbl>
    <w:p w14:paraId="2F74B0E7" w14:textId="77777777" w:rsidR="00B2786E" w:rsidRDefault="00B2786E" w:rsidP="00B2786E">
      <w:pPr>
        <w:rPr>
          <w:rFonts w:cs="Arial"/>
          <w:color w:val="FF0000"/>
        </w:rPr>
      </w:pPr>
      <w:bookmarkStart w:id="226" w:name="_Hlk85201976"/>
      <w:r>
        <w:rPr>
          <w:rFonts w:cs="Arial"/>
          <w:color w:val="FF0000"/>
        </w:rPr>
        <w:t>FRESHCONTROL</w:t>
      </w:r>
    </w:p>
    <w:p w14:paraId="2AB36C67" w14:textId="77777777" w:rsidR="00B2786E" w:rsidRDefault="00B2786E" w:rsidP="00B2786E">
      <w:pPr>
        <w:rPr>
          <w:rFonts w:cs="Arial"/>
          <w:b/>
          <w:bCs/>
          <w:color w:val="1D1D1B" w:themeColor="text1"/>
        </w:rPr>
      </w:pPr>
      <w:r>
        <w:rPr>
          <w:rFonts w:cs="Arial"/>
          <w:b/>
          <w:bCs/>
          <w:color w:val="1D1D1B" w:themeColor="text1"/>
        </w:rPr>
        <w:t xml:space="preserve">S3 Over the past 18 months, did your business face any challenges or opportunities </w:t>
      </w:r>
      <w:proofErr w:type="gramStart"/>
      <w:r>
        <w:rPr>
          <w:rFonts w:cs="Arial"/>
          <w:b/>
          <w:bCs/>
          <w:color w:val="1D1D1B" w:themeColor="text1"/>
        </w:rPr>
        <w:t>as a result of</w:t>
      </w:r>
      <w:proofErr w:type="gramEnd"/>
      <w:r>
        <w:rPr>
          <w:rFonts w:cs="Arial"/>
          <w:b/>
          <w:bCs/>
          <w:color w:val="1D1D1B" w:themeColor="text1"/>
        </w:rPr>
        <w:t xml:space="preserve"> the Covid-19 pandemic? </w:t>
      </w:r>
    </w:p>
    <w:p w14:paraId="40528721" w14:textId="77777777" w:rsidR="00B2786E" w:rsidRDefault="00B2786E" w:rsidP="00B2786E">
      <w:pPr>
        <w:rPr>
          <w:rFonts w:cs="Arial"/>
          <w:b/>
          <w:bCs/>
          <w:color w:val="1D1D1B" w:themeColor="text1"/>
        </w:rPr>
      </w:pPr>
      <w:r>
        <w:rPr>
          <w:rFonts w:cs="Arial"/>
          <w:b/>
          <w:bCs/>
          <w:color w:val="1D1D1B" w:themeColor="text1"/>
        </w:rPr>
        <w:t xml:space="preserve">PROMPT IF NECESSARY: By this we mean putting staff on furlough, accessing a government or local authority grant, experiencing a fall in demand, facing any operational challenges, increase in costs or unexpected business expenses, and/or </w:t>
      </w:r>
      <w:r>
        <w:rPr>
          <w:rFonts w:cs="Arial"/>
          <w:b/>
          <w:bCs/>
          <w:color w:val="1D1D1B" w:themeColor="text1"/>
        </w:rPr>
        <w:lastRenderedPageBreak/>
        <w:t xml:space="preserve">business constraints resulting from social distancing and/or lockdowns. This could also include an unexpected rise in demand </w:t>
      </w:r>
      <w:proofErr w:type="gramStart"/>
      <w:r>
        <w:rPr>
          <w:rFonts w:cs="Arial"/>
          <w:b/>
          <w:bCs/>
          <w:color w:val="1D1D1B" w:themeColor="text1"/>
        </w:rPr>
        <w:t>as a result of</w:t>
      </w:r>
      <w:proofErr w:type="gramEnd"/>
      <w:r>
        <w:rPr>
          <w:rFonts w:cs="Arial"/>
          <w:b/>
          <w:bCs/>
          <w:color w:val="1D1D1B" w:themeColor="text1"/>
        </w:rPr>
        <w:t xml:space="preserve"> the pandemic.</w:t>
      </w:r>
    </w:p>
    <w:p w14:paraId="3916E36A" w14:textId="77777777" w:rsidR="00B2786E" w:rsidRDefault="00B2786E" w:rsidP="00B2786E">
      <w:pPr>
        <w:rPr>
          <w:rFonts w:cs="Arial"/>
          <w:color w:val="FF0000"/>
        </w:rPr>
      </w:pPr>
      <w:r>
        <w:rPr>
          <w:rFonts w:cs="Arial"/>
          <w:color w:val="FF0000"/>
        </w:rPr>
        <w:t>MULTICODE ONLY</w:t>
      </w:r>
    </w:p>
    <w:p w14:paraId="3E1F3EF6" w14:textId="77777777" w:rsidR="00B2786E" w:rsidRPr="006F30CC" w:rsidRDefault="00B2786E" w:rsidP="00B2786E">
      <w:pPr>
        <w:rPr>
          <w:rFonts w:cs="Arial"/>
          <w:color w:val="FF0000"/>
        </w:rPr>
      </w:pPr>
      <w:r>
        <w:rPr>
          <w:color w:val="FF0000"/>
        </w:rPr>
        <w:t>INTERVIEWER IF ANSWER IS NO: PLEASE PROBE FULLY AND EXPLORE ANY ISSUES BUSINESSES MIGHT HAVE FACED. EVEN IF THEY DID NOT NEED FINANCIAL HELP, PUTTING STAFF ON FURLOUGH COUNTS AS AN ISSUE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3577"/>
        <w:gridCol w:w="1126"/>
        <w:gridCol w:w="5441"/>
      </w:tblGrid>
      <w:tr w:rsidR="00B2786E" w14:paraId="58786FA0" w14:textId="77777777">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4FBF3AF5" w14:textId="77777777" w:rsidR="00B2786E" w:rsidRDefault="00B2786E">
            <w:pPr>
              <w:pStyle w:val="responsecodes"/>
              <w:tabs>
                <w:tab w:val="left" w:pos="0"/>
                <w:tab w:val="left" w:leader="dot" w:pos="8280"/>
              </w:tabs>
              <w:spacing w:before="60" w:line="252" w:lineRule="auto"/>
              <w:ind w:left="0"/>
              <w:rPr>
                <w:bCs w:val="0"/>
                <w:color w:val="1D1D1B" w:themeColor="text1"/>
                <w:sz w:val="20"/>
                <w:szCs w:val="20"/>
              </w:rPr>
            </w:pPr>
            <w:r>
              <w:rPr>
                <w:bCs w:val="0"/>
                <w:color w:val="1D1D1B" w:themeColor="text1"/>
                <w:sz w:val="20"/>
                <w:szCs w:val="20"/>
              </w:rPr>
              <w:t>Yes – major challenge(s)</w:t>
            </w:r>
          </w:p>
        </w:tc>
        <w:tc>
          <w:tcPr>
            <w:tcW w:w="555" w:type="pct"/>
            <w:tcBorders>
              <w:top w:val="single" w:sz="4" w:space="0" w:color="auto"/>
              <w:left w:val="single" w:sz="4" w:space="0" w:color="auto"/>
              <w:bottom w:val="single" w:sz="4" w:space="0" w:color="auto"/>
              <w:right w:val="single" w:sz="4" w:space="0" w:color="auto"/>
            </w:tcBorders>
            <w:vAlign w:val="center"/>
            <w:hideMark/>
          </w:tcPr>
          <w:p w14:paraId="7645AFCD" w14:textId="77777777" w:rsidR="00B2786E" w:rsidRDefault="00B2786E">
            <w:pPr>
              <w:spacing w:before="60" w:line="252" w:lineRule="auto"/>
              <w:jc w:val="center"/>
              <w:rPr>
                <w:rFonts w:cs="Arial"/>
                <w:color w:val="1D1D1B" w:themeColor="text1"/>
              </w:rPr>
            </w:pPr>
            <w:r>
              <w:rPr>
                <w:rFonts w:cs="Arial"/>
                <w:color w:val="1D1D1B" w:themeColor="text1"/>
              </w:rPr>
              <w:t>1</w:t>
            </w:r>
          </w:p>
        </w:tc>
        <w:tc>
          <w:tcPr>
            <w:tcW w:w="2682" w:type="pct"/>
            <w:tcBorders>
              <w:top w:val="single" w:sz="4" w:space="0" w:color="auto"/>
              <w:left w:val="single" w:sz="4" w:space="0" w:color="auto"/>
              <w:bottom w:val="single" w:sz="4" w:space="0" w:color="auto"/>
              <w:right w:val="single" w:sz="4" w:space="0" w:color="auto"/>
            </w:tcBorders>
            <w:hideMark/>
          </w:tcPr>
          <w:p w14:paraId="6A7653C4" w14:textId="77777777" w:rsidR="00B2786E" w:rsidRDefault="00B2786E">
            <w:pPr>
              <w:spacing w:before="60" w:line="252" w:lineRule="auto"/>
              <w:ind w:left="120"/>
              <w:rPr>
                <w:rFonts w:cs="Arial"/>
                <w:color w:val="1D1D1B" w:themeColor="text1"/>
              </w:rPr>
            </w:pPr>
            <w:r>
              <w:rPr>
                <w:rFonts w:cs="Arial"/>
                <w:color w:val="FF0000"/>
              </w:rPr>
              <w:t xml:space="preserve">CONTINUE </w:t>
            </w:r>
          </w:p>
        </w:tc>
      </w:tr>
      <w:tr w:rsidR="00B2786E" w14:paraId="3ACE216E" w14:textId="77777777">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1F5F3CC5" w14:textId="77777777" w:rsidR="00B2786E" w:rsidRDefault="00B2786E">
            <w:pPr>
              <w:pStyle w:val="responsecodes"/>
              <w:tabs>
                <w:tab w:val="left" w:pos="0"/>
                <w:tab w:val="left" w:leader="dot" w:pos="8280"/>
              </w:tabs>
              <w:spacing w:before="60" w:line="252" w:lineRule="auto"/>
              <w:ind w:left="0"/>
              <w:rPr>
                <w:bCs w:val="0"/>
                <w:color w:val="1D1D1B" w:themeColor="text1"/>
                <w:sz w:val="20"/>
                <w:szCs w:val="20"/>
              </w:rPr>
            </w:pPr>
            <w:r>
              <w:rPr>
                <w:bCs w:val="0"/>
                <w:color w:val="1D1D1B" w:themeColor="text1"/>
                <w:sz w:val="20"/>
                <w:szCs w:val="20"/>
              </w:rPr>
              <w:t>Yes – major opportunity(</w:t>
            </w:r>
            <w:proofErr w:type="spellStart"/>
            <w:r>
              <w:rPr>
                <w:bCs w:val="0"/>
                <w:color w:val="1D1D1B" w:themeColor="text1"/>
                <w:sz w:val="20"/>
                <w:szCs w:val="20"/>
              </w:rPr>
              <w:t>ies</w:t>
            </w:r>
            <w:proofErr w:type="spellEnd"/>
            <w:r>
              <w:rPr>
                <w:bCs w:val="0"/>
                <w:color w:val="1D1D1B" w:themeColor="text1"/>
                <w:sz w:val="20"/>
                <w:szCs w:val="20"/>
              </w:rPr>
              <w:t>)</w:t>
            </w:r>
          </w:p>
        </w:tc>
        <w:tc>
          <w:tcPr>
            <w:tcW w:w="555" w:type="pct"/>
            <w:tcBorders>
              <w:top w:val="single" w:sz="4" w:space="0" w:color="auto"/>
              <w:left w:val="single" w:sz="4" w:space="0" w:color="auto"/>
              <w:bottom w:val="single" w:sz="4" w:space="0" w:color="auto"/>
              <w:right w:val="single" w:sz="4" w:space="0" w:color="auto"/>
            </w:tcBorders>
            <w:vAlign w:val="center"/>
            <w:hideMark/>
          </w:tcPr>
          <w:p w14:paraId="23AB1DC5" w14:textId="77777777" w:rsidR="00B2786E" w:rsidRDefault="00B2786E">
            <w:pPr>
              <w:spacing w:before="60" w:line="252" w:lineRule="auto"/>
              <w:jc w:val="center"/>
              <w:rPr>
                <w:rFonts w:cs="Arial"/>
                <w:color w:val="1D1D1B" w:themeColor="text1"/>
              </w:rPr>
            </w:pPr>
            <w:r>
              <w:rPr>
                <w:rFonts w:cs="Arial"/>
                <w:color w:val="1D1D1B" w:themeColor="text1"/>
              </w:rPr>
              <w:t>2</w:t>
            </w:r>
          </w:p>
        </w:tc>
        <w:tc>
          <w:tcPr>
            <w:tcW w:w="2682" w:type="pct"/>
            <w:tcBorders>
              <w:top w:val="single" w:sz="4" w:space="0" w:color="auto"/>
              <w:left w:val="single" w:sz="4" w:space="0" w:color="auto"/>
              <w:bottom w:val="single" w:sz="4" w:space="0" w:color="auto"/>
              <w:right w:val="single" w:sz="4" w:space="0" w:color="auto"/>
            </w:tcBorders>
            <w:hideMark/>
          </w:tcPr>
          <w:p w14:paraId="76A1DDFD" w14:textId="77777777" w:rsidR="00B2786E" w:rsidRDefault="00B2786E">
            <w:pPr>
              <w:spacing w:before="60" w:line="252" w:lineRule="auto"/>
              <w:ind w:left="120"/>
              <w:rPr>
                <w:rFonts w:cs="Arial"/>
                <w:color w:val="FF0000"/>
              </w:rPr>
            </w:pPr>
            <w:r>
              <w:rPr>
                <w:rFonts w:cs="Arial"/>
                <w:color w:val="FF0000"/>
              </w:rPr>
              <w:t xml:space="preserve">CONTINUE </w:t>
            </w:r>
          </w:p>
        </w:tc>
      </w:tr>
      <w:tr w:rsidR="00B2786E" w14:paraId="2A62797F" w14:textId="77777777">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10E54FCE" w14:textId="77777777" w:rsidR="00B2786E" w:rsidRDefault="00B2786E">
            <w:pPr>
              <w:pStyle w:val="responsecodes"/>
              <w:tabs>
                <w:tab w:val="left" w:pos="0"/>
                <w:tab w:val="left" w:leader="dot" w:pos="8280"/>
              </w:tabs>
              <w:spacing w:before="60" w:line="252" w:lineRule="auto"/>
              <w:ind w:left="0"/>
              <w:rPr>
                <w:bCs w:val="0"/>
                <w:color w:val="1D1D1B" w:themeColor="text1"/>
                <w:sz w:val="20"/>
                <w:szCs w:val="20"/>
              </w:rPr>
            </w:pPr>
            <w:r>
              <w:rPr>
                <w:bCs w:val="0"/>
                <w:color w:val="1D1D1B" w:themeColor="text1"/>
                <w:sz w:val="20"/>
                <w:szCs w:val="20"/>
              </w:rPr>
              <w:t>Yes – minor challenge(s)</w:t>
            </w:r>
          </w:p>
        </w:tc>
        <w:tc>
          <w:tcPr>
            <w:tcW w:w="555" w:type="pct"/>
            <w:tcBorders>
              <w:top w:val="single" w:sz="4" w:space="0" w:color="auto"/>
              <w:left w:val="single" w:sz="4" w:space="0" w:color="auto"/>
              <w:bottom w:val="single" w:sz="4" w:space="0" w:color="auto"/>
              <w:right w:val="single" w:sz="4" w:space="0" w:color="auto"/>
            </w:tcBorders>
            <w:vAlign w:val="center"/>
            <w:hideMark/>
          </w:tcPr>
          <w:p w14:paraId="48335951" w14:textId="77777777" w:rsidR="00B2786E" w:rsidRDefault="00B2786E">
            <w:pPr>
              <w:spacing w:before="60" w:line="252" w:lineRule="auto"/>
              <w:jc w:val="center"/>
              <w:rPr>
                <w:rFonts w:cs="Arial"/>
                <w:color w:val="1D1D1B" w:themeColor="text1"/>
              </w:rPr>
            </w:pPr>
            <w:r>
              <w:rPr>
                <w:rFonts w:cs="Arial"/>
                <w:color w:val="1D1D1B" w:themeColor="text1"/>
              </w:rPr>
              <w:t>3</w:t>
            </w:r>
          </w:p>
        </w:tc>
        <w:tc>
          <w:tcPr>
            <w:tcW w:w="2682" w:type="pct"/>
            <w:tcBorders>
              <w:top w:val="single" w:sz="4" w:space="0" w:color="auto"/>
              <w:left w:val="single" w:sz="4" w:space="0" w:color="auto"/>
              <w:bottom w:val="single" w:sz="4" w:space="0" w:color="auto"/>
              <w:right w:val="single" w:sz="4" w:space="0" w:color="auto"/>
            </w:tcBorders>
            <w:hideMark/>
          </w:tcPr>
          <w:p w14:paraId="74F65D34" w14:textId="77777777" w:rsidR="00B2786E" w:rsidRDefault="00B2786E">
            <w:pPr>
              <w:spacing w:before="60" w:line="252" w:lineRule="auto"/>
              <w:ind w:left="120"/>
              <w:rPr>
                <w:rFonts w:cs="Arial"/>
                <w:color w:val="FF0000"/>
              </w:rPr>
            </w:pPr>
            <w:r>
              <w:rPr>
                <w:rFonts w:cs="Arial"/>
                <w:color w:val="FF0000"/>
              </w:rPr>
              <w:t xml:space="preserve">CONTINUE </w:t>
            </w:r>
          </w:p>
        </w:tc>
      </w:tr>
      <w:tr w:rsidR="00B2786E" w14:paraId="025A3661" w14:textId="77777777">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1EDBBC4E" w14:textId="77777777" w:rsidR="00B2786E" w:rsidRDefault="00B2786E">
            <w:pPr>
              <w:pStyle w:val="responsecodes"/>
              <w:tabs>
                <w:tab w:val="left" w:pos="0"/>
                <w:tab w:val="left" w:leader="dot" w:pos="8280"/>
              </w:tabs>
              <w:spacing w:before="60" w:line="252" w:lineRule="auto"/>
              <w:ind w:left="0"/>
              <w:rPr>
                <w:bCs w:val="0"/>
                <w:color w:val="1D1D1B" w:themeColor="text1"/>
                <w:sz w:val="20"/>
                <w:szCs w:val="20"/>
              </w:rPr>
            </w:pPr>
            <w:r>
              <w:rPr>
                <w:bCs w:val="0"/>
                <w:color w:val="1D1D1B" w:themeColor="text1"/>
                <w:sz w:val="20"/>
                <w:szCs w:val="20"/>
              </w:rPr>
              <w:t>Yes – minor opportunity(</w:t>
            </w:r>
            <w:proofErr w:type="spellStart"/>
            <w:r>
              <w:rPr>
                <w:bCs w:val="0"/>
                <w:color w:val="1D1D1B" w:themeColor="text1"/>
                <w:sz w:val="20"/>
                <w:szCs w:val="20"/>
              </w:rPr>
              <w:t>ies</w:t>
            </w:r>
            <w:proofErr w:type="spellEnd"/>
            <w:r>
              <w:rPr>
                <w:bCs w:val="0"/>
                <w:color w:val="1D1D1B" w:themeColor="text1"/>
                <w:sz w:val="20"/>
                <w:szCs w:val="20"/>
              </w:rPr>
              <w:t>)</w:t>
            </w:r>
          </w:p>
        </w:tc>
        <w:tc>
          <w:tcPr>
            <w:tcW w:w="555" w:type="pct"/>
            <w:tcBorders>
              <w:top w:val="single" w:sz="4" w:space="0" w:color="auto"/>
              <w:left w:val="single" w:sz="4" w:space="0" w:color="auto"/>
              <w:bottom w:val="single" w:sz="4" w:space="0" w:color="auto"/>
              <w:right w:val="single" w:sz="4" w:space="0" w:color="auto"/>
            </w:tcBorders>
            <w:vAlign w:val="center"/>
            <w:hideMark/>
          </w:tcPr>
          <w:p w14:paraId="6ED3B488" w14:textId="77777777" w:rsidR="00B2786E" w:rsidRDefault="00B2786E">
            <w:pPr>
              <w:spacing w:before="60" w:line="252" w:lineRule="auto"/>
              <w:jc w:val="center"/>
              <w:rPr>
                <w:rFonts w:cs="Arial"/>
                <w:color w:val="1D1D1B" w:themeColor="text1"/>
              </w:rPr>
            </w:pPr>
            <w:r>
              <w:rPr>
                <w:rFonts w:cs="Arial"/>
                <w:color w:val="1D1D1B" w:themeColor="text1"/>
              </w:rPr>
              <w:t>4</w:t>
            </w:r>
          </w:p>
        </w:tc>
        <w:tc>
          <w:tcPr>
            <w:tcW w:w="2682" w:type="pct"/>
            <w:tcBorders>
              <w:top w:val="single" w:sz="4" w:space="0" w:color="auto"/>
              <w:left w:val="single" w:sz="4" w:space="0" w:color="auto"/>
              <w:bottom w:val="single" w:sz="4" w:space="0" w:color="auto"/>
              <w:right w:val="single" w:sz="4" w:space="0" w:color="auto"/>
            </w:tcBorders>
            <w:hideMark/>
          </w:tcPr>
          <w:p w14:paraId="4AC1A816" w14:textId="77777777" w:rsidR="00B2786E" w:rsidRDefault="00B2786E">
            <w:pPr>
              <w:spacing w:before="60" w:line="252" w:lineRule="auto"/>
              <w:ind w:left="120"/>
              <w:rPr>
                <w:rFonts w:cs="Arial"/>
                <w:color w:val="FF0000"/>
              </w:rPr>
            </w:pPr>
            <w:r>
              <w:rPr>
                <w:rFonts w:cs="Arial"/>
                <w:color w:val="FF0000"/>
              </w:rPr>
              <w:t xml:space="preserve">CONTINUE </w:t>
            </w:r>
          </w:p>
        </w:tc>
      </w:tr>
      <w:tr w:rsidR="00B2786E" w14:paraId="6896CCF4" w14:textId="77777777">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59E4C74E" w14:textId="77777777" w:rsidR="00B2786E" w:rsidRDefault="00B2786E">
            <w:pPr>
              <w:pStyle w:val="responsecodes"/>
              <w:tabs>
                <w:tab w:val="left" w:pos="0"/>
                <w:tab w:val="left" w:leader="dot" w:pos="8280"/>
              </w:tabs>
              <w:spacing w:before="60" w:line="252" w:lineRule="auto"/>
              <w:ind w:left="0"/>
              <w:rPr>
                <w:bCs w:val="0"/>
                <w:color w:val="1D1D1B" w:themeColor="text1"/>
                <w:sz w:val="20"/>
                <w:szCs w:val="20"/>
              </w:rPr>
            </w:pPr>
            <w:r>
              <w:rPr>
                <w:bCs w:val="0"/>
                <w:color w:val="1D1D1B" w:themeColor="text1"/>
                <w:sz w:val="20"/>
                <w:szCs w:val="20"/>
              </w:rPr>
              <w:t xml:space="preserve">No </w:t>
            </w:r>
          </w:p>
        </w:tc>
        <w:tc>
          <w:tcPr>
            <w:tcW w:w="555" w:type="pct"/>
            <w:tcBorders>
              <w:top w:val="single" w:sz="4" w:space="0" w:color="auto"/>
              <w:left w:val="single" w:sz="4" w:space="0" w:color="auto"/>
              <w:bottom w:val="single" w:sz="4" w:space="0" w:color="auto"/>
              <w:right w:val="single" w:sz="4" w:space="0" w:color="auto"/>
            </w:tcBorders>
            <w:vAlign w:val="center"/>
            <w:hideMark/>
          </w:tcPr>
          <w:p w14:paraId="38BEF1A7" w14:textId="77777777" w:rsidR="00B2786E" w:rsidRDefault="00B2786E">
            <w:pPr>
              <w:spacing w:before="60" w:line="252" w:lineRule="auto"/>
              <w:jc w:val="center"/>
              <w:rPr>
                <w:rFonts w:cs="Arial"/>
                <w:color w:val="1D1D1B" w:themeColor="text1"/>
              </w:rPr>
            </w:pPr>
            <w:r>
              <w:rPr>
                <w:rFonts w:cs="Arial"/>
                <w:color w:val="1D1D1B" w:themeColor="text1"/>
              </w:rPr>
              <w:t>5</w:t>
            </w:r>
          </w:p>
        </w:tc>
        <w:tc>
          <w:tcPr>
            <w:tcW w:w="2682" w:type="pct"/>
            <w:tcBorders>
              <w:top w:val="single" w:sz="4" w:space="0" w:color="auto"/>
              <w:left w:val="single" w:sz="4" w:space="0" w:color="auto"/>
              <w:bottom w:val="single" w:sz="4" w:space="0" w:color="auto"/>
              <w:right w:val="single" w:sz="4" w:space="0" w:color="auto"/>
            </w:tcBorders>
            <w:hideMark/>
          </w:tcPr>
          <w:p w14:paraId="104956E2" w14:textId="77777777" w:rsidR="00B2786E" w:rsidRDefault="00B2786E">
            <w:pPr>
              <w:spacing w:before="60" w:line="252" w:lineRule="auto"/>
              <w:ind w:left="120"/>
              <w:rPr>
                <w:rFonts w:cs="Arial"/>
                <w:color w:val="1D1D1B" w:themeColor="text1"/>
              </w:rPr>
            </w:pPr>
            <w:r>
              <w:rPr>
                <w:rFonts w:cs="Arial"/>
                <w:color w:val="FF0000"/>
              </w:rPr>
              <w:t>THANK AND CLOSE IF CONTROL GROUP</w:t>
            </w:r>
          </w:p>
        </w:tc>
      </w:tr>
      <w:tr w:rsidR="00B2786E" w14:paraId="6580A06D" w14:textId="77777777">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7C4196F6" w14:textId="77777777" w:rsidR="00B2786E" w:rsidRDefault="00B2786E">
            <w:pPr>
              <w:pStyle w:val="responsecodes"/>
              <w:tabs>
                <w:tab w:val="left" w:pos="0"/>
                <w:tab w:val="left" w:leader="dot" w:pos="8280"/>
              </w:tabs>
              <w:spacing w:before="60" w:line="252" w:lineRule="auto"/>
              <w:ind w:left="0"/>
              <w:rPr>
                <w:bCs w:val="0"/>
                <w:color w:val="1D1D1B" w:themeColor="text1"/>
                <w:sz w:val="20"/>
                <w:szCs w:val="20"/>
              </w:rPr>
            </w:pPr>
            <w:r>
              <w:rPr>
                <w:bCs w:val="0"/>
                <w:color w:val="1D1D1B" w:themeColor="text1"/>
                <w:sz w:val="20"/>
                <w:szCs w:val="20"/>
              </w:rPr>
              <w:t>Don’t know</w:t>
            </w:r>
          </w:p>
        </w:tc>
        <w:tc>
          <w:tcPr>
            <w:tcW w:w="555" w:type="pct"/>
            <w:tcBorders>
              <w:top w:val="single" w:sz="4" w:space="0" w:color="auto"/>
              <w:left w:val="single" w:sz="4" w:space="0" w:color="auto"/>
              <w:bottom w:val="single" w:sz="4" w:space="0" w:color="auto"/>
              <w:right w:val="single" w:sz="4" w:space="0" w:color="auto"/>
            </w:tcBorders>
            <w:vAlign w:val="center"/>
            <w:hideMark/>
          </w:tcPr>
          <w:p w14:paraId="7B4951E7" w14:textId="77777777" w:rsidR="00B2786E" w:rsidRDefault="00B2786E">
            <w:pPr>
              <w:spacing w:before="60" w:line="252" w:lineRule="auto"/>
              <w:jc w:val="center"/>
              <w:rPr>
                <w:rFonts w:cs="Arial"/>
                <w:color w:val="1D1D1B" w:themeColor="text1"/>
              </w:rPr>
            </w:pPr>
            <w:r>
              <w:rPr>
                <w:rFonts w:cs="Arial"/>
                <w:color w:val="1D1D1B" w:themeColor="text1"/>
              </w:rPr>
              <w:t>98</w:t>
            </w:r>
          </w:p>
        </w:tc>
        <w:tc>
          <w:tcPr>
            <w:tcW w:w="2682" w:type="pct"/>
            <w:tcBorders>
              <w:top w:val="single" w:sz="4" w:space="0" w:color="auto"/>
              <w:left w:val="single" w:sz="4" w:space="0" w:color="auto"/>
              <w:bottom w:val="single" w:sz="4" w:space="0" w:color="auto"/>
              <w:right w:val="single" w:sz="4" w:space="0" w:color="auto"/>
            </w:tcBorders>
            <w:hideMark/>
          </w:tcPr>
          <w:p w14:paraId="46D7F28B" w14:textId="77777777" w:rsidR="00B2786E" w:rsidRDefault="00B2786E">
            <w:pPr>
              <w:spacing w:before="60" w:line="252" w:lineRule="auto"/>
              <w:ind w:left="120"/>
              <w:rPr>
                <w:rFonts w:cs="Arial"/>
                <w:color w:val="1D1D1B" w:themeColor="text1"/>
              </w:rPr>
            </w:pPr>
            <w:r>
              <w:rPr>
                <w:rFonts w:cs="Arial"/>
                <w:color w:val="FF0000"/>
              </w:rPr>
              <w:t xml:space="preserve">THANK AND CLOSE IF CONTROL GROUP </w:t>
            </w:r>
          </w:p>
        </w:tc>
      </w:tr>
      <w:bookmarkEnd w:id="226"/>
    </w:tbl>
    <w:p w14:paraId="12975EF3" w14:textId="77777777" w:rsidR="00B2786E" w:rsidRDefault="00B2786E" w:rsidP="00B2786E">
      <w:pPr>
        <w:rPr>
          <w:rFonts w:cs="Arial"/>
          <w:color w:val="1D1D1B" w:themeColor="text1"/>
        </w:rPr>
      </w:pPr>
    </w:p>
    <w:p w14:paraId="54225297" w14:textId="77777777" w:rsidR="00B2786E" w:rsidRDefault="00B2786E" w:rsidP="00B2786E">
      <w:pPr>
        <w:rPr>
          <w:rFonts w:cs="Arial"/>
          <w:color w:val="FF0000"/>
          <w:lang w:eastAsia="en-GB"/>
        </w:rPr>
      </w:pPr>
      <w:r>
        <w:rPr>
          <w:rFonts w:cs="Arial"/>
          <w:color w:val="FF0000"/>
          <w:lang w:eastAsia="en-GB"/>
        </w:rPr>
        <w:t>ASK ALL</w:t>
      </w:r>
    </w:p>
    <w:p w14:paraId="43C73B2E" w14:textId="77777777" w:rsidR="00B2786E" w:rsidRPr="006F30CC" w:rsidRDefault="00B2786E" w:rsidP="00B2786E">
      <w:pPr>
        <w:rPr>
          <w:rFonts w:cs="Arial"/>
          <w:b/>
          <w:bCs/>
        </w:rPr>
      </w:pPr>
      <w:r>
        <w:rPr>
          <w:rFonts w:cs="Arial"/>
          <w:b/>
          <w:bCs/>
          <w:lang w:eastAsia="en-GB"/>
        </w:rPr>
        <w:t xml:space="preserve">S4 </w:t>
      </w:r>
      <w:r>
        <w:rPr>
          <w:rFonts w:cs="Arial"/>
          <w:b/>
          <w:bCs/>
        </w:rPr>
        <w:t>What was the approximate turnover of your business in the latest completed financial year?</w:t>
      </w:r>
    </w:p>
    <w:p w14:paraId="4D3622C3" w14:textId="77777777" w:rsidR="00B2786E" w:rsidRDefault="00B2786E" w:rsidP="00B2786E">
      <w:pPr>
        <w:pStyle w:val="04ABodyText"/>
        <w:spacing w:before="0" w:after="0" w:line="240" w:lineRule="auto"/>
        <w:rPr>
          <w:rFonts w:ascii="Arial" w:hAnsi="Arial"/>
          <w:b/>
          <w:color w:val="F06603" w:themeColor="accent6"/>
        </w:rPr>
      </w:pPr>
      <w:r>
        <w:rPr>
          <w:rFonts w:ascii="Arial" w:hAnsi="Arial"/>
          <w:color w:val="FF0000"/>
        </w:rPr>
        <w:t xml:space="preserve">INTERVIEWER ADD IF NECESSARY / INFO BUTTON ON ONLINE SURVEY: </w:t>
      </w:r>
      <w:r>
        <w:rPr>
          <w:rFonts w:ascii="Arial" w:hAnsi="Arial"/>
          <w:b/>
        </w:rPr>
        <w:t>Turnover is the total income received by the business from all sales of goods and services charged to third parties.</w:t>
      </w:r>
      <w:r>
        <w:rPr>
          <w:rFonts w:ascii="Arial" w:hAnsi="Arial"/>
        </w:rPr>
        <w:t xml:space="preserve">  </w:t>
      </w:r>
      <w:r>
        <w:rPr>
          <w:rFonts w:ascii="Arial" w:hAnsi="Arial"/>
          <w:color w:val="F06603" w:themeColor="accent6"/>
        </w:rPr>
        <w:t>ENTER NUMBER. ALLOW ZERO, DK AND REFUSED</w:t>
      </w:r>
    </w:p>
    <w:p w14:paraId="30E05E85" w14:textId="77777777" w:rsidR="00B2786E" w:rsidRDefault="00B2786E" w:rsidP="00B2786E">
      <w:pPr>
        <w:rPr>
          <w:rFonts w:cs="Arial"/>
          <w:color w:val="F06603" w:themeColor="accent6"/>
        </w:rPr>
      </w:pPr>
      <w:r>
        <w:rPr>
          <w:rFonts w:cs="Arial"/>
          <w:color w:val="F06603" w:themeColor="accent6"/>
        </w:rPr>
        <w:t>DATASHEET</w:t>
      </w:r>
    </w:p>
    <w:p w14:paraId="2A96D954" w14:textId="77777777" w:rsidR="00B2786E" w:rsidRDefault="00B2786E" w:rsidP="00B2786E">
      <w:pPr>
        <w:rPr>
          <w:rFonts w:cs="Arial"/>
          <w:color w:val="F06603" w:themeColor="accent6"/>
        </w:rPr>
      </w:pPr>
      <w:r>
        <w:rPr>
          <w:rFonts w:cs="Arial"/>
          <w:color w:val="F06603" w:themeColor="accent6"/>
        </w:rPr>
        <w:t>TYPE IN AMOUNT IN £</w:t>
      </w:r>
    </w:p>
    <w:p w14:paraId="781C2A27" w14:textId="77777777" w:rsidR="00B2786E" w:rsidRDefault="00B2786E" w:rsidP="00B2786E">
      <w:pPr>
        <w:rPr>
          <w:rFonts w:cs="Arial"/>
          <w:color w:val="F06603" w:themeColor="accent6"/>
          <w:lang w:eastAsia="en-GB"/>
        </w:rPr>
      </w:pPr>
      <w:r>
        <w:rPr>
          <w:rFonts w:cs="Arial"/>
          <w:color w:val="FF0000"/>
          <w:lang w:eastAsia="en-GB"/>
        </w:rPr>
        <w:t>ALLOWED RANGE 0-999,999,999</w:t>
      </w:r>
    </w:p>
    <w:p w14:paraId="6B8A14AC" w14:textId="77777777" w:rsidR="00B2786E" w:rsidRDefault="00B2786E" w:rsidP="00B2786E">
      <w:pPr>
        <w:rPr>
          <w:rFonts w:cs="Arial"/>
          <w:color w:val="F06603" w:themeColor="accent6"/>
          <w:lang w:eastAsia="en-GB"/>
        </w:rPr>
      </w:pPr>
      <w:r>
        <w:rPr>
          <w:rFonts w:cs="Arial"/>
          <w:color w:val="F06603" w:themeColor="accent6"/>
          <w:lang w:eastAsia="en-GB"/>
        </w:rPr>
        <w:t>INTERVIEWER NOTE: PLEASE READ BACK FIGURE TO RESPONDENT AND DOUBLE CHECK CORRECT NUMBER OF ZEROS</w:t>
      </w:r>
    </w:p>
    <w:p w14:paraId="2B480A17" w14:textId="77777777" w:rsidR="00B2786E" w:rsidRPr="006F30CC" w:rsidRDefault="00B2786E" w:rsidP="00B2786E">
      <w:pPr>
        <w:rPr>
          <w:rFonts w:cs="Arial"/>
          <w:color w:val="F06603" w:themeColor="accent6"/>
          <w:lang w:eastAsia="en-GB"/>
        </w:rPr>
      </w:pPr>
      <w:r>
        <w:rPr>
          <w:rFonts w:cs="Arial"/>
          <w:color w:val="F06603" w:themeColor="accent6"/>
          <w:lang w:eastAsia="en-GB"/>
        </w:rPr>
        <w:t>IF RESPONDENT IS UNSURE ASK THEM TO GIVE A BEST ESTIMATE</w:t>
      </w:r>
      <w:r>
        <w:rPr>
          <w:rFonts w:cs="Arial"/>
          <w:lang w:eastAsia="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4"/>
      </w:tblGrid>
      <w:tr w:rsidR="00B2786E" w14:paraId="786871CE" w14:textId="77777777">
        <w:trPr>
          <w:trHeight w:val="728"/>
        </w:trPr>
        <w:tc>
          <w:tcPr>
            <w:tcW w:w="5000" w:type="pct"/>
            <w:tcBorders>
              <w:top w:val="single" w:sz="4" w:space="0" w:color="auto"/>
              <w:left w:val="single" w:sz="4" w:space="0" w:color="auto"/>
              <w:bottom w:val="single" w:sz="4" w:space="0" w:color="auto"/>
              <w:right w:val="single" w:sz="4" w:space="0" w:color="auto"/>
            </w:tcBorders>
            <w:vAlign w:val="center"/>
            <w:hideMark/>
          </w:tcPr>
          <w:p w14:paraId="05B7D4B9" w14:textId="77777777" w:rsidR="00B2786E" w:rsidRDefault="00B2786E" w:rsidP="00A416C5">
            <w:pPr>
              <w:rPr>
                <w:lang w:eastAsia="en-GB"/>
              </w:rPr>
            </w:pPr>
            <w:r>
              <w:rPr>
                <w:lang w:eastAsia="en-GB"/>
              </w:rPr>
              <w:lastRenderedPageBreak/>
              <w:t>£</w:t>
            </w:r>
          </w:p>
        </w:tc>
      </w:tr>
    </w:tbl>
    <w:p w14:paraId="59E2D94E" w14:textId="77777777" w:rsidR="00B2786E" w:rsidRDefault="00B2786E" w:rsidP="00B2786E">
      <w:pPr>
        <w:rPr>
          <w:rFonts w:cs="Arial"/>
          <w:sz w:val="22"/>
          <w:lang w:eastAsia="en-GB"/>
        </w:rPr>
      </w:pPr>
    </w:p>
    <w:p w14:paraId="6EB76DB5" w14:textId="77777777" w:rsidR="00B2786E" w:rsidRDefault="00B2786E" w:rsidP="00A416C5">
      <w:pPr>
        <w:rPr>
          <w:lang w:eastAsia="en-GB"/>
        </w:rPr>
      </w:pPr>
      <w:r>
        <w:rPr>
          <w:lang w:eastAsia="en-GB"/>
        </w:rPr>
        <w:t>Don’t know</w:t>
      </w:r>
      <w:r>
        <w:rPr>
          <w:lang w:eastAsia="en-GB"/>
        </w:rPr>
        <w:tab/>
        <w:t xml:space="preserve">98 </w:t>
      </w:r>
    </w:p>
    <w:p w14:paraId="0DF8B9EF" w14:textId="77777777" w:rsidR="00B2786E" w:rsidRDefault="00B2786E" w:rsidP="00A416C5">
      <w:r>
        <w:rPr>
          <w:lang w:eastAsia="en-GB"/>
        </w:rPr>
        <w:t>Refused</w:t>
      </w:r>
      <w:r>
        <w:rPr>
          <w:lang w:eastAsia="en-GB"/>
        </w:rPr>
        <w:tab/>
        <w:t>99</w:t>
      </w:r>
    </w:p>
    <w:p w14:paraId="1A01BEFF" w14:textId="77777777" w:rsidR="00B2786E" w:rsidRDefault="00B2786E" w:rsidP="00B2786E">
      <w:pPr>
        <w:rPr>
          <w:rFonts w:cs="Arial"/>
          <w:color w:val="FF0000"/>
        </w:rPr>
      </w:pPr>
      <w:r>
        <w:rPr>
          <w:rFonts w:cs="Arial"/>
          <w:color w:val="FF0000"/>
          <w:lang w:eastAsia="en-GB"/>
        </w:rPr>
        <w:t>IF CONTROL OR FRESHCONTROL GROUP: THANK AND CLOSE IF TURNOVER IS UNDER £8,000</w:t>
      </w:r>
    </w:p>
    <w:p w14:paraId="500906D1" w14:textId="77777777" w:rsidR="00B2786E" w:rsidRPr="006F30CC" w:rsidRDefault="00B2786E" w:rsidP="00B2786E">
      <w:pPr>
        <w:rPr>
          <w:rFonts w:cs="Arial"/>
          <w:color w:val="F06603" w:themeColor="accent6"/>
          <w:lang w:eastAsia="en-GB"/>
        </w:rPr>
      </w:pPr>
      <w:r>
        <w:rPr>
          <w:rFonts w:cs="Arial"/>
          <w:color w:val="FF0000"/>
        </w:rPr>
        <w:t>ASK IF DON’T KNOW TURNOVER (98) AT S4</w:t>
      </w:r>
    </w:p>
    <w:p w14:paraId="05575306" w14:textId="77777777" w:rsidR="00B2786E" w:rsidRDefault="00B2786E" w:rsidP="00B2786E">
      <w:pPr>
        <w:rPr>
          <w:rFonts w:cs="Arial"/>
        </w:rPr>
      </w:pPr>
      <w:r>
        <w:rPr>
          <w:rFonts w:cs="Arial"/>
          <w:b/>
          <w:bCs/>
        </w:rPr>
        <w:t xml:space="preserve">S5 </w:t>
      </w:r>
      <w:proofErr w:type="spellStart"/>
      <w:r>
        <w:rPr>
          <w:rFonts w:cs="Arial"/>
          <w:b/>
          <w:bCs/>
        </w:rPr>
        <w:t>AAWould</w:t>
      </w:r>
      <w:proofErr w:type="spellEnd"/>
      <w:r>
        <w:rPr>
          <w:rFonts w:cs="Arial"/>
          <w:b/>
          <w:bCs/>
        </w:rPr>
        <w:t xml:space="preserve"> it </w:t>
      </w:r>
      <w:proofErr w:type="gramStart"/>
      <w:r>
        <w:rPr>
          <w:rFonts w:cs="Arial"/>
          <w:b/>
          <w:bCs/>
        </w:rPr>
        <w:t>have</w:t>
      </w:r>
      <w:proofErr w:type="gramEnd"/>
      <w:r>
        <w:rPr>
          <w:rFonts w:cs="Arial"/>
          <w:b/>
          <w:bCs/>
        </w:rPr>
        <w:t xml:space="preserve"> been…?</w:t>
      </w:r>
      <w:r>
        <w:rPr>
          <w:rFonts w:cs="Arial"/>
        </w:rPr>
        <w:t xml:space="preserve"> </w:t>
      </w:r>
      <w:r>
        <w:rPr>
          <w:rFonts w:cs="Arial"/>
          <w:color w:val="F06603" w:themeColor="accent6"/>
          <w:lang w:eastAsia="en-GB"/>
        </w:rPr>
        <w:t xml:space="preserve">READ OUT UNTIL GET AN ANSWER. </w:t>
      </w:r>
      <w:r>
        <w:rPr>
          <w:rFonts w:cs="Arial"/>
          <w:color w:val="FF0000"/>
          <w:lang w:eastAsia="en-GB"/>
        </w:rPr>
        <w:t>SINGLE CODE ONLY</w:t>
      </w:r>
      <w:r>
        <w:rPr>
          <w:rFonts w:cs="Arial"/>
          <w:color w:val="FF0000"/>
        </w:rPr>
        <w:t xml:space="preserve">  </w:t>
      </w:r>
    </w:p>
    <w:p w14:paraId="0218D185" w14:textId="77777777" w:rsidR="00B2786E" w:rsidRDefault="00B2786E" w:rsidP="00B2786E">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6533"/>
        <w:gridCol w:w="3611"/>
      </w:tblGrid>
      <w:tr w:rsidR="00B2786E" w14:paraId="4BDC9633"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0D2A819C" w14:textId="77777777" w:rsidR="00B2786E" w:rsidRDefault="00B2786E">
            <w:pPr>
              <w:spacing w:before="60"/>
              <w:rPr>
                <w:rFonts w:cs="Arial"/>
                <w:color w:val="1D1D1B" w:themeColor="text1"/>
              </w:rPr>
            </w:pPr>
            <w:r>
              <w:rPr>
                <w:rFonts w:cs="Arial"/>
                <w:color w:val="1D1D1B" w:themeColor="text1"/>
              </w:rPr>
              <w:t>Less than £8,000</w:t>
            </w:r>
          </w:p>
        </w:tc>
        <w:tc>
          <w:tcPr>
            <w:tcW w:w="1780" w:type="pct"/>
            <w:tcBorders>
              <w:top w:val="single" w:sz="4" w:space="0" w:color="auto"/>
              <w:left w:val="single" w:sz="4" w:space="0" w:color="auto"/>
              <w:bottom w:val="single" w:sz="4" w:space="0" w:color="auto"/>
              <w:right w:val="single" w:sz="4" w:space="0" w:color="auto"/>
            </w:tcBorders>
            <w:vAlign w:val="center"/>
            <w:hideMark/>
          </w:tcPr>
          <w:p w14:paraId="32BAEA2F" w14:textId="77777777" w:rsidR="00B2786E" w:rsidRDefault="00B2786E">
            <w:pPr>
              <w:spacing w:before="60"/>
              <w:jc w:val="center"/>
              <w:rPr>
                <w:rFonts w:cs="Arial"/>
                <w:color w:val="1D1D1B" w:themeColor="text1"/>
              </w:rPr>
            </w:pPr>
            <w:r>
              <w:rPr>
                <w:rFonts w:cs="Arial"/>
                <w:color w:val="1D1D1B" w:themeColor="text1"/>
              </w:rPr>
              <w:t>SCREEN OUT IF CONTROL GROUP, CONTINUE IF RECIPIENT</w:t>
            </w:r>
          </w:p>
          <w:p w14:paraId="47B6D37F" w14:textId="77777777" w:rsidR="00B2786E" w:rsidRDefault="00B2786E">
            <w:pPr>
              <w:spacing w:before="60"/>
              <w:jc w:val="center"/>
              <w:rPr>
                <w:rFonts w:cs="Arial"/>
                <w:color w:val="1D1D1B" w:themeColor="text1"/>
              </w:rPr>
            </w:pPr>
            <w:r>
              <w:rPr>
                <w:rFonts w:cs="Arial"/>
                <w:color w:val="1D1D1B" w:themeColor="text1"/>
              </w:rPr>
              <w:t>1</w:t>
            </w:r>
          </w:p>
        </w:tc>
      </w:tr>
      <w:tr w:rsidR="00B2786E" w14:paraId="09874F54"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687B09A0" w14:textId="77777777" w:rsidR="00B2786E" w:rsidRDefault="00B2786E">
            <w:pPr>
              <w:spacing w:before="60"/>
              <w:rPr>
                <w:rFonts w:cs="Arial"/>
                <w:color w:val="1D1D1B" w:themeColor="text1"/>
              </w:rPr>
            </w:pPr>
            <w:r>
              <w:rPr>
                <w:rFonts w:cs="Arial"/>
                <w:color w:val="1D1D1B" w:themeColor="text1"/>
              </w:rPr>
              <w:t>£8,000 or more, but below £50,000</w:t>
            </w:r>
          </w:p>
        </w:tc>
        <w:tc>
          <w:tcPr>
            <w:tcW w:w="1780" w:type="pct"/>
            <w:tcBorders>
              <w:top w:val="single" w:sz="4" w:space="0" w:color="auto"/>
              <w:left w:val="single" w:sz="4" w:space="0" w:color="auto"/>
              <w:bottom w:val="single" w:sz="4" w:space="0" w:color="auto"/>
              <w:right w:val="single" w:sz="4" w:space="0" w:color="auto"/>
            </w:tcBorders>
            <w:vAlign w:val="center"/>
            <w:hideMark/>
          </w:tcPr>
          <w:p w14:paraId="532D3CEE" w14:textId="77777777" w:rsidR="00B2786E" w:rsidRDefault="00B2786E">
            <w:pPr>
              <w:spacing w:before="60"/>
              <w:jc w:val="center"/>
              <w:rPr>
                <w:rFonts w:cs="Arial"/>
                <w:color w:val="1D1D1B" w:themeColor="text1"/>
              </w:rPr>
            </w:pPr>
            <w:r>
              <w:rPr>
                <w:rFonts w:cs="Arial"/>
                <w:color w:val="1D1D1B" w:themeColor="text1"/>
              </w:rPr>
              <w:t>2</w:t>
            </w:r>
          </w:p>
        </w:tc>
      </w:tr>
      <w:tr w:rsidR="00B2786E" w14:paraId="5D24E277"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26FB0D54" w14:textId="77777777" w:rsidR="00B2786E" w:rsidRDefault="00B2786E">
            <w:pPr>
              <w:spacing w:before="60"/>
              <w:rPr>
                <w:rFonts w:cs="Arial"/>
                <w:color w:val="1D1D1B" w:themeColor="text1"/>
              </w:rPr>
            </w:pPr>
            <w:r>
              <w:rPr>
                <w:rFonts w:cs="Arial"/>
                <w:color w:val="1D1D1B" w:themeColor="text1"/>
              </w:rPr>
              <w:t>Less than £50,000</w:t>
            </w:r>
          </w:p>
        </w:tc>
        <w:tc>
          <w:tcPr>
            <w:tcW w:w="1780" w:type="pct"/>
            <w:tcBorders>
              <w:top w:val="single" w:sz="4" w:space="0" w:color="auto"/>
              <w:left w:val="single" w:sz="4" w:space="0" w:color="auto"/>
              <w:bottom w:val="single" w:sz="4" w:space="0" w:color="auto"/>
              <w:right w:val="single" w:sz="4" w:space="0" w:color="auto"/>
            </w:tcBorders>
            <w:vAlign w:val="center"/>
            <w:hideMark/>
          </w:tcPr>
          <w:p w14:paraId="083B11C2" w14:textId="77777777" w:rsidR="00B2786E" w:rsidRDefault="00B2786E">
            <w:pPr>
              <w:spacing w:before="60"/>
              <w:jc w:val="center"/>
              <w:rPr>
                <w:rFonts w:cs="Arial"/>
                <w:color w:val="1D1D1B" w:themeColor="text1"/>
              </w:rPr>
            </w:pPr>
            <w:r>
              <w:rPr>
                <w:rFonts w:cs="Arial"/>
                <w:color w:val="1D1D1B" w:themeColor="text1"/>
              </w:rPr>
              <w:t>3</w:t>
            </w:r>
          </w:p>
        </w:tc>
      </w:tr>
      <w:tr w:rsidR="00B2786E" w14:paraId="5F3BADD5"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6B10E8C3" w14:textId="77777777" w:rsidR="00B2786E" w:rsidRDefault="00B2786E">
            <w:pPr>
              <w:spacing w:before="60"/>
              <w:rPr>
                <w:rFonts w:cs="Arial"/>
                <w:color w:val="1D1D1B" w:themeColor="text1"/>
              </w:rPr>
            </w:pPr>
            <w:r>
              <w:rPr>
                <w:rFonts w:cs="Arial"/>
                <w:color w:val="1D1D1B" w:themeColor="text1"/>
              </w:rPr>
              <w:t>£50,000 or more, but below £100,000</w:t>
            </w:r>
          </w:p>
        </w:tc>
        <w:tc>
          <w:tcPr>
            <w:tcW w:w="1780" w:type="pct"/>
            <w:tcBorders>
              <w:top w:val="single" w:sz="4" w:space="0" w:color="auto"/>
              <w:left w:val="single" w:sz="4" w:space="0" w:color="auto"/>
              <w:bottom w:val="single" w:sz="4" w:space="0" w:color="auto"/>
              <w:right w:val="single" w:sz="4" w:space="0" w:color="auto"/>
            </w:tcBorders>
            <w:vAlign w:val="center"/>
            <w:hideMark/>
          </w:tcPr>
          <w:p w14:paraId="02BE7283" w14:textId="77777777" w:rsidR="00B2786E" w:rsidRDefault="00B2786E">
            <w:pPr>
              <w:spacing w:before="60"/>
              <w:jc w:val="center"/>
              <w:rPr>
                <w:rFonts w:cs="Arial"/>
                <w:color w:val="1D1D1B" w:themeColor="text1"/>
              </w:rPr>
            </w:pPr>
            <w:r>
              <w:rPr>
                <w:rFonts w:cs="Arial"/>
                <w:color w:val="1D1D1B" w:themeColor="text1"/>
              </w:rPr>
              <w:t>4</w:t>
            </w:r>
          </w:p>
        </w:tc>
      </w:tr>
      <w:tr w:rsidR="00B2786E" w14:paraId="3382A898"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0F889E99" w14:textId="77777777" w:rsidR="00B2786E" w:rsidRDefault="00B2786E">
            <w:pPr>
              <w:spacing w:before="60"/>
              <w:rPr>
                <w:rFonts w:cs="Arial"/>
                <w:color w:val="1D1D1B" w:themeColor="text1"/>
              </w:rPr>
            </w:pPr>
            <w:r>
              <w:rPr>
                <w:rFonts w:cs="Arial"/>
                <w:color w:val="1D1D1B" w:themeColor="text1"/>
              </w:rPr>
              <w:t>£100,000 or more, but below £250,000</w:t>
            </w:r>
          </w:p>
        </w:tc>
        <w:tc>
          <w:tcPr>
            <w:tcW w:w="1780" w:type="pct"/>
            <w:tcBorders>
              <w:top w:val="single" w:sz="4" w:space="0" w:color="auto"/>
              <w:left w:val="single" w:sz="4" w:space="0" w:color="auto"/>
              <w:bottom w:val="single" w:sz="4" w:space="0" w:color="auto"/>
              <w:right w:val="single" w:sz="4" w:space="0" w:color="auto"/>
            </w:tcBorders>
            <w:vAlign w:val="center"/>
            <w:hideMark/>
          </w:tcPr>
          <w:p w14:paraId="07391260" w14:textId="77777777" w:rsidR="00B2786E" w:rsidRDefault="00B2786E">
            <w:pPr>
              <w:spacing w:before="60"/>
              <w:jc w:val="center"/>
              <w:rPr>
                <w:rFonts w:cs="Arial"/>
                <w:color w:val="1D1D1B" w:themeColor="text1"/>
              </w:rPr>
            </w:pPr>
            <w:r>
              <w:rPr>
                <w:rFonts w:cs="Arial"/>
                <w:color w:val="1D1D1B" w:themeColor="text1"/>
              </w:rPr>
              <w:t>5</w:t>
            </w:r>
          </w:p>
        </w:tc>
      </w:tr>
      <w:tr w:rsidR="00B2786E" w14:paraId="31F923AA"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368AA024" w14:textId="77777777" w:rsidR="00B2786E" w:rsidRDefault="00B2786E">
            <w:pPr>
              <w:spacing w:before="60"/>
              <w:rPr>
                <w:rFonts w:cs="Arial"/>
                <w:color w:val="1D1D1B" w:themeColor="text1"/>
              </w:rPr>
            </w:pPr>
            <w:r>
              <w:rPr>
                <w:rFonts w:cs="Arial"/>
                <w:color w:val="1D1D1B" w:themeColor="text1"/>
              </w:rPr>
              <w:t>£250,000 or more, but below £500,000</w:t>
            </w:r>
          </w:p>
        </w:tc>
        <w:tc>
          <w:tcPr>
            <w:tcW w:w="1780" w:type="pct"/>
            <w:tcBorders>
              <w:top w:val="single" w:sz="4" w:space="0" w:color="auto"/>
              <w:left w:val="single" w:sz="4" w:space="0" w:color="auto"/>
              <w:bottom w:val="single" w:sz="4" w:space="0" w:color="auto"/>
              <w:right w:val="single" w:sz="4" w:space="0" w:color="auto"/>
            </w:tcBorders>
            <w:vAlign w:val="center"/>
            <w:hideMark/>
          </w:tcPr>
          <w:p w14:paraId="7F2E6582" w14:textId="77777777" w:rsidR="00B2786E" w:rsidRDefault="00B2786E">
            <w:pPr>
              <w:spacing w:before="60"/>
              <w:jc w:val="center"/>
              <w:rPr>
                <w:rFonts w:cs="Arial"/>
                <w:color w:val="1D1D1B" w:themeColor="text1"/>
              </w:rPr>
            </w:pPr>
            <w:r>
              <w:rPr>
                <w:rFonts w:cs="Arial"/>
                <w:color w:val="1D1D1B" w:themeColor="text1"/>
              </w:rPr>
              <w:t>6</w:t>
            </w:r>
          </w:p>
        </w:tc>
      </w:tr>
      <w:tr w:rsidR="00B2786E" w14:paraId="1C1735CF"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3DD9F8EA" w14:textId="77777777" w:rsidR="00B2786E" w:rsidRDefault="00B2786E">
            <w:pPr>
              <w:spacing w:before="60"/>
              <w:rPr>
                <w:rFonts w:cs="Arial"/>
                <w:color w:val="1D1D1B" w:themeColor="text1"/>
              </w:rPr>
            </w:pPr>
            <w:r>
              <w:rPr>
                <w:rFonts w:cs="Arial"/>
                <w:color w:val="1D1D1B" w:themeColor="text1"/>
              </w:rPr>
              <w:t>£500,000 or more, but below £1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6E2EFFC6" w14:textId="77777777" w:rsidR="00B2786E" w:rsidRDefault="00B2786E">
            <w:pPr>
              <w:spacing w:before="60"/>
              <w:jc w:val="center"/>
              <w:rPr>
                <w:rFonts w:cs="Arial"/>
                <w:color w:val="1D1D1B" w:themeColor="text1"/>
              </w:rPr>
            </w:pPr>
            <w:r>
              <w:rPr>
                <w:rFonts w:cs="Arial"/>
                <w:color w:val="1D1D1B" w:themeColor="text1"/>
              </w:rPr>
              <w:t>7</w:t>
            </w:r>
          </w:p>
        </w:tc>
      </w:tr>
      <w:tr w:rsidR="00B2786E" w14:paraId="7CFEDC9E"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417808D0" w14:textId="77777777" w:rsidR="00B2786E" w:rsidRDefault="00B2786E">
            <w:pPr>
              <w:spacing w:before="60"/>
              <w:rPr>
                <w:rFonts w:cs="Arial"/>
                <w:color w:val="1D1D1B" w:themeColor="text1"/>
              </w:rPr>
            </w:pPr>
            <w:r>
              <w:rPr>
                <w:rFonts w:cs="Arial"/>
                <w:color w:val="1D1D1B" w:themeColor="text1"/>
              </w:rPr>
              <w:t>£1 million or more, but below £5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34F6D966" w14:textId="77777777" w:rsidR="00B2786E" w:rsidRDefault="00B2786E">
            <w:pPr>
              <w:spacing w:before="60"/>
              <w:jc w:val="center"/>
              <w:rPr>
                <w:rFonts w:cs="Arial"/>
                <w:color w:val="1D1D1B" w:themeColor="text1"/>
              </w:rPr>
            </w:pPr>
            <w:r>
              <w:rPr>
                <w:rFonts w:cs="Arial"/>
                <w:color w:val="1D1D1B" w:themeColor="text1"/>
              </w:rPr>
              <w:t>8</w:t>
            </w:r>
          </w:p>
        </w:tc>
      </w:tr>
      <w:tr w:rsidR="00B2786E" w14:paraId="5615B102"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58628CF0" w14:textId="77777777" w:rsidR="00B2786E" w:rsidRDefault="00B2786E">
            <w:pPr>
              <w:spacing w:before="60"/>
              <w:rPr>
                <w:rFonts w:cs="Arial"/>
                <w:color w:val="1D1D1B" w:themeColor="text1"/>
              </w:rPr>
            </w:pPr>
            <w:r>
              <w:rPr>
                <w:rFonts w:cs="Arial"/>
                <w:color w:val="1D1D1B" w:themeColor="text1"/>
              </w:rPr>
              <w:t>£5 million or more, but below £10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57C5B09F" w14:textId="77777777" w:rsidR="00B2786E" w:rsidRDefault="00B2786E">
            <w:pPr>
              <w:spacing w:before="60"/>
              <w:jc w:val="center"/>
              <w:rPr>
                <w:rFonts w:cs="Arial"/>
                <w:color w:val="1D1D1B" w:themeColor="text1"/>
              </w:rPr>
            </w:pPr>
            <w:r>
              <w:rPr>
                <w:rFonts w:cs="Arial"/>
                <w:color w:val="1D1D1B" w:themeColor="text1"/>
              </w:rPr>
              <w:t>9</w:t>
            </w:r>
          </w:p>
        </w:tc>
      </w:tr>
      <w:tr w:rsidR="00B2786E" w14:paraId="5BDCC420"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19346D20" w14:textId="77777777" w:rsidR="00B2786E" w:rsidRDefault="00B2786E">
            <w:pPr>
              <w:spacing w:before="60"/>
              <w:rPr>
                <w:rFonts w:cs="Arial"/>
                <w:color w:val="1D1D1B" w:themeColor="text1"/>
              </w:rPr>
            </w:pPr>
            <w:r>
              <w:rPr>
                <w:rFonts w:cs="Arial"/>
                <w:color w:val="1D1D1B" w:themeColor="text1"/>
              </w:rPr>
              <w:lastRenderedPageBreak/>
              <w:t>£10 million or more, but below £25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0B4B1E79" w14:textId="77777777" w:rsidR="00B2786E" w:rsidRDefault="00B2786E">
            <w:pPr>
              <w:spacing w:before="60"/>
              <w:jc w:val="center"/>
              <w:rPr>
                <w:rFonts w:cs="Arial"/>
                <w:color w:val="1D1D1B" w:themeColor="text1"/>
              </w:rPr>
            </w:pPr>
            <w:r>
              <w:rPr>
                <w:rFonts w:cs="Arial"/>
                <w:color w:val="1D1D1B" w:themeColor="text1"/>
              </w:rPr>
              <w:t>10</w:t>
            </w:r>
          </w:p>
        </w:tc>
      </w:tr>
      <w:tr w:rsidR="00B2786E" w14:paraId="42FCF44A"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3F5CD3FF" w14:textId="77777777" w:rsidR="00B2786E" w:rsidRDefault="00B2786E">
            <w:pPr>
              <w:spacing w:before="60"/>
              <w:rPr>
                <w:rFonts w:cs="Arial"/>
                <w:color w:val="1D1D1B" w:themeColor="text1"/>
              </w:rPr>
            </w:pPr>
            <w:r>
              <w:rPr>
                <w:rFonts w:cs="Arial"/>
                <w:color w:val="1D1D1B" w:themeColor="text1"/>
              </w:rPr>
              <w:t>£25 million or more, but below £45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673DA557" w14:textId="77777777" w:rsidR="00B2786E" w:rsidRDefault="00B2786E">
            <w:pPr>
              <w:spacing w:before="60"/>
              <w:jc w:val="center"/>
              <w:rPr>
                <w:rFonts w:cs="Arial"/>
                <w:color w:val="1D1D1B" w:themeColor="text1"/>
              </w:rPr>
            </w:pPr>
            <w:r>
              <w:rPr>
                <w:rFonts w:cs="Arial"/>
                <w:color w:val="1D1D1B" w:themeColor="text1"/>
              </w:rPr>
              <w:t>11</w:t>
            </w:r>
          </w:p>
        </w:tc>
      </w:tr>
      <w:tr w:rsidR="00B2786E" w14:paraId="16BD9828"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7D34941E" w14:textId="77777777" w:rsidR="00B2786E" w:rsidRDefault="00B2786E">
            <w:pPr>
              <w:spacing w:before="60"/>
              <w:rPr>
                <w:rFonts w:cs="Arial"/>
                <w:color w:val="1D1D1B" w:themeColor="text1"/>
              </w:rPr>
            </w:pPr>
            <w:r>
              <w:rPr>
                <w:rFonts w:cs="Arial"/>
                <w:color w:val="1D1D1B" w:themeColor="text1"/>
              </w:rPr>
              <w:t>£45 million or more, but below £100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65234FE9" w14:textId="77777777" w:rsidR="00B2786E" w:rsidRDefault="00B2786E">
            <w:pPr>
              <w:spacing w:before="60"/>
              <w:jc w:val="center"/>
              <w:rPr>
                <w:rFonts w:cs="Arial"/>
                <w:color w:val="1D1D1B" w:themeColor="text1"/>
              </w:rPr>
            </w:pPr>
            <w:r>
              <w:rPr>
                <w:rFonts w:cs="Arial"/>
                <w:color w:val="1D1D1B" w:themeColor="text1"/>
              </w:rPr>
              <w:t>12</w:t>
            </w:r>
          </w:p>
        </w:tc>
      </w:tr>
      <w:tr w:rsidR="00B2786E" w14:paraId="3666096E"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0282E956" w14:textId="77777777" w:rsidR="00B2786E" w:rsidRDefault="00B2786E">
            <w:pPr>
              <w:spacing w:before="60"/>
              <w:rPr>
                <w:rFonts w:cs="Arial"/>
                <w:color w:val="1D1D1B" w:themeColor="text1"/>
              </w:rPr>
            </w:pPr>
            <w:r>
              <w:rPr>
                <w:rFonts w:cs="Arial"/>
                <w:color w:val="1D1D1B" w:themeColor="text1"/>
              </w:rPr>
              <w:t>£100 million or more, not more than £500m</w:t>
            </w:r>
          </w:p>
        </w:tc>
        <w:tc>
          <w:tcPr>
            <w:tcW w:w="1780" w:type="pct"/>
            <w:tcBorders>
              <w:top w:val="single" w:sz="4" w:space="0" w:color="auto"/>
              <w:left w:val="single" w:sz="4" w:space="0" w:color="auto"/>
              <w:bottom w:val="single" w:sz="4" w:space="0" w:color="auto"/>
              <w:right w:val="single" w:sz="4" w:space="0" w:color="auto"/>
            </w:tcBorders>
            <w:vAlign w:val="center"/>
            <w:hideMark/>
          </w:tcPr>
          <w:p w14:paraId="733E418F" w14:textId="77777777" w:rsidR="00B2786E" w:rsidRDefault="00B2786E">
            <w:pPr>
              <w:spacing w:before="60"/>
              <w:jc w:val="center"/>
              <w:rPr>
                <w:rFonts w:cs="Arial"/>
                <w:color w:val="1D1D1B" w:themeColor="text1"/>
              </w:rPr>
            </w:pPr>
            <w:r>
              <w:rPr>
                <w:rFonts w:cs="Arial"/>
                <w:color w:val="1D1D1B" w:themeColor="text1"/>
              </w:rPr>
              <w:t>13</w:t>
            </w:r>
          </w:p>
        </w:tc>
      </w:tr>
      <w:tr w:rsidR="00B2786E" w14:paraId="04E31D07"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0384A2E5" w14:textId="77777777" w:rsidR="00B2786E" w:rsidRDefault="00B2786E">
            <w:pPr>
              <w:spacing w:before="60"/>
              <w:rPr>
                <w:rFonts w:cs="Arial"/>
                <w:color w:val="1D1D1B" w:themeColor="text1"/>
              </w:rPr>
            </w:pPr>
            <w:r>
              <w:rPr>
                <w:rFonts w:cs="Arial"/>
                <w:color w:val="1D1D1B" w:themeColor="text1"/>
              </w:rPr>
              <w:t>More than £500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1269EE2E" w14:textId="77777777" w:rsidR="00B2786E" w:rsidRDefault="00B2786E">
            <w:pPr>
              <w:spacing w:before="60"/>
              <w:jc w:val="center"/>
              <w:rPr>
                <w:rFonts w:cs="Arial"/>
                <w:color w:val="1D1D1B" w:themeColor="text1"/>
              </w:rPr>
            </w:pPr>
            <w:r>
              <w:rPr>
                <w:rFonts w:cs="Arial"/>
                <w:color w:val="1D1D1B" w:themeColor="text1"/>
              </w:rPr>
              <w:t>14</w:t>
            </w:r>
          </w:p>
        </w:tc>
      </w:tr>
      <w:tr w:rsidR="00B2786E" w14:paraId="50480AAF"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17DD3F81" w14:textId="77777777" w:rsidR="00B2786E" w:rsidRDefault="00B2786E">
            <w:pPr>
              <w:spacing w:before="60"/>
              <w:rPr>
                <w:rFonts w:cs="Arial"/>
                <w:color w:val="1D1D1B" w:themeColor="text1"/>
              </w:rPr>
            </w:pPr>
            <w:r>
              <w:rPr>
                <w:rFonts w:cs="Arial"/>
                <w:color w:val="1D1D1B" w:themeColor="text1"/>
              </w:rPr>
              <w:t>Don’t know</w:t>
            </w:r>
          </w:p>
        </w:tc>
        <w:tc>
          <w:tcPr>
            <w:tcW w:w="1780" w:type="pct"/>
            <w:tcBorders>
              <w:top w:val="single" w:sz="4" w:space="0" w:color="auto"/>
              <w:left w:val="single" w:sz="4" w:space="0" w:color="auto"/>
              <w:bottom w:val="single" w:sz="4" w:space="0" w:color="auto"/>
              <w:right w:val="single" w:sz="4" w:space="0" w:color="auto"/>
            </w:tcBorders>
            <w:vAlign w:val="center"/>
            <w:hideMark/>
          </w:tcPr>
          <w:p w14:paraId="1DDA06EA" w14:textId="77777777" w:rsidR="00B2786E" w:rsidRDefault="00B2786E">
            <w:pPr>
              <w:spacing w:before="60"/>
              <w:jc w:val="center"/>
              <w:rPr>
                <w:rFonts w:cs="Arial"/>
                <w:color w:val="1D1D1B" w:themeColor="text1"/>
              </w:rPr>
            </w:pPr>
            <w:r>
              <w:rPr>
                <w:rFonts w:cs="Arial"/>
                <w:color w:val="1D1D1B" w:themeColor="text1"/>
              </w:rPr>
              <w:t>98</w:t>
            </w:r>
          </w:p>
        </w:tc>
      </w:tr>
      <w:tr w:rsidR="00B2786E" w14:paraId="72830983" w14:textId="77777777">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76CEC6F2" w14:textId="77777777" w:rsidR="00B2786E" w:rsidRDefault="00B2786E">
            <w:pPr>
              <w:spacing w:before="60"/>
              <w:rPr>
                <w:rFonts w:cs="Arial"/>
                <w:color w:val="1D1D1B" w:themeColor="text1"/>
              </w:rPr>
            </w:pPr>
            <w:r>
              <w:rPr>
                <w:rFonts w:cs="Arial"/>
                <w:color w:val="1D1D1B" w:themeColor="text1"/>
              </w:rPr>
              <w:t>Refused</w:t>
            </w:r>
          </w:p>
        </w:tc>
        <w:tc>
          <w:tcPr>
            <w:tcW w:w="1780" w:type="pct"/>
            <w:tcBorders>
              <w:top w:val="single" w:sz="4" w:space="0" w:color="auto"/>
              <w:left w:val="single" w:sz="4" w:space="0" w:color="auto"/>
              <w:bottom w:val="single" w:sz="4" w:space="0" w:color="auto"/>
              <w:right w:val="single" w:sz="4" w:space="0" w:color="auto"/>
            </w:tcBorders>
            <w:vAlign w:val="center"/>
            <w:hideMark/>
          </w:tcPr>
          <w:p w14:paraId="75B316EA" w14:textId="77777777" w:rsidR="00B2786E" w:rsidRDefault="00B2786E">
            <w:pPr>
              <w:spacing w:before="60"/>
              <w:jc w:val="center"/>
              <w:rPr>
                <w:rFonts w:cs="Arial"/>
                <w:color w:val="1D1D1B" w:themeColor="text1"/>
              </w:rPr>
            </w:pPr>
            <w:r>
              <w:rPr>
                <w:rFonts w:cs="Arial"/>
                <w:color w:val="1D1D1B" w:themeColor="text1"/>
              </w:rPr>
              <w:t>99</w:t>
            </w:r>
          </w:p>
        </w:tc>
      </w:tr>
    </w:tbl>
    <w:p w14:paraId="2810E632" w14:textId="77777777" w:rsidR="00B2786E" w:rsidRDefault="00B2786E" w:rsidP="00B2786E">
      <w:pPr>
        <w:tabs>
          <w:tab w:val="left" w:pos="720"/>
        </w:tabs>
        <w:ind w:left="486" w:hanging="426"/>
        <w:rPr>
          <w:rFonts w:cs="Arial"/>
          <w:color w:val="1D1D1B" w:themeColor="text1"/>
          <w:sz w:val="22"/>
        </w:rPr>
      </w:pPr>
    </w:p>
    <w:p w14:paraId="2B5BCC87" w14:textId="77777777" w:rsidR="00B2786E" w:rsidRDefault="00B2786E" w:rsidP="00B2786E">
      <w:pPr>
        <w:rPr>
          <w:rFonts w:cs="Arial"/>
          <w:color w:val="FF0000"/>
          <w:lang w:eastAsia="en-GB"/>
        </w:rPr>
      </w:pPr>
      <w:r>
        <w:rPr>
          <w:rFonts w:cs="Arial"/>
          <w:color w:val="FF0000"/>
          <w:lang w:eastAsia="en-GB"/>
        </w:rPr>
        <w:t>ASK IF DON’T KNOW (CODE 98) AT S5</w:t>
      </w:r>
    </w:p>
    <w:p w14:paraId="7BC23201" w14:textId="77777777" w:rsidR="00B2786E" w:rsidRPr="006F30CC" w:rsidRDefault="00B2786E" w:rsidP="00B2786E">
      <w:pPr>
        <w:rPr>
          <w:rFonts w:cs="Arial"/>
          <w:lang w:eastAsia="en-GB"/>
        </w:rPr>
      </w:pPr>
      <w:r>
        <w:rPr>
          <w:rFonts w:cs="Arial"/>
          <w:b/>
          <w:bCs/>
          <w:color w:val="1D1D1B" w:themeColor="text1"/>
          <w:lang w:eastAsia="en-GB"/>
        </w:rPr>
        <w:t>S6_AA [</w:t>
      </w:r>
      <w:r>
        <w:rPr>
          <w:rFonts w:cs="Arial"/>
          <w:color w:val="FF0000"/>
          <w:lang w:eastAsia="en-GB"/>
        </w:rPr>
        <w:t xml:space="preserve">CATI: </w:t>
      </w:r>
      <w:r>
        <w:rPr>
          <w:rFonts w:cs="Arial"/>
          <w:b/>
          <w:bCs/>
          <w:color w:val="1D1D1B" w:themeColor="text1"/>
          <w:lang w:eastAsia="en-GB"/>
        </w:rPr>
        <w:t>Could you tell me] [</w:t>
      </w:r>
      <w:r>
        <w:rPr>
          <w:rFonts w:cs="Arial"/>
          <w:color w:val="FF0000"/>
          <w:lang w:eastAsia="en-GB"/>
        </w:rPr>
        <w:t>WEB:</w:t>
      </w:r>
      <w:r>
        <w:rPr>
          <w:rFonts w:cs="Arial"/>
          <w:b/>
          <w:bCs/>
          <w:color w:val="1D1D1B" w:themeColor="text1"/>
          <w:lang w:eastAsia="en-GB"/>
        </w:rPr>
        <w:t xml:space="preserve"> Do you know] if your business’ turnover </w:t>
      </w:r>
      <w:r>
        <w:rPr>
          <w:rFonts w:cs="Arial"/>
          <w:b/>
          <w:bCs/>
        </w:rPr>
        <w:t xml:space="preserve">in the latest completed financial year was? </w:t>
      </w:r>
      <w:r>
        <w:rPr>
          <w:rFonts w:cs="Arial"/>
          <w:color w:val="F06603" w:themeColor="accent6"/>
          <w:lang w:eastAsia="en-GB"/>
        </w:rPr>
        <w:t>F DON’T KNOW PROMPT FROM SAMPLE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8925"/>
        <w:gridCol w:w="1219"/>
      </w:tblGrid>
      <w:tr w:rsidR="00B2786E" w14:paraId="0AEA52EE" w14:textId="77777777">
        <w:trPr>
          <w:cantSplit/>
          <w:trHeight w:val="397"/>
        </w:trPr>
        <w:tc>
          <w:tcPr>
            <w:tcW w:w="4399" w:type="pct"/>
            <w:tcBorders>
              <w:top w:val="single" w:sz="4" w:space="0" w:color="auto"/>
              <w:left w:val="single" w:sz="4" w:space="0" w:color="auto"/>
              <w:bottom w:val="single" w:sz="4" w:space="0" w:color="auto"/>
              <w:right w:val="single" w:sz="4" w:space="0" w:color="auto"/>
            </w:tcBorders>
            <w:vAlign w:val="center"/>
            <w:hideMark/>
          </w:tcPr>
          <w:p w14:paraId="64053DD5" w14:textId="77777777" w:rsidR="00B2786E" w:rsidRDefault="00B2786E">
            <w:pPr>
              <w:spacing w:before="60"/>
              <w:rPr>
                <w:rFonts w:cs="Arial"/>
                <w:color w:val="1D1D1B" w:themeColor="text1"/>
              </w:rPr>
            </w:pPr>
            <w:r>
              <w:rPr>
                <w:rFonts w:cs="Arial"/>
                <w:color w:val="1D1D1B" w:themeColor="text1"/>
              </w:rPr>
              <w:t>Less than £1 million</w:t>
            </w:r>
          </w:p>
        </w:tc>
        <w:tc>
          <w:tcPr>
            <w:tcW w:w="601" w:type="pct"/>
            <w:tcBorders>
              <w:top w:val="single" w:sz="4" w:space="0" w:color="auto"/>
              <w:left w:val="single" w:sz="4" w:space="0" w:color="auto"/>
              <w:bottom w:val="single" w:sz="4" w:space="0" w:color="auto"/>
              <w:right w:val="single" w:sz="4" w:space="0" w:color="auto"/>
            </w:tcBorders>
            <w:vAlign w:val="center"/>
            <w:hideMark/>
          </w:tcPr>
          <w:p w14:paraId="3821FCC1" w14:textId="77777777" w:rsidR="00B2786E" w:rsidRDefault="00B2786E">
            <w:pPr>
              <w:spacing w:before="60"/>
              <w:jc w:val="center"/>
              <w:rPr>
                <w:rFonts w:cs="Arial"/>
                <w:color w:val="1D1D1B" w:themeColor="text1"/>
              </w:rPr>
            </w:pPr>
            <w:r>
              <w:rPr>
                <w:rFonts w:cs="Arial"/>
                <w:color w:val="1D1D1B" w:themeColor="text1"/>
              </w:rPr>
              <w:t>1</w:t>
            </w:r>
          </w:p>
        </w:tc>
      </w:tr>
      <w:tr w:rsidR="00B2786E" w14:paraId="43C38800" w14:textId="77777777">
        <w:trPr>
          <w:cantSplit/>
          <w:trHeight w:val="397"/>
        </w:trPr>
        <w:tc>
          <w:tcPr>
            <w:tcW w:w="4399" w:type="pct"/>
            <w:tcBorders>
              <w:top w:val="single" w:sz="4" w:space="0" w:color="auto"/>
              <w:left w:val="single" w:sz="4" w:space="0" w:color="auto"/>
              <w:bottom w:val="single" w:sz="4" w:space="0" w:color="auto"/>
              <w:right w:val="single" w:sz="4" w:space="0" w:color="auto"/>
            </w:tcBorders>
            <w:vAlign w:val="center"/>
            <w:hideMark/>
          </w:tcPr>
          <w:p w14:paraId="5A7C2DA1" w14:textId="77777777" w:rsidR="00B2786E" w:rsidRDefault="00B2786E">
            <w:pPr>
              <w:spacing w:before="60"/>
              <w:rPr>
                <w:rFonts w:cs="Arial"/>
                <w:color w:val="1D1D1B" w:themeColor="text1"/>
              </w:rPr>
            </w:pPr>
            <w:r>
              <w:rPr>
                <w:rFonts w:cs="Arial"/>
                <w:color w:val="1D1D1B" w:themeColor="text1"/>
              </w:rPr>
              <w:t>More than £1 million but not more than £45 million</w:t>
            </w:r>
          </w:p>
        </w:tc>
        <w:tc>
          <w:tcPr>
            <w:tcW w:w="601" w:type="pct"/>
            <w:tcBorders>
              <w:top w:val="single" w:sz="4" w:space="0" w:color="auto"/>
              <w:left w:val="single" w:sz="4" w:space="0" w:color="auto"/>
              <w:bottom w:val="single" w:sz="4" w:space="0" w:color="auto"/>
              <w:right w:val="single" w:sz="4" w:space="0" w:color="auto"/>
            </w:tcBorders>
            <w:vAlign w:val="center"/>
            <w:hideMark/>
          </w:tcPr>
          <w:p w14:paraId="68EF6A07" w14:textId="77777777" w:rsidR="00B2786E" w:rsidRDefault="00B2786E">
            <w:pPr>
              <w:spacing w:before="60"/>
              <w:jc w:val="center"/>
              <w:rPr>
                <w:rFonts w:cs="Arial"/>
                <w:color w:val="1D1D1B" w:themeColor="text1"/>
              </w:rPr>
            </w:pPr>
            <w:r>
              <w:rPr>
                <w:rFonts w:cs="Arial"/>
                <w:color w:val="1D1D1B" w:themeColor="text1"/>
              </w:rPr>
              <w:t>2</w:t>
            </w:r>
          </w:p>
        </w:tc>
      </w:tr>
      <w:tr w:rsidR="00B2786E" w14:paraId="631D0B14" w14:textId="77777777">
        <w:trPr>
          <w:cantSplit/>
          <w:trHeight w:val="397"/>
        </w:trPr>
        <w:tc>
          <w:tcPr>
            <w:tcW w:w="4399" w:type="pct"/>
            <w:tcBorders>
              <w:top w:val="single" w:sz="4" w:space="0" w:color="auto"/>
              <w:left w:val="single" w:sz="4" w:space="0" w:color="auto"/>
              <w:bottom w:val="single" w:sz="4" w:space="0" w:color="auto"/>
              <w:right w:val="single" w:sz="4" w:space="0" w:color="auto"/>
            </w:tcBorders>
            <w:vAlign w:val="center"/>
            <w:hideMark/>
          </w:tcPr>
          <w:p w14:paraId="3F4552B3" w14:textId="77777777" w:rsidR="00B2786E" w:rsidRDefault="00B2786E">
            <w:pPr>
              <w:spacing w:before="60"/>
              <w:rPr>
                <w:rFonts w:cs="Arial"/>
                <w:color w:val="1D1D1B" w:themeColor="text1"/>
              </w:rPr>
            </w:pPr>
            <w:r>
              <w:rPr>
                <w:rFonts w:cs="Arial"/>
                <w:color w:val="1D1D1B" w:themeColor="text1"/>
              </w:rPr>
              <w:t>More than £45 million, but not more than £500 million</w:t>
            </w:r>
          </w:p>
        </w:tc>
        <w:tc>
          <w:tcPr>
            <w:tcW w:w="601" w:type="pct"/>
            <w:tcBorders>
              <w:top w:val="single" w:sz="4" w:space="0" w:color="auto"/>
              <w:left w:val="single" w:sz="4" w:space="0" w:color="auto"/>
              <w:bottom w:val="single" w:sz="4" w:space="0" w:color="auto"/>
              <w:right w:val="single" w:sz="4" w:space="0" w:color="auto"/>
            </w:tcBorders>
            <w:vAlign w:val="center"/>
            <w:hideMark/>
          </w:tcPr>
          <w:p w14:paraId="618269AD" w14:textId="77777777" w:rsidR="00B2786E" w:rsidRDefault="00B2786E">
            <w:pPr>
              <w:spacing w:before="60"/>
              <w:jc w:val="center"/>
              <w:rPr>
                <w:rFonts w:cs="Arial"/>
                <w:color w:val="1D1D1B" w:themeColor="text1"/>
              </w:rPr>
            </w:pPr>
            <w:r>
              <w:rPr>
                <w:rFonts w:cs="Arial"/>
                <w:color w:val="1D1D1B" w:themeColor="text1"/>
              </w:rPr>
              <w:t>3</w:t>
            </w:r>
          </w:p>
        </w:tc>
      </w:tr>
      <w:tr w:rsidR="00B2786E" w14:paraId="45D69AFF" w14:textId="77777777">
        <w:trPr>
          <w:cantSplit/>
          <w:trHeight w:val="397"/>
        </w:trPr>
        <w:tc>
          <w:tcPr>
            <w:tcW w:w="4399" w:type="pct"/>
            <w:tcBorders>
              <w:top w:val="single" w:sz="4" w:space="0" w:color="auto"/>
              <w:left w:val="single" w:sz="4" w:space="0" w:color="auto"/>
              <w:bottom w:val="single" w:sz="4" w:space="0" w:color="auto"/>
              <w:right w:val="single" w:sz="4" w:space="0" w:color="auto"/>
            </w:tcBorders>
            <w:vAlign w:val="center"/>
            <w:hideMark/>
          </w:tcPr>
          <w:p w14:paraId="6C3EFA6B" w14:textId="77777777" w:rsidR="00B2786E" w:rsidRDefault="00B2786E">
            <w:pPr>
              <w:spacing w:before="60"/>
              <w:rPr>
                <w:rFonts w:cs="Arial"/>
                <w:color w:val="1D1D1B" w:themeColor="text1"/>
              </w:rPr>
            </w:pPr>
            <w:r>
              <w:rPr>
                <w:rFonts w:cs="Arial"/>
                <w:color w:val="1D1D1B" w:themeColor="text1"/>
              </w:rPr>
              <w:t>More than £500 million</w:t>
            </w:r>
          </w:p>
        </w:tc>
        <w:tc>
          <w:tcPr>
            <w:tcW w:w="601" w:type="pct"/>
            <w:tcBorders>
              <w:top w:val="single" w:sz="4" w:space="0" w:color="auto"/>
              <w:left w:val="single" w:sz="4" w:space="0" w:color="auto"/>
              <w:bottom w:val="single" w:sz="4" w:space="0" w:color="auto"/>
              <w:right w:val="single" w:sz="4" w:space="0" w:color="auto"/>
            </w:tcBorders>
            <w:vAlign w:val="center"/>
            <w:hideMark/>
          </w:tcPr>
          <w:p w14:paraId="4719DA40" w14:textId="77777777" w:rsidR="00B2786E" w:rsidRDefault="00B2786E">
            <w:pPr>
              <w:spacing w:before="60"/>
              <w:jc w:val="center"/>
              <w:rPr>
                <w:rFonts w:cs="Arial"/>
                <w:color w:val="1D1D1B" w:themeColor="text1"/>
              </w:rPr>
            </w:pPr>
            <w:r>
              <w:rPr>
                <w:rFonts w:cs="Arial"/>
                <w:color w:val="1D1D1B" w:themeColor="text1"/>
              </w:rPr>
              <w:t xml:space="preserve">4 </w:t>
            </w:r>
          </w:p>
        </w:tc>
      </w:tr>
      <w:tr w:rsidR="00B2786E" w14:paraId="7E8B8D26" w14:textId="77777777">
        <w:trPr>
          <w:cantSplit/>
          <w:trHeight w:val="397"/>
        </w:trPr>
        <w:tc>
          <w:tcPr>
            <w:tcW w:w="4399" w:type="pct"/>
            <w:tcBorders>
              <w:top w:val="single" w:sz="4" w:space="0" w:color="auto"/>
              <w:left w:val="single" w:sz="4" w:space="0" w:color="auto"/>
              <w:bottom w:val="single" w:sz="4" w:space="0" w:color="auto"/>
              <w:right w:val="single" w:sz="4" w:space="0" w:color="auto"/>
            </w:tcBorders>
            <w:vAlign w:val="center"/>
            <w:hideMark/>
          </w:tcPr>
          <w:p w14:paraId="550508FE" w14:textId="77777777" w:rsidR="00B2786E" w:rsidRDefault="00B2786E">
            <w:pPr>
              <w:spacing w:before="60"/>
              <w:rPr>
                <w:rFonts w:cs="Arial"/>
                <w:color w:val="1D1D1B" w:themeColor="text1"/>
              </w:rPr>
            </w:pPr>
            <w:r>
              <w:rPr>
                <w:rFonts w:cs="Arial"/>
                <w:color w:val="1D1D1B" w:themeColor="text1"/>
              </w:rPr>
              <w:t>Don’t know</w:t>
            </w:r>
          </w:p>
        </w:tc>
        <w:tc>
          <w:tcPr>
            <w:tcW w:w="601" w:type="pct"/>
            <w:tcBorders>
              <w:top w:val="single" w:sz="4" w:space="0" w:color="auto"/>
              <w:left w:val="single" w:sz="4" w:space="0" w:color="auto"/>
              <w:bottom w:val="single" w:sz="4" w:space="0" w:color="auto"/>
              <w:right w:val="single" w:sz="4" w:space="0" w:color="auto"/>
            </w:tcBorders>
            <w:vAlign w:val="center"/>
            <w:hideMark/>
          </w:tcPr>
          <w:p w14:paraId="3D36E8BE" w14:textId="77777777" w:rsidR="00B2786E" w:rsidRDefault="00B2786E">
            <w:pPr>
              <w:spacing w:before="60"/>
              <w:jc w:val="center"/>
              <w:rPr>
                <w:rFonts w:cs="Arial"/>
                <w:color w:val="1D1D1B" w:themeColor="text1"/>
              </w:rPr>
            </w:pPr>
            <w:r>
              <w:rPr>
                <w:rFonts w:cs="Arial"/>
                <w:color w:val="1D1D1B" w:themeColor="text1"/>
              </w:rPr>
              <w:t>98</w:t>
            </w:r>
          </w:p>
        </w:tc>
      </w:tr>
      <w:tr w:rsidR="00B2786E" w14:paraId="048074AF" w14:textId="77777777">
        <w:trPr>
          <w:cantSplit/>
          <w:trHeight w:val="397"/>
        </w:trPr>
        <w:tc>
          <w:tcPr>
            <w:tcW w:w="4399" w:type="pct"/>
            <w:tcBorders>
              <w:top w:val="single" w:sz="4" w:space="0" w:color="auto"/>
              <w:left w:val="single" w:sz="4" w:space="0" w:color="auto"/>
              <w:bottom w:val="single" w:sz="4" w:space="0" w:color="auto"/>
              <w:right w:val="single" w:sz="4" w:space="0" w:color="auto"/>
            </w:tcBorders>
            <w:vAlign w:val="center"/>
            <w:hideMark/>
          </w:tcPr>
          <w:p w14:paraId="4AB2D9A0" w14:textId="77777777" w:rsidR="00B2786E" w:rsidRDefault="00B2786E">
            <w:pPr>
              <w:spacing w:before="60"/>
              <w:rPr>
                <w:rFonts w:cs="Arial"/>
                <w:color w:val="1D1D1B" w:themeColor="text1"/>
              </w:rPr>
            </w:pPr>
            <w:r>
              <w:rPr>
                <w:rFonts w:cs="Arial"/>
                <w:color w:val="1D1D1B" w:themeColor="text1"/>
              </w:rPr>
              <w:t>Refused</w:t>
            </w:r>
          </w:p>
        </w:tc>
        <w:tc>
          <w:tcPr>
            <w:tcW w:w="601" w:type="pct"/>
            <w:tcBorders>
              <w:top w:val="single" w:sz="4" w:space="0" w:color="auto"/>
              <w:left w:val="single" w:sz="4" w:space="0" w:color="auto"/>
              <w:bottom w:val="single" w:sz="4" w:space="0" w:color="auto"/>
              <w:right w:val="single" w:sz="4" w:space="0" w:color="auto"/>
            </w:tcBorders>
            <w:vAlign w:val="center"/>
            <w:hideMark/>
          </w:tcPr>
          <w:p w14:paraId="4A539B7A" w14:textId="77777777" w:rsidR="00B2786E" w:rsidRDefault="00B2786E">
            <w:pPr>
              <w:spacing w:before="60"/>
              <w:jc w:val="center"/>
              <w:rPr>
                <w:rFonts w:cs="Arial"/>
                <w:color w:val="1D1D1B" w:themeColor="text1"/>
              </w:rPr>
            </w:pPr>
            <w:r>
              <w:rPr>
                <w:rFonts w:cs="Arial"/>
                <w:color w:val="1D1D1B" w:themeColor="text1"/>
              </w:rPr>
              <w:t>99</w:t>
            </w:r>
          </w:p>
        </w:tc>
      </w:tr>
    </w:tbl>
    <w:p w14:paraId="4F091D7D" w14:textId="77777777" w:rsidR="00B2786E" w:rsidRDefault="00B2786E" w:rsidP="00B2786E">
      <w:pPr>
        <w:rPr>
          <w:rFonts w:cs="Arial"/>
          <w:color w:val="FF0000"/>
        </w:rPr>
      </w:pPr>
    </w:p>
    <w:p w14:paraId="2BBD1BEE" w14:textId="77777777" w:rsidR="00B2786E" w:rsidRDefault="00B2786E" w:rsidP="00B2786E">
      <w:pPr>
        <w:rPr>
          <w:rFonts w:cs="Arial"/>
          <w:color w:val="FF0000"/>
        </w:rPr>
      </w:pPr>
      <w:r>
        <w:rPr>
          <w:rFonts w:cs="Arial"/>
          <w:color w:val="FF0000"/>
        </w:rPr>
        <w:t>IF FRESH – REPEAT S4-S6 AND ASK:</w:t>
      </w:r>
    </w:p>
    <w:p w14:paraId="10E532EF" w14:textId="77777777" w:rsidR="00B2786E" w:rsidRDefault="00B2786E" w:rsidP="00B2786E">
      <w:pPr>
        <w:rPr>
          <w:rFonts w:cs="Arial"/>
          <w:b/>
          <w:bCs/>
        </w:rPr>
      </w:pPr>
      <w:r>
        <w:rPr>
          <w:rFonts w:cs="Arial"/>
          <w:b/>
          <w:bCs/>
        </w:rPr>
        <w:t>S5S6_</w:t>
      </w:r>
      <w:proofErr w:type="gramStart"/>
      <w:r>
        <w:rPr>
          <w:rFonts w:cs="Arial"/>
          <w:b/>
          <w:bCs/>
        </w:rPr>
        <w:t>BB..</w:t>
      </w:r>
      <w:proofErr w:type="gramEnd"/>
      <w:r>
        <w:rPr>
          <w:rFonts w:cs="Arial"/>
          <w:b/>
          <w:bCs/>
        </w:rPr>
        <w:t xml:space="preserve"> </w:t>
      </w:r>
      <w:proofErr w:type="gramStart"/>
      <w:r>
        <w:rPr>
          <w:rFonts w:cs="Arial"/>
          <w:b/>
          <w:bCs/>
        </w:rPr>
        <w:t>And,</w:t>
      </w:r>
      <w:proofErr w:type="gramEnd"/>
      <w:r>
        <w:rPr>
          <w:rFonts w:cs="Arial"/>
          <w:b/>
          <w:bCs/>
        </w:rPr>
        <w:t xml:space="preserve"> what was the approximate turnover of your business in the 2020-2021 financial year?</w:t>
      </w:r>
    </w:p>
    <w:p w14:paraId="43DFBA83" w14:textId="77777777" w:rsidR="00B2786E" w:rsidRDefault="00B2786E" w:rsidP="00B2786E">
      <w:pPr>
        <w:rPr>
          <w:rFonts w:cs="Arial"/>
          <w:b/>
          <w:bCs/>
        </w:rPr>
      </w:pPr>
      <w:r>
        <w:rPr>
          <w:rFonts w:cs="Arial"/>
          <w:b/>
          <w:bCs/>
        </w:rPr>
        <w:lastRenderedPageBreak/>
        <w:t>ASK IF FRESH RE</w:t>
      </w:r>
      <w:r>
        <w:rPr>
          <w:rFonts w:cs="Arial"/>
          <w:color w:val="FF0000"/>
        </w:rPr>
        <w:t>PEAT S4-S6 AND ASK:</w:t>
      </w:r>
    </w:p>
    <w:p w14:paraId="79031C90" w14:textId="77777777" w:rsidR="00B2786E" w:rsidRDefault="00B2786E" w:rsidP="00B2786E">
      <w:pPr>
        <w:rPr>
          <w:rFonts w:cs="Arial"/>
          <w:color w:val="F06603" w:themeColor="accent6"/>
          <w:lang w:eastAsia="en-GB"/>
        </w:rPr>
      </w:pPr>
      <w:r>
        <w:rPr>
          <w:rFonts w:cs="Arial"/>
          <w:b/>
          <w:bCs/>
        </w:rPr>
        <w:t>CC: Finally, what was the approximate turnover of your business in the last completed financial year ending prior to the Covid-19 pandemic (</w:t>
      </w:r>
      <w:proofErr w:type="gramStart"/>
      <w:r>
        <w:rPr>
          <w:rFonts w:cs="Arial"/>
          <w:b/>
          <w:bCs/>
        </w:rPr>
        <w:t>i.e.</w:t>
      </w:r>
      <w:proofErr w:type="gramEnd"/>
      <w:r>
        <w:rPr>
          <w:rFonts w:cs="Arial"/>
          <w:b/>
          <w:bCs/>
        </w:rPr>
        <w:t xml:space="preserve"> before 23 March 2020) </w:t>
      </w:r>
      <w:r>
        <w:rPr>
          <w:rFonts w:cs="Arial"/>
          <w:b/>
          <w:bCs/>
          <w:color w:val="1D1D1B" w:themeColor="text1"/>
          <w:lang w:eastAsia="en-GB"/>
        </w:rPr>
        <w:t>…?</w:t>
      </w:r>
    </w:p>
    <w:p w14:paraId="076BAC83" w14:textId="77777777" w:rsidR="00B2786E" w:rsidRDefault="00B2786E" w:rsidP="00B2786E">
      <w:pPr>
        <w:rPr>
          <w:rFonts w:cs="Arial"/>
          <w:color w:val="FF0000"/>
        </w:rPr>
      </w:pPr>
      <w:r>
        <w:rPr>
          <w:rFonts w:cs="Arial"/>
          <w:color w:val="FF0000"/>
          <w:lang w:eastAsia="en-GB"/>
        </w:rPr>
        <w:t>REPEAT OPTIONS FROM S4, THEN S5, S6</w:t>
      </w:r>
    </w:p>
    <w:p w14:paraId="48C5DC28" w14:textId="77777777" w:rsidR="00B2786E" w:rsidRDefault="00B2786E" w:rsidP="00B2786E">
      <w:pPr>
        <w:rPr>
          <w:rFonts w:cs="Arial"/>
          <w:color w:val="FF0000"/>
        </w:rPr>
      </w:pPr>
    </w:p>
    <w:p w14:paraId="699BB7B5" w14:textId="77777777" w:rsidR="00B2786E" w:rsidRDefault="00B2786E" w:rsidP="00B2786E">
      <w:pPr>
        <w:rPr>
          <w:rFonts w:cs="Arial"/>
          <w:b/>
          <w:bCs/>
          <w:color w:val="FF0000"/>
        </w:rPr>
      </w:pPr>
      <w:r>
        <w:rPr>
          <w:rFonts w:cs="Arial"/>
          <w:b/>
          <w:bCs/>
          <w:color w:val="FF0000"/>
        </w:rPr>
        <w:t>NOTE S5S_BB DELETED AT WAVE 2</w:t>
      </w:r>
    </w:p>
    <w:p w14:paraId="15E3780B" w14:textId="77777777" w:rsidR="00B2786E" w:rsidRDefault="00B2786E" w:rsidP="00B2786E">
      <w:pPr>
        <w:rPr>
          <w:rFonts w:cs="Arial"/>
          <w:b/>
          <w:bCs/>
          <w:color w:val="FF0000"/>
        </w:rPr>
      </w:pPr>
      <w:r>
        <w:rPr>
          <w:rFonts w:cs="Arial"/>
          <w:b/>
          <w:bCs/>
          <w:color w:val="FF0000"/>
        </w:rPr>
        <w:t>NOTE S7 DELETED AT WAVE 2</w:t>
      </w:r>
    </w:p>
    <w:p w14:paraId="5280F6F1" w14:textId="77777777" w:rsidR="00B2786E" w:rsidRDefault="00B2786E" w:rsidP="00B2786E">
      <w:pPr>
        <w:rPr>
          <w:rFonts w:cs="Arial"/>
          <w:b/>
          <w:bCs/>
          <w:color w:val="1D1D1B" w:themeColor="text1"/>
        </w:rPr>
      </w:pPr>
      <w:r>
        <w:rPr>
          <w:rFonts w:cs="Arial"/>
          <w:color w:val="FF0000"/>
        </w:rPr>
        <w:t>ASK IF FRESH CONTROL</w:t>
      </w:r>
      <w:r>
        <w:rPr>
          <w:rFonts w:cs="Arial"/>
          <w:b/>
          <w:bCs/>
          <w:color w:val="1D1D1B" w:themeColor="text1"/>
        </w:rPr>
        <w:t xml:space="preserve">S8 </w:t>
      </w:r>
    </w:p>
    <w:p w14:paraId="388E5730" w14:textId="77777777" w:rsidR="00B2786E" w:rsidRDefault="00B2786E" w:rsidP="00B2786E">
      <w:pPr>
        <w:rPr>
          <w:rFonts w:cs="Arial"/>
          <w:b/>
          <w:color w:val="1D1D1B" w:themeColor="text1"/>
        </w:rPr>
      </w:pPr>
      <w:r>
        <w:rPr>
          <w:rFonts w:cs="Arial"/>
          <w:b/>
          <w:bCs/>
          <w:color w:val="1D1D1B" w:themeColor="text1"/>
        </w:rPr>
        <w:t>Did you</w:t>
      </w:r>
      <w:r>
        <w:rPr>
          <w:rFonts w:cs="Arial"/>
          <w:b/>
          <w:bCs/>
        </w:rPr>
        <w:t xml:space="preserve"> </w:t>
      </w:r>
      <w:r>
        <w:rPr>
          <w:rFonts w:cs="Arial"/>
          <w:b/>
          <w:bCs/>
          <w:color w:val="1D1D1B" w:themeColor="text1"/>
        </w:rPr>
        <w:t>apply for external finance from these other</w:t>
      </w:r>
      <w:r>
        <w:rPr>
          <w:rFonts w:cs="Arial"/>
        </w:rPr>
        <w:t xml:space="preserve"> </w:t>
      </w:r>
      <w:r>
        <w:rPr>
          <w:rFonts w:cs="Arial"/>
          <w:b/>
          <w:bCs/>
          <w:color w:val="1D1D1B" w:themeColor="text1"/>
        </w:rPr>
        <w:t>Government schemes available to business during the Covid-19 pandemic</w:t>
      </w:r>
      <w:proofErr w:type="gramStart"/>
      <w:r>
        <w:rPr>
          <w:rFonts w:cs="Arial"/>
          <w:b/>
          <w:bCs/>
          <w:color w:val="1D1D1B" w:themeColor="text1"/>
        </w:rPr>
        <w:t>…?:</w:t>
      </w:r>
      <w:proofErr w:type="gramEnd"/>
      <w:r>
        <w:rPr>
          <w:rFonts w:cs="Arial"/>
          <w:b/>
          <w:color w:val="1D1D1B" w:themeColor="text1"/>
        </w:rPr>
        <w:t xml:space="preserve"> </w:t>
      </w:r>
    </w:p>
    <w:p w14:paraId="47B3ABE5" w14:textId="77777777" w:rsidR="00B2786E" w:rsidRDefault="00B2786E" w:rsidP="00B2786E">
      <w:pPr>
        <w:rPr>
          <w:rFonts w:cs="Arial"/>
          <w:b/>
          <w:color w:val="FF0000"/>
        </w:rPr>
      </w:pPr>
      <w:r>
        <w:rPr>
          <w:rFonts w:cs="Arial"/>
          <w:b/>
          <w:color w:val="FF0000"/>
        </w:rPr>
        <w:t xml:space="preserve">MULTICODE OK, ROTATE </w:t>
      </w:r>
    </w:p>
    <w:p w14:paraId="52D659C4" w14:textId="77777777" w:rsidR="00B2786E" w:rsidRDefault="00B2786E" w:rsidP="00B2786E">
      <w:pPr>
        <w:pStyle w:val="ListParagraph"/>
        <w:numPr>
          <w:ilvl w:val="0"/>
          <w:numId w:val="67"/>
        </w:numPr>
        <w:spacing w:after="0" w:line="240" w:lineRule="auto"/>
        <w:rPr>
          <w:bCs/>
          <w:color w:val="FF0000"/>
        </w:rPr>
      </w:pPr>
      <w:r>
        <w:rPr>
          <w:bCs/>
          <w:color w:val="1D1D1B" w:themeColor="text1"/>
          <w:szCs w:val="20"/>
        </w:rPr>
        <w:t>the Bounce Back Loan Scheme (BBLS)</w:t>
      </w:r>
    </w:p>
    <w:p w14:paraId="043E8B6C" w14:textId="77777777" w:rsidR="00B2786E" w:rsidRDefault="00B2786E" w:rsidP="00B2786E">
      <w:pPr>
        <w:pStyle w:val="ListParagraph"/>
        <w:numPr>
          <w:ilvl w:val="0"/>
          <w:numId w:val="67"/>
        </w:numPr>
        <w:spacing w:after="0" w:line="240" w:lineRule="auto"/>
        <w:rPr>
          <w:bCs/>
          <w:color w:val="FF0000"/>
        </w:rPr>
      </w:pPr>
      <w:r>
        <w:rPr>
          <w:bCs/>
          <w:color w:val="1D1D1B" w:themeColor="text1"/>
          <w:szCs w:val="20"/>
        </w:rPr>
        <w:t>the Coronavirus Business Interruption Loan Scheme (CBILS)</w:t>
      </w:r>
    </w:p>
    <w:p w14:paraId="6E777231" w14:textId="77777777" w:rsidR="00B2786E" w:rsidRDefault="00B2786E" w:rsidP="00B2786E">
      <w:pPr>
        <w:pStyle w:val="ListParagraph"/>
        <w:numPr>
          <w:ilvl w:val="0"/>
          <w:numId w:val="67"/>
        </w:numPr>
        <w:spacing w:after="0" w:line="240" w:lineRule="auto"/>
        <w:rPr>
          <w:bCs/>
          <w:color w:val="FF0000"/>
        </w:rPr>
      </w:pPr>
      <w:r>
        <w:rPr>
          <w:bCs/>
          <w:color w:val="1D1D1B" w:themeColor="text1"/>
          <w:szCs w:val="20"/>
        </w:rPr>
        <w:t>the Coronavirus Large Business Interruption Loan Scheme (CLBILS)</w:t>
      </w:r>
    </w:p>
    <w:p w14:paraId="7764B856" w14:textId="77777777" w:rsidR="00B2786E" w:rsidRDefault="00B2786E" w:rsidP="00B2786E">
      <w:pPr>
        <w:rPr>
          <w:rFonts w:cs="Arial"/>
          <w:bCs/>
          <w:color w:val="F06603" w:themeColor="accent6"/>
        </w:rPr>
      </w:pPr>
    </w:p>
    <w:p w14:paraId="6E00A2DE" w14:textId="77777777" w:rsidR="00B2786E" w:rsidRPr="006F30CC" w:rsidRDefault="00B2786E" w:rsidP="00B2786E">
      <w:pPr>
        <w:rPr>
          <w:rFonts w:cs="Arial"/>
          <w:bCs/>
          <w:color w:val="F06603" w:themeColor="accent6"/>
        </w:rPr>
      </w:pPr>
      <w:r>
        <w:rPr>
          <w:rFonts w:cs="Arial"/>
          <w:bCs/>
          <w:color w:val="F06603" w:themeColor="accent6"/>
        </w:rPr>
        <w:t>INTERVIEWER NOTE: AT THIS POINT, WE WOULD LIKE TO SCREEN OUT BUSINESSES THAT WERE ALLOCATED TO THE CONTROL GROUP FOR A GIVEN SCHEME AND WERE UNSUCCESSFUL WITH THEIR APPLICATION FOR THAT SCHEME. FOR EXAMPLE, IF A BUSINESS IS ALLOCATED TO THE CONTROL GROUP FOR CBILS AND WAS REJECTED FROM CBILS, THEY WOULD BE SCREENED OUT. UNSUCCESSFUL APPLICATIONS TO BBLS WOULD NOT LEAD TO THE BUSINESS BEING SCREENED OUT IN THIS CASE.</w:t>
      </w:r>
    </w:p>
    <w:p w14:paraId="29750095" w14:textId="77777777" w:rsidR="00B2786E" w:rsidRDefault="00B2786E" w:rsidP="00B2786E">
      <w:pPr>
        <w:rPr>
          <w:rFonts w:cs="Arial"/>
          <w:bCs/>
          <w:color w:val="F06603" w:themeColor="accent6"/>
          <w:lang w:eastAsia="en-GB"/>
        </w:rPr>
      </w:pPr>
      <w:r>
        <w:rPr>
          <w:rFonts w:cs="Arial"/>
          <w:bCs/>
          <w:color w:val="FF0000"/>
          <w:lang w:eastAsia="en-GB"/>
        </w:rPr>
        <w:t xml:space="preserve">SINGLE CODE ONLY. </w:t>
      </w:r>
      <w:r>
        <w:rPr>
          <w:rFonts w:cs="Arial"/>
          <w:bCs/>
          <w:color w:val="F06603" w:themeColor="accent6"/>
          <w:lang w:eastAsia="en-GB"/>
        </w:rPr>
        <w:t>READ OUT FOR EACH OPTION.</w:t>
      </w:r>
    </w:p>
    <w:p w14:paraId="08A41732" w14:textId="77777777" w:rsidR="00B2786E" w:rsidRPr="006F30CC" w:rsidRDefault="00B2786E" w:rsidP="00B2786E">
      <w:pPr>
        <w:rPr>
          <w:rFonts w:cs="Arial"/>
          <w:bCs/>
          <w:color w:val="F06603" w:themeColor="accent6"/>
          <w:lang w:eastAsia="en-GB"/>
        </w:rPr>
      </w:pPr>
      <w:r>
        <w:rPr>
          <w:rFonts w:cs="Arial"/>
          <w:bCs/>
          <w:color w:val="FF0000"/>
          <w:lang w:eastAsia="en-GB"/>
        </w:rPr>
        <w:t xml:space="preserve">SCRIPTING INSTRUCTION: PLEASE SCREEN OUT ANY WHO WAS SUCCESSFUL AND RECEIVED TO DIFFERENT LOANS (code 4) – </w:t>
      </w:r>
      <w:proofErr w:type="gramStart"/>
      <w:r>
        <w:rPr>
          <w:rFonts w:cs="Arial"/>
          <w:bCs/>
          <w:color w:val="FF0000"/>
          <w:lang w:eastAsia="en-GB"/>
        </w:rPr>
        <w:t>I.e.</w:t>
      </w:r>
      <w:proofErr w:type="gramEnd"/>
      <w:r>
        <w:rPr>
          <w:rFonts w:cs="Arial"/>
          <w:bCs/>
          <w:color w:val="FF0000"/>
          <w:lang w:eastAsia="en-GB"/>
        </w:rPr>
        <w:t xml:space="preserve"> BBL= 4 and CBIL =4, TWO LOANS OF THE SAME TYPE (e.g. CBIL + CBIL) ARE ALLOWED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4940"/>
        <w:gridCol w:w="956"/>
        <w:gridCol w:w="4248"/>
      </w:tblGrid>
      <w:tr w:rsidR="00B2786E" w14:paraId="58DCDDFE" w14:textId="77777777">
        <w:trPr>
          <w:cantSplit/>
          <w:trHeight w:val="320"/>
        </w:trPr>
        <w:tc>
          <w:tcPr>
            <w:tcW w:w="2435" w:type="pct"/>
            <w:tcBorders>
              <w:top w:val="single" w:sz="4" w:space="0" w:color="auto"/>
              <w:left w:val="single" w:sz="4" w:space="0" w:color="auto"/>
              <w:bottom w:val="single" w:sz="4" w:space="0" w:color="auto"/>
              <w:right w:val="single" w:sz="4" w:space="0" w:color="auto"/>
            </w:tcBorders>
            <w:hideMark/>
          </w:tcPr>
          <w:p w14:paraId="1A1A7C15"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lastRenderedPageBreak/>
              <w:t>No, did not apply</w:t>
            </w:r>
          </w:p>
        </w:tc>
        <w:tc>
          <w:tcPr>
            <w:tcW w:w="471" w:type="pct"/>
            <w:tcBorders>
              <w:top w:val="single" w:sz="4" w:space="0" w:color="auto"/>
              <w:left w:val="single" w:sz="4" w:space="0" w:color="auto"/>
              <w:bottom w:val="single" w:sz="4" w:space="0" w:color="auto"/>
              <w:right w:val="single" w:sz="4" w:space="0" w:color="auto"/>
            </w:tcBorders>
            <w:vAlign w:val="center"/>
            <w:hideMark/>
          </w:tcPr>
          <w:p w14:paraId="0516FDD6" w14:textId="77777777" w:rsidR="00B2786E" w:rsidRDefault="00B2786E">
            <w:pPr>
              <w:spacing w:before="60"/>
              <w:jc w:val="center"/>
              <w:rPr>
                <w:rFonts w:cs="Arial"/>
                <w:color w:val="1D1D1B" w:themeColor="text1"/>
              </w:rPr>
            </w:pPr>
            <w:r>
              <w:rPr>
                <w:rFonts w:cs="Arial"/>
                <w:color w:val="1D1D1B" w:themeColor="text1"/>
              </w:rPr>
              <w:t>1</w:t>
            </w:r>
          </w:p>
        </w:tc>
        <w:tc>
          <w:tcPr>
            <w:tcW w:w="2094" w:type="pct"/>
            <w:tcBorders>
              <w:top w:val="single" w:sz="4" w:space="0" w:color="auto"/>
              <w:left w:val="single" w:sz="4" w:space="0" w:color="auto"/>
              <w:bottom w:val="single" w:sz="4" w:space="0" w:color="auto"/>
              <w:right w:val="single" w:sz="4" w:space="0" w:color="auto"/>
            </w:tcBorders>
            <w:hideMark/>
          </w:tcPr>
          <w:p w14:paraId="5E14A3CD" w14:textId="77777777" w:rsidR="00B2786E" w:rsidRDefault="00B2786E">
            <w:pPr>
              <w:spacing w:before="60"/>
              <w:rPr>
                <w:rFonts w:cs="Arial"/>
                <w:color w:val="FF0000"/>
              </w:rPr>
            </w:pPr>
            <w:r>
              <w:rPr>
                <w:rFonts w:cs="Arial"/>
                <w:color w:val="FF0000"/>
              </w:rPr>
              <w:t>CONTINUE IF CONTROL GROUP (S6DV=1-3)</w:t>
            </w:r>
          </w:p>
        </w:tc>
      </w:tr>
      <w:tr w:rsidR="00B2786E" w14:paraId="78FC0ADA" w14:textId="77777777">
        <w:trPr>
          <w:cantSplit/>
          <w:trHeight w:val="320"/>
        </w:trPr>
        <w:tc>
          <w:tcPr>
            <w:tcW w:w="2435" w:type="pct"/>
            <w:tcBorders>
              <w:top w:val="single" w:sz="4" w:space="0" w:color="auto"/>
              <w:left w:val="single" w:sz="4" w:space="0" w:color="auto"/>
              <w:bottom w:val="single" w:sz="4" w:space="0" w:color="auto"/>
              <w:right w:val="single" w:sz="4" w:space="0" w:color="auto"/>
            </w:tcBorders>
            <w:hideMark/>
          </w:tcPr>
          <w:p w14:paraId="2C3D300B"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Yes, applied but later withdrew my application</w:t>
            </w:r>
          </w:p>
        </w:tc>
        <w:tc>
          <w:tcPr>
            <w:tcW w:w="471" w:type="pct"/>
            <w:tcBorders>
              <w:top w:val="single" w:sz="4" w:space="0" w:color="auto"/>
              <w:left w:val="single" w:sz="4" w:space="0" w:color="auto"/>
              <w:bottom w:val="single" w:sz="4" w:space="0" w:color="auto"/>
              <w:right w:val="single" w:sz="4" w:space="0" w:color="auto"/>
            </w:tcBorders>
            <w:vAlign w:val="center"/>
            <w:hideMark/>
          </w:tcPr>
          <w:p w14:paraId="4268D682" w14:textId="77777777" w:rsidR="00B2786E" w:rsidRDefault="00B2786E">
            <w:pPr>
              <w:spacing w:before="60"/>
              <w:jc w:val="center"/>
              <w:rPr>
                <w:rFonts w:cs="Arial"/>
                <w:color w:val="1D1D1B" w:themeColor="text1"/>
              </w:rPr>
            </w:pPr>
            <w:r>
              <w:rPr>
                <w:rFonts w:cs="Arial"/>
                <w:color w:val="1D1D1B" w:themeColor="text1"/>
              </w:rPr>
              <w:t>2</w:t>
            </w:r>
          </w:p>
        </w:tc>
        <w:tc>
          <w:tcPr>
            <w:tcW w:w="2094" w:type="pct"/>
            <w:tcBorders>
              <w:top w:val="single" w:sz="4" w:space="0" w:color="auto"/>
              <w:left w:val="single" w:sz="4" w:space="0" w:color="auto"/>
              <w:bottom w:val="single" w:sz="4" w:space="0" w:color="auto"/>
              <w:right w:val="single" w:sz="4" w:space="0" w:color="auto"/>
            </w:tcBorders>
            <w:hideMark/>
          </w:tcPr>
          <w:p w14:paraId="4AFA2220" w14:textId="77777777" w:rsidR="00B2786E" w:rsidRDefault="00B2786E">
            <w:pPr>
              <w:spacing w:before="60"/>
              <w:rPr>
                <w:rFonts w:cs="Arial"/>
                <w:color w:val="FF0000"/>
              </w:rPr>
            </w:pPr>
            <w:r>
              <w:rPr>
                <w:rFonts w:cs="Arial"/>
                <w:color w:val="FF0000"/>
              </w:rPr>
              <w:t>CONTINUE IF CONTROL GROUP (S6DV=1-3)</w:t>
            </w:r>
          </w:p>
        </w:tc>
      </w:tr>
      <w:tr w:rsidR="00B2786E" w14:paraId="68485396" w14:textId="77777777">
        <w:trPr>
          <w:cantSplit/>
          <w:trHeight w:val="320"/>
        </w:trPr>
        <w:tc>
          <w:tcPr>
            <w:tcW w:w="2435" w:type="pct"/>
            <w:tcBorders>
              <w:top w:val="single" w:sz="4" w:space="0" w:color="auto"/>
              <w:left w:val="single" w:sz="4" w:space="0" w:color="auto"/>
              <w:bottom w:val="single" w:sz="4" w:space="0" w:color="auto"/>
              <w:right w:val="single" w:sz="4" w:space="0" w:color="auto"/>
            </w:tcBorders>
            <w:hideMark/>
          </w:tcPr>
          <w:p w14:paraId="7839363E"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Yes, application was not successful</w:t>
            </w:r>
          </w:p>
        </w:tc>
        <w:tc>
          <w:tcPr>
            <w:tcW w:w="471" w:type="pct"/>
            <w:tcBorders>
              <w:top w:val="single" w:sz="4" w:space="0" w:color="auto"/>
              <w:left w:val="single" w:sz="4" w:space="0" w:color="auto"/>
              <w:bottom w:val="single" w:sz="4" w:space="0" w:color="auto"/>
              <w:right w:val="single" w:sz="4" w:space="0" w:color="auto"/>
            </w:tcBorders>
            <w:vAlign w:val="center"/>
            <w:hideMark/>
          </w:tcPr>
          <w:p w14:paraId="45E2DBD7" w14:textId="77777777" w:rsidR="00B2786E" w:rsidRDefault="00B2786E">
            <w:pPr>
              <w:spacing w:before="60"/>
              <w:jc w:val="center"/>
              <w:rPr>
                <w:rFonts w:cs="Arial"/>
                <w:color w:val="1D1D1B" w:themeColor="text1"/>
              </w:rPr>
            </w:pPr>
            <w:r>
              <w:rPr>
                <w:rFonts w:cs="Arial"/>
                <w:color w:val="1D1D1B" w:themeColor="text1"/>
              </w:rPr>
              <w:t>3</w:t>
            </w:r>
          </w:p>
        </w:tc>
        <w:tc>
          <w:tcPr>
            <w:tcW w:w="2094" w:type="pct"/>
            <w:tcBorders>
              <w:top w:val="single" w:sz="4" w:space="0" w:color="auto"/>
              <w:left w:val="single" w:sz="4" w:space="0" w:color="auto"/>
              <w:bottom w:val="single" w:sz="4" w:space="0" w:color="auto"/>
              <w:right w:val="single" w:sz="4" w:space="0" w:color="auto"/>
            </w:tcBorders>
            <w:hideMark/>
          </w:tcPr>
          <w:p w14:paraId="2B188F90" w14:textId="77777777" w:rsidR="00B2786E" w:rsidRDefault="00B2786E">
            <w:pPr>
              <w:spacing w:before="60"/>
              <w:rPr>
                <w:rFonts w:cs="Arial"/>
                <w:color w:val="FF0000"/>
              </w:rPr>
            </w:pPr>
            <w:r>
              <w:rPr>
                <w:rFonts w:cs="Arial"/>
                <w:color w:val="FF0000"/>
              </w:rPr>
              <w:t>IF CONTROL GROUP CLOSE</w:t>
            </w:r>
          </w:p>
        </w:tc>
      </w:tr>
      <w:tr w:rsidR="00B2786E" w14:paraId="132A0AD4" w14:textId="77777777">
        <w:trPr>
          <w:cantSplit/>
          <w:trHeight w:val="320"/>
        </w:trPr>
        <w:tc>
          <w:tcPr>
            <w:tcW w:w="2435" w:type="pct"/>
            <w:tcBorders>
              <w:top w:val="single" w:sz="4" w:space="0" w:color="auto"/>
              <w:left w:val="single" w:sz="4" w:space="0" w:color="auto"/>
              <w:bottom w:val="single" w:sz="4" w:space="0" w:color="auto"/>
              <w:right w:val="single" w:sz="4" w:space="0" w:color="auto"/>
            </w:tcBorders>
            <w:hideMark/>
          </w:tcPr>
          <w:p w14:paraId="39BB9E40"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Yes, and my application was successful</w:t>
            </w:r>
          </w:p>
        </w:tc>
        <w:tc>
          <w:tcPr>
            <w:tcW w:w="471" w:type="pct"/>
            <w:tcBorders>
              <w:top w:val="single" w:sz="4" w:space="0" w:color="auto"/>
              <w:left w:val="single" w:sz="4" w:space="0" w:color="auto"/>
              <w:bottom w:val="single" w:sz="4" w:space="0" w:color="auto"/>
              <w:right w:val="single" w:sz="4" w:space="0" w:color="auto"/>
            </w:tcBorders>
            <w:vAlign w:val="center"/>
            <w:hideMark/>
          </w:tcPr>
          <w:p w14:paraId="6DB2C148" w14:textId="77777777" w:rsidR="00B2786E" w:rsidRDefault="00B2786E">
            <w:pPr>
              <w:spacing w:before="60"/>
              <w:jc w:val="center"/>
              <w:rPr>
                <w:rFonts w:cs="Arial"/>
                <w:color w:val="1D1D1B" w:themeColor="text1"/>
              </w:rPr>
            </w:pPr>
            <w:r>
              <w:rPr>
                <w:rFonts w:cs="Arial"/>
                <w:color w:val="1D1D1B" w:themeColor="text1"/>
              </w:rPr>
              <w:t>4</w:t>
            </w:r>
          </w:p>
        </w:tc>
        <w:tc>
          <w:tcPr>
            <w:tcW w:w="2094" w:type="pct"/>
            <w:tcBorders>
              <w:top w:val="single" w:sz="4" w:space="0" w:color="auto"/>
              <w:left w:val="single" w:sz="4" w:space="0" w:color="auto"/>
              <w:bottom w:val="single" w:sz="4" w:space="0" w:color="auto"/>
              <w:right w:val="single" w:sz="4" w:space="0" w:color="auto"/>
            </w:tcBorders>
            <w:hideMark/>
          </w:tcPr>
          <w:p w14:paraId="7DADE4A8" w14:textId="77777777" w:rsidR="00B2786E" w:rsidRDefault="00B2786E">
            <w:pPr>
              <w:spacing w:before="60"/>
              <w:rPr>
                <w:rFonts w:cs="Arial"/>
                <w:color w:val="FF0000"/>
              </w:rPr>
            </w:pPr>
            <w:r>
              <w:rPr>
                <w:rFonts w:cs="Arial"/>
                <w:color w:val="FF0000"/>
              </w:rPr>
              <w:t xml:space="preserve">IF CONTROL GROUP ALLOW TO CONTINUE BASED ON THE SCHEME THEY SELECTED ONLY IF CRN IN THE SAMPLE </w:t>
            </w:r>
          </w:p>
        </w:tc>
      </w:tr>
      <w:tr w:rsidR="00B2786E" w14:paraId="6556741D" w14:textId="77777777">
        <w:trPr>
          <w:cantSplit/>
          <w:trHeight w:val="320"/>
        </w:trPr>
        <w:tc>
          <w:tcPr>
            <w:tcW w:w="2435" w:type="pct"/>
            <w:tcBorders>
              <w:top w:val="single" w:sz="4" w:space="0" w:color="auto"/>
              <w:left w:val="single" w:sz="4" w:space="0" w:color="auto"/>
              <w:bottom w:val="single" w:sz="4" w:space="0" w:color="auto"/>
              <w:right w:val="single" w:sz="4" w:space="0" w:color="auto"/>
            </w:tcBorders>
            <w:hideMark/>
          </w:tcPr>
          <w:p w14:paraId="4EEE1BFD"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Don’t know</w:t>
            </w:r>
          </w:p>
        </w:tc>
        <w:tc>
          <w:tcPr>
            <w:tcW w:w="471" w:type="pct"/>
            <w:tcBorders>
              <w:top w:val="single" w:sz="4" w:space="0" w:color="auto"/>
              <w:left w:val="single" w:sz="4" w:space="0" w:color="auto"/>
              <w:bottom w:val="single" w:sz="4" w:space="0" w:color="auto"/>
              <w:right w:val="single" w:sz="4" w:space="0" w:color="auto"/>
            </w:tcBorders>
            <w:vAlign w:val="center"/>
            <w:hideMark/>
          </w:tcPr>
          <w:p w14:paraId="1FB4A2DC" w14:textId="77777777" w:rsidR="00B2786E" w:rsidRDefault="00B2786E">
            <w:pPr>
              <w:spacing w:before="60"/>
              <w:jc w:val="center"/>
              <w:rPr>
                <w:rFonts w:cs="Arial"/>
                <w:color w:val="1D1D1B" w:themeColor="text1"/>
              </w:rPr>
            </w:pPr>
            <w:r>
              <w:rPr>
                <w:rFonts w:cs="Arial"/>
                <w:color w:val="1D1D1B" w:themeColor="text1"/>
              </w:rPr>
              <w:t>98</w:t>
            </w:r>
          </w:p>
        </w:tc>
        <w:tc>
          <w:tcPr>
            <w:tcW w:w="2094" w:type="pct"/>
            <w:tcBorders>
              <w:top w:val="single" w:sz="4" w:space="0" w:color="auto"/>
              <w:left w:val="single" w:sz="4" w:space="0" w:color="auto"/>
              <w:bottom w:val="single" w:sz="4" w:space="0" w:color="auto"/>
              <w:right w:val="single" w:sz="4" w:space="0" w:color="auto"/>
            </w:tcBorders>
            <w:hideMark/>
          </w:tcPr>
          <w:p w14:paraId="6FD8A59D" w14:textId="77777777" w:rsidR="00B2786E" w:rsidRDefault="00B2786E">
            <w:pPr>
              <w:spacing w:before="60"/>
              <w:rPr>
                <w:rFonts w:cs="Arial"/>
                <w:color w:val="FF0000"/>
              </w:rPr>
            </w:pPr>
            <w:r>
              <w:rPr>
                <w:rFonts w:cs="Arial"/>
                <w:color w:val="FF0000"/>
              </w:rPr>
              <w:t>CLOSE IF CONTROL GROUP (S6DV=1-3)</w:t>
            </w:r>
          </w:p>
        </w:tc>
      </w:tr>
      <w:tr w:rsidR="00B2786E" w14:paraId="17DEBE48" w14:textId="77777777">
        <w:trPr>
          <w:cantSplit/>
          <w:trHeight w:val="320"/>
        </w:trPr>
        <w:tc>
          <w:tcPr>
            <w:tcW w:w="2435" w:type="pct"/>
            <w:tcBorders>
              <w:top w:val="single" w:sz="4" w:space="0" w:color="auto"/>
              <w:left w:val="single" w:sz="4" w:space="0" w:color="auto"/>
              <w:bottom w:val="single" w:sz="4" w:space="0" w:color="auto"/>
              <w:right w:val="single" w:sz="4" w:space="0" w:color="auto"/>
            </w:tcBorders>
            <w:vAlign w:val="center"/>
            <w:hideMark/>
          </w:tcPr>
          <w:p w14:paraId="40B174F2"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Refused</w:t>
            </w:r>
          </w:p>
        </w:tc>
        <w:tc>
          <w:tcPr>
            <w:tcW w:w="471" w:type="pct"/>
            <w:tcBorders>
              <w:top w:val="single" w:sz="4" w:space="0" w:color="auto"/>
              <w:left w:val="single" w:sz="4" w:space="0" w:color="auto"/>
              <w:bottom w:val="single" w:sz="4" w:space="0" w:color="auto"/>
              <w:right w:val="single" w:sz="4" w:space="0" w:color="auto"/>
            </w:tcBorders>
            <w:vAlign w:val="center"/>
            <w:hideMark/>
          </w:tcPr>
          <w:p w14:paraId="72E03DC7" w14:textId="77777777" w:rsidR="00B2786E" w:rsidRDefault="00B2786E">
            <w:pPr>
              <w:spacing w:before="60"/>
              <w:jc w:val="center"/>
              <w:rPr>
                <w:rFonts w:cs="Arial"/>
                <w:color w:val="1D1D1B" w:themeColor="text1"/>
              </w:rPr>
            </w:pPr>
            <w:r>
              <w:rPr>
                <w:rFonts w:cs="Arial"/>
              </w:rPr>
              <w:t>99</w:t>
            </w:r>
          </w:p>
        </w:tc>
        <w:tc>
          <w:tcPr>
            <w:tcW w:w="2094" w:type="pct"/>
            <w:tcBorders>
              <w:top w:val="single" w:sz="4" w:space="0" w:color="auto"/>
              <w:left w:val="single" w:sz="4" w:space="0" w:color="auto"/>
              <w:bottom w:val="single" w:sz="4" w:space="0" w:color="auto"/>
              <w:right w:val="single" w:sz="4" w:space="0" w:color="auto"/>
            </w:tcBorders>
            <w:hideMark/>
          </w:tcPr>
          <w:p w14:paraId="1FAF01A4" w14:textId="77777777" w:rsidR="00B2786E" w:rsidRDefault="00B2786E">
            <w:pPr>
              <w:spacing w:before="60"/>
              <w:rPr>
                <w:rFonts w:cs="Arial"/>
                <w:color w:val="FF0000"/>
              </w:rPr>
            </w:pPr>
            <w:r>
              <w:rPr>
                <w:rFonts w:cs="Arial"/>
                <w:color w:val="FF0000"/>
              </w:rPr>
              <w:t>CLOSE IF CONTROL GROUP (S6DV=1-3)</w:t>
            </w:r>
          </w:p>
        </w:tc>
      </w:tr>
    </w:tbl>
    <w:p w14:paraId="5736917E" w14:textId="77777777" w:rsidR="00B2786E" w:rsidRDefault="00B2786E" w:rsidP="00B2786E">
      <w:pPr>
        <w:rPr>
          <w:rFonts w:cs="Arial"/>
          <w:color w:val="1D1D1B" w:themeColor="text1"/>
          <w:sz w:val="22"/>
        </w:rPr>
      </w:pPr>
    </w:p>
    <w:p w14:paraId="63787799" w14:textId="77777777" w:rsidR="00B2786E" w:rsidRDefault="00B2786E" w:rsidP="00B2786E">
      <w:r>
        <w:t>NUMBERS IN THE SAMPLE, THEY WILL NO LONGER SCREEN OUT BUT WILL BE ALLOWED TO CONTINUE AS ONE OF THE RECIPIENT GROUPS.</w:t>
      </w:r>
    </w:p>
    <w:p w14:paraId="1F9106D8" w14:textId="77777777" w:rsidR="00B2786E" w:rsidRPr="006F30CC" w:rsidRDefault="00B2786E" w:rsidP="00B2786E">
      <w:r>
        <w:t>FOR THE REMAINING QUESTIONNAIRE, THEY NEED TO BE TREATED AS RECIPIENTS AND BE SHOWN ALL OF THE RELEVANT QUESTIONS, FOR SUBS, WE’LL USE WORDING BASED ON THE SCHEME THEY SELECTED AT S8.</w:t>
      </w:r>
    </w:p>
    <w:p w14:paraId="19C05347" w14:textId="77777777" w:rsidR="00B2786E" w:rsidRDefault="00B2786E" w:rsidP="00B2786E">
      <w:pPr>
        <w:rPr>
          <w:rFonts w:cs="Arial"/>
          <w:bCs/>
          <w:color w:val="F06603" w:themeColor="accent6"/>
          <w:lang w:eastAsia="en-GB"/>
        </w:rPr>
      </w:pPr>
      <w:r>
        <w:rPr>
          <w:rFonts w:cs="Arial"/>
          <w:bCs/>
          <w:color w:val="FF0000"/>
          <w:lang w:eastAsia="en-GB"/>
        </w:rPr>
        <w:t xml:space="preserve">SCRIPTING INSTRUCTION: FOR CONTROL SAMPLE, PLEASE SCREEN OUT ANY WHO WAS SUCCESSFUL AND RECEIVED TWO DIFFERENT LOANS (code 4) – </w:t>
      </w:r>
      <w:proofErr w:type="gramStart"/>
      <w:r>
        <w:rPr>
          <w:rFonts w:cs="Arial"/>
          <w:bCs/>
          <w:color w:val="FF0000"/>
          <w:lang w:eastAsia="en-GB"/>
        </w:rPr>
        <w:t>I.e.</w:t>
      </w:r>
      <w:proofErr w:type="gramEnd"/>
      <w:r>
        <w:rPr>
          <w:rFonts w:cs="Arial"/>
          <w:bCs/>
          <w:color w:val="FF0000"/>
          <w:lang w:eastAsia="en-GB"/>
        </w:rPr>
        <w:t xml:space="preserve"> BBL= 4 and CBIL =4, TWO LOANS OF THE SAME TYPE (e.g. CBIL + CBIL) ARE ALLOWED, RECIPIENT SAMPLE TAKE INFO FROM SAMPLE INSTEAD</w:t>
      </w:r>
    </w:p>
    <w:p w14:paraId="02479739" w14:textId="77777777" w:rsidR="00B2786E" w:rsidRDefault="00B2786E" w:rsidP="00B2786E">
      <w:pPr>
        <w:rPr>
          <w:rFonts w:cs="Arial"/>
          <w:color w:val="FF0000"/>
        </w:rPr>
      </w:pPr>
      <w:r>
        <w:rPr>
          <w:rFonts w:cs="Arial"/>
          <w:color w:val="FF0000"/>
        </w:rPr>
        <w:t>ASK ALL</w:t>
      </w:r>
    </w:p>
    <w:p w14:paraId="0F8123AD" w14:textId="77777777" w:rsidR="00B2786E" w:rsidRPr="006F30CC" w:rsidRDefault="00B2786E" w:rsidP="00B2786E">
      <w:pPr>
        <w:rPr>
          <w:rFonts w:cs="Arial"/>
          <w:color w:val="FF0000"/>
        </w:rPr>
      </w:pPr>
      <w:r>
        <w:rPr>
          <w:rFonts w:cs="Arial"/>
          <w:b/>
          <w:bCs/>
        </w:rPr>
        <w:t xml:space="preserve">S9 What is the current trading status of your business? </w:t>
      </w:r>
      <w:r>
        <w:rPr>
          <w:rFonts w:cs="Arial"/>
          <w:color w:val="FF0000"/>
        </w:rPr>
        <w:t xml:space="preserve">MULTICODE </w:t>
      </w:r>
      <w:r>
        <w:rPr>
          <w:rFonts w:cs="Arial"/>
          <w:b/>
          <w:color w:val="FF0000"/>
        </w:rPr>
        <w:t xml:space="preserve">OK </w:t>
      </w:r>
      <w:r>
        <w:rPr>
          <w:rFonts w:cs="Arial"/>
          <w:color w:val="FF0000"/>
        </w:rPr>
        <w:t xml:space="preserve">1-2 AND 6. </w:t>
      </w:r>
      <w:r>
        <w:rPr>
          <w:rFonts w:cs="Arial"/>
          <w:color w:val="F06603" w:themeColor="accent6"/>
        </w:rPr>
        <w:t>READ OUT</w:t>
      </w:r>
      <w:r>
        <w:rPr>
          <w:rFonts w:cs="Arial"/>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9164"/>
        <w:gridCol w:w="980"/>
      </w:tblGrid>
      <w:tr w:rsidR="00B2786E" w14:paraId="464AC634" w14:textId="77777777">
        <w:trPr>
          <w:cantSplit/>
          <w:trHeight w:val="397"/>
        </w:trPr>
        <w:tc>
          <w:tcPr>
            <w:tcW w:w="4517" w:type="pct"/>
            <w:tcBorders>
              <w:top w:val="single" w:sz="4" w:space="0" w:color="auto"/>
              <w:left w:val="single" w:sz="4" w:space="0" w:color="auto"/>
              <w:bottom w:val="single" w:sz="4" w:space="0" w:color="auto"/>
              <w:right w:val="single" w:sz="4" w:space="0" w:color="auto"/>
            </w:tcBorders>
            <w:vAlign w:val="center"/>
            <w:hideMark/>
          </w:tcPr>
          <w:p w14:paraId="68425FA4" w14:textId="77777777" w:rsidR="00B2786E" w:rsidRDefault="00B2786E" w:rsidP="00A416C5">
            <w:r>
              <w:lastRenderedPageBreak/>
              <w:t>Continuing to trade in the same goods, services and/or markets as before the start of the Covid-19 pandemic</w:t>
            </w:r>
          </w:p>
        </w:tc>
        <w:tc>
          <w:tcPr>
            <w:tcW w:w="483" w:type="pct"/>
            <w:tcBorders>
              <w:top w:val="single" w:sz="4" w:space="0" w:color="auto"/>
              <w:left w:val="single" w:sz="4" w:space="0" w:color="auto"/>
              <w:bottom w:val="single" w:sz="4" w:space="0" w:color="auto"/>
              <w:right w:val="single" w:sz="4" w:space="0" w:color="auto"/>
            </w:tcBorders>
            <w:vAlign w:val="center"/>
            <w:hideMark/>
          </w:tcPr>
          <w:p w14:paraId="555C0579" w14:textId="77777777" w:rsidR="00B2786E" w:rsidRDefault="00B2786E" w:rsidP="00A416C5">
            <w:pPr>
              <w:jc w:val="center"/>
            </w:pPr>
            <w:r>
              <w:t>1</w:t>
            </w:r>
          </w:p>
        </w:tc>
      </w:tr>
      <w:tr w:rsidR="00B2786E" w14:paraId="5F8B09BD" w14:textId="77777777">
        <w:trPr>
          <w:cantSplit/>
          <w:trHeight w:val="397"/>
        </w:trPr>
        <w:tc>
          <w:tcPr>
            <w:tcW w:w="4517" w:type="pct"/>
            <w:tcBorders>
              <w:top w:val="single" w:sz="4" w:space="0" w:color="auto"/>
              <w:left w:val="single" w:sz="4" w:space="0" w:color="auto"/>
              <w:bottom w:val="single" w:sz="4" w:space="0" w:color="auto"/>
              <w:right w:val="single" w:sz="4" w:space="0" w:color="auto"/>
            </w:tcBorders>
            <w:vAlign w:val="center"/>
            <w:hideMark/>
          </w:tcPr>
          <w:p w14:paraId="3DA28B2A" w14:textId="77777777" w:rsidR="00B2786E" w:rsidRDefault="00B2786E" w:rsidP="00A416C5">
            <w:r>
              <w:t>Continuing to trade but in new goods, services and/or markets as before the start of the Covid-19 pandemic</w:t>
            </w:r>
          </w:p>
        </w:tc>
        <w:tc>
          <w:tcPr>
            <w:tcW w:w="483" w:type="pct"/>
            <w:tcBorders>
              <w:top w:val="single" w:sz="4" w:space="0" w:color="auto"/>
              <w:left w:val="single" w:sz="4" w:space="0" w:color="auto"/>
              <w:bottom w:val="single" w:sz="4" w:space="0" w:color="auto"/>
              <w:right w:val="single" w:sz="4" w:space="0" w:color="auto"/>
            </w:tcBorders>
            <w:vAlign w:val="center"/>
            <w:hideMark/>
          </w:tcPr>
          <w:p w14:paraId="1FC18EAB" w14:textId="77777777" w:rsidR="00B2786E" w:rsidRDefault="00B2786E" w:rsidP="00A416C5">
            <w:pPr>
              <w:jc w:val="center"/>
            </w:pPr>
            <w:r>
              <w:t>2</w:t>
            </w:r>
          </w:p>
        </w:tc>
      </w:tr>
      <w:tr w:rsidR="00B2786E" w14:paraId="7660BAB9" w14:textId="77777777">
        <w:trPr>
          <w:cantSplit/>
          <w:trHeight w:val="397"/>
        </w:trPr>
        <w:tc>
          <w:tcPr>
            <w:tcW w:w="4517" w:type="pct"/>
            <w:tcBorders>
              <w:top w:val="single" w:sz="4" w:space="0" w:color="auto"/>
              <w:left w:val="single" w:sz="4" w:space="0" w:color="auto"/>
              <w:bottom w:val="single" w:sz="4" w:space="0" w:color="auto"/>
              <w:right w:val="single" w:sz="4" w:space="0" w:color="auto"/>
            </w:tcBorders>
            <w:vAlign w:val="center"/>
            <w:hideMark/>
          </w:tcPr>
          <w:p w14:paraId="74018CC5" w14:textId="77777777" w:rsidR="00B2786E" w:rsidRDefault="00B2786E" w:rsidP="00A416C5">
            <w:r>
              <w:t>Has temporarily closed or temporarily paused trading [EXCLUSIVE]</w:t>
            </w:r>
          </w:p>
        </w:tc>
        <w:tc>
          <w:tcPr>
            <w:tcW w:w="483" w:type="pct"/>
            <w:tcBorders>
              <w:top w:val="single" w:sz="4" w:space="0" w:color="auto"/>
              <w:left w:val="single" w:sz="4" w:space="0" w:color="auto"/>
              <w:bottom w:val="single" w:sz="4" w:space="0" w:color="auto"/>
              <w:right w:val="single" w:sz="4" w:space="0" w:color="auto"/>
            </w:tcBorders>
            <w:vAlign w:val="center"/>
            <w:hideMark/>
          </w:tcPr>
          <w:p w14:paraId="7A825E18" w14:textId="77777777" w:rsidR="00B2786E" w:rsidRDefault="00B2786E" w:rsidP="00A416C5">
            <w:pPr>
              <w:jc w:val="center"/>
            </w:pPr>
            <w:r>
              <w:t>3</w:t>
            </w:r>
          </w:p>
        </w:tc>
      </w:tr>
      <w:tr w:rsidR="00B2786E" w14:paraId="5D5514B0" w14:textId="77777777">
        <w:trPr>
          <w:cantSplit/>
          <w:trHeight w:val="397"/>
        </w:trPr>
        <w:tc>
          <w:tcPr>
            <w:tcW w:w="4517" w:type="pct"/>
            <w:tcBorders>
              <w:top w:val="single" w:sz="4" w:space="0" w:color="auto"/>
              <w:left w:val="single" w:sz="4" w:space="0" w:color="auto"/>
              <w:bottom w:val="single" w:sz="4" w:space="0" w:color="auto"/>
              <w:right w:val="single" w:sz="4" w:space="0" w:color="auto"/>
            </w:tcBorders>
            <w:vAlign w:val="center"/>
            <w:hideMark/>
          </w:tcPr>
          <w:p w14:paraId="77E83CB8" w14:textId="77777777" w:rsidR="00B2786E" w:rsidRDefault="00B2786E" w:rsidP="00A416C5">
            <w:r>
              <w:t xml:space="preserve">In the process of </w:t>
            </w:r>
            <w:proofErr w:type="gramStart"/>
            <w:r>
              <w:t>closing down</w:t>
            </w:r>
            <w:proofErr w:type="gramEnd"/>
            <w:r>
              <w:t xml:space="preserve"> permanently [EXCLUSIVE]</w:t>
            </w:r>
          </w:p>
        </w:tc>
        <w:tc>
          <w:tcPr>
            <w:tcW w:w="483" w:type="pct"/>
            <w:tcBorders>
              <w:top w:val="single" w:sz="4" w:space="0" w:color="auto"/>
              <w:left w:val="single" w:sz="4" w:space="0" w:color="auto"/>
              <w:bottom w:val="single" w:sz="4" w:space="0" w:color="auto"/>
              <w:right w:val="single" w:sz="4" w:space="0" w:color="auto"/>
            </w:tcBorders>
            <w:vAlign w:val="center"/>
            <w:hideMark/>
          </w:tcPr>
          <w:p w14:paraId="236E663E" w14:textId="77777777" w:rsidR="00B2786E" w:rsidRDefault="00B2786E" w:rsidP="00A416C5">
            <w:pPr>
              <w:jc w:val="center"/>
            </w:pPr>
            <w:r>
              <w:t>4</w:t>
            </w:r>
          </w:p>
        </w:tc>
      </w:tr>
      <w:tr w:rsidR="00B2786E" w14:paraId="7CCACF1E" w14:textId="77777777">
        <w:trPr>
          <w:cantSplit/>
          <w:trHeight w:val="397"/>
        </w:trPr>
        <w:tc>
          <w:tcPr>
            <w:tcW w:w="4517" w:type="pct"/>
            <w:tcBorders>
              <w:top w:val="single" w:sz="4" w:space="0" w:color="auto"/>
              <w:left w:val="single" w:sz="4" w:space="0" w:color="auto"/>
              <w:bottom w:val="single" w:sz="4" w:space="0" w:color="auto"/>
              <w:right w:val="single" w:sz="4" w:space="0" w:color="auto"/>
            </w:tcBorders>
            <w:vAlign w:val="center"/>
            <w:hideMark/>
          </w:tcPr>
          <w:p w14:paraId="24079EAC" w14:textId="77777777" w:rsidR="00B2786E" w:rsidRDefault="00B2786E" w:rsidP="00A416C5">
            <w:r>
              <w:t>Permanently closed [EXCLUSIVE]</w:t>
            </w:r>
          </w:p>
        </w:tc>
        <w:tc>
          <w:tcPr>
            <w:tcW w:w="483" w:type="pct"/>
            <w:tcBorders>
              <w:top w:val="single" w:sz="4" w:space="0" w:color="auto"/>
              <w:left w:val="single" w:sz="4" w:space="0" w:color="auto"/>
              <w:bottom w:val="single" w:sz="4" w:space="0" w:color="auto"/>
              <w:right w:val="single" w:sz="4" w:space="0" w:color="auto"/>
            </w:tcBorders>
            <w:vAlign w:val="center"/>
            <w:hideMark/>
          </w:tcPr>
          <w:p w14:paraId="535EF431" w14:textId="77777777" w:rsidR="00B2786E" w:rsidRDefault="00B2786E" w:rsidP="00A416C5">
            <w:pPr>
              <w:jc w:val="center"/>
            </w:pPr>
            <w:r>
              <w:t>5</w:t>
            </w:r>
          </w:p>
        </w:tc>
      </w:tr>
      <w:tr w:rsidR="00B2786E" w14:paraId="644B2608" w14:textId="77777777">
        <w:trPr>
          <w:cantSplit/>
          <w:trHeight w:val="397"/>
        </w:trPr>
        <w:tc>
          <w:tcPr>
            <w:tcW w:w="4517" w:type="pct"/>
            <w:tcBorders>
              <w:top w:val="single" w:sz="4" w:space="0" w:color="auto"/>
              <w:left w:val="single" w:sz="4" w:space="0" w:color="auto"/>
              <w:bottom w:val="single" w:sz="4" w:space="0" w:color="auto"/>
              <w:right w:val="single" w:sz="4" w:space="0" w:color="auto"/>
            </w:tcBorders>
            <w:vAlign w:val="center"/>
            <w:hideMark/>
          </w:tcPr>
          <w:p w14:paraId="0B78B181" w14:textId="77777777" w:rsidR="00B2786E" w:rsidRDefault="00B2786E" w:rsidP="00A416C5">
            <w:r>
              <w:t>Other [PLEASE TYPE IN]</w:t>
            </w:r>
          </w:p>
        </w:tc>
        <w:tc>
          <w:tcPr>
            <w:tcW w:w="483" w:type="pct"/>
            <w:tcBorders>
              <w:top w:val="single" w:sz="4" w:space="0" w:color="auto"/>
              <w:left w:val="single" w:sz="4" w:space="0" w:color="auto"/>
              <w:bottom w:val="single" w:sz="4" w:space="0" w:color="auto"/>
              <w:right w:val="single" w:sz="4" w:space="0" w:color="auto"/>
            </w:tcBorders>
            <w:vAlign w:val="center"/>
            <w:hideMark/>
          </w:tcPr>
          <w:p w14:paraId="303E623A" w14:textId="77777777" w:rsidR="00B2786E" w:rsidRDefault="00B2786E" w:rsidP="00A416C5">
            <w:pPr>
              <w:jc w:val="center"/>
            </w:pPr>
            <w:r>
              <w:t>6</w:t>
            </w:r>
          </w:p>
        </w:tc>
      </w:tr>
      <w:tr w:rsidR="00B2786E" w14:paraId="09FEAF32" w14:textId="77777777">
        <w:trPr>
          <w:cantSplit/>
          <w:trHeight w:val="397"/>
        </w:trPr>
        <w:tc>
          <w:tcPr>
            <w:tcW w:w="4517" w:type="pct"/>
            <w:tcBorders>
              <w:top w:val="single" w:sz="4" w:space="0" w:color="auto"/>
              <w:left w:val="single" w:sz="4" w:space="0" w:color="auto"/>
              <w:bottom w:val="single" w:sz="4" w:space="0" w:color="auto"/>
              <w:right w:val="single" w:sz="4" w:space="0" w:color="auto"/>
            </w:tcBorders>
            <w:vAlign w:val="center"/>
            <w:hideMark/>
          </w:tcPr>
          <w:p w14:paraId="31FEEE61" w14:textId="77777777" w:rsidR="00B2786E" w:rsidRDefault="00B2786E" w:rsidP="00A416C5">
            <w:r>
              <w:t>Don’t know</w:t>
            </w:r>
          </w:p>
        </w:tc>
        <w:tc>
          <w:tcPr>
            <w:tcW w:w="483" w:type="pct"/>
            <w:tcBorders>
              <w:top w:val="single" w:sz="4" w:space="0" w:color="auto"/>
              <w:left w:val="single" w:sz="4" w:space="0" w:color="auto"/>
              <w:bottom w:val="single" w:sz="4" w:space="0" w:color="auto"/>
              <w:right w:val="single" w:sz="4" w:space="0" w:color="auto"/>
            </w:tcBorders>
            <w:vAlign w:val="center"/>
            <w:hideMark/>
          </w:tcPr>
          <w:p w14:paraId="1C0BC12D" w14:textId="77777777" w:rsidR="00B2786E" w:rsidRDefault="00B2786E" w:rsidP="00A416C5">
            <w:pPr>
              <w:jc w:val="center"/>
            </w:pPr>
            <w:r>
              <w:t>98</w:t>
            </w:r>
          </w:p>
        </w:tc>
      </w:tr>
      <w:tr w:rsidR="00B2786E" w14:paraId="146B3552" w14:textId="77777777">
        <w:trPr>
          <w:cantSplit/>
          <w:trHeight w:val="397"/>
        </w:trPr>
        <w:tc>
          <w:tcPr>
            <w:tcW w:w="4517" w:type="pct"/>
            <w:tcBorders>
              <w:top w:val="single" w:sz="4" w:space="0" w:color="auto"/>
              <w:left w:val="single" w:sz="4" w:space="0" w:color="auto"/>
              <w:bottom w:val="single" w:sz="4" w:space="0" w:color="auto"/>
              <w:right w:val="single" w:sz="4" w:space="0" w:color="auto"/>
            </w:tcBorders>
            <w:vAlign w:val="center"/>
            <w:hideMark/>
          </w:tcPr>
          <w:p w14:paraId="0A93CE76" w14:textId="77777777" w:rsidR="00B2786E" w:rsidRDefault="00B2786E" w:rsidP="00A416C5">
            <w:r>
              <w:t>Refused</w:t>
            </w:r>
          </w:p>
        </w:tc>
        <w:tc>
          <w:tcPr>
            <w:tcW w:w="483" w:type="pct"/>
            <w:tcBorders>
              <w:top w:val="single" w:sz="4" w:space="0" w:color="auto"/>
              <w:left w:val="single" w:sz="4" w:space="0" w:color="auto"/>
              <w:bottom w:val="single" w:sz="4" w:space="0" w:color="auto"/>
              <w:right w:val="single" w:sz="4" w:space="0" w:color="auto"/>
            </w:tcBorders>
            <w:vAlign w:val="center"/>
            <w:hideMark/>
          </w:tcPr>
          <w:p w14:paraId="6364284E" w14:textId="77777777" w:rsidR="00B2786E" w:rsidRDefault="00B2786E" w:rsidP="00A416C5">
            <w:pPr>
              <w:jc w:val="center"/>
            </w:pPr>
            <w:r>
              <w:t>99</w:t>
            </w:r>
          </w:p>
        </w:tc>
      </w:tr>
    </w:tbl>
    <w:p w14:paraId="6FE93D5D" w14:textId="77777777" w:rsidR="00B2786E" w:rsidRDefault="00B2786E" w:rsidP="00B2786E">
      <w:pPr>
        <w:rPr>
          <w:rFonts w:cs="Arial"/>
          <w:sz w:val="22"/>
        </w:rPr>
      </w:pPr>
    </w:p>
    <w:p w14:paraId="61E409ED" w14:textId="77777777" w:rsidR="00B2786E" w:rsidRDefault="00B2786E" w:rsidP="00B2786E">
      <w:pPr>
        <w:rPr>
          <w:rFonts w:cs="Arial"/>
          <w:color w:val="FF0000"/>
        </w:rPr>
      </w:pPr>
      <w:r>
        <w:rPr>
          <w:rFonts w:cs="Arial"/>
          <w:color w:val="FF0000"/>
        </w:rPr>
        <w:t>ASK ALL THAT ARE TEMPORARILY OR PERMANENTLY CLOSED (CODE 3 TO 5) AT S9</w:t>
      </w:r>
    </w:p>
    <w:p w14:paraId="045DADBB" w14:textId="77777777" w:rsidR="00B2786E" w:rsidRDefault="00B2786E" w:rsidP="00B2786E">
      <w:pPr>
        <w:rPr>
          <w:rFonts w:cs="Arial"/>
        </w:rPr>
      </w:pPr>
      <w:r>
        <w:rPr>
          <w:rFonts w:cs="Arial"/>
          <w:b/>
          <w:bCs/>
        </w:rPr>
        <w:t xml:space="preserve">S10 To what extent do you feel the decision to close your business is attributable to the </w:t>
      </w:r>
      <w:r>
        <w:rPr>
          <w:rFonts w:cs="Arial"/>
          <w:b/>
          <w:bCs/>
          <w:color w:val="1D1D1B" w:themeColor="text1"/>
        </w:rPr>
        <w:t xml:space="preserve">Covid-19 </w:t>
      </w:r>
      <w:r>
        <w:rPr>
          <w:rFonts w:cs="Arial"/>
          <w:b/>
          <w:bCs/>
        </w:rPr>
        <w:t xml:space="preserve">pandemic? </w:t>
      </w:r>
      <w:r>
        <w:rPr>
          <w:rFonts w:cs="Arial"/>
          <w:color w:val="FF0000"/>
        </w:rPr>
        <w:t xml:space="preserve">REVERSE SCALE 1-5. SINGLE CODE ONLY. </w:t>
      </w:r>
      <w:r>
        <w:rPr>
          <w:rFonts w:cs="Arial"/>
          <w:color w:val="F06603" w:themeColor="accent6"/>
        </w:rPr>
        <w:t xml:space="preserve">READ OUT.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9245"/>
        <w:gridCol w:w="899"/>
      </w:tblGrid>
      <w:tr w:rsidR="00B2786E" w14:paraId="7A0A077C" w14:textId="77777777">
        <w:trPr>
          <w:cantSplit/>
          <w:trHeight w:val="397"/>
        </w:trPr>
        <w:tc>
          <w:tcPr>
            <w:tcW w:w="4557" w:type="pct"/>
            <w:tcBorders>
              <w:top w:val="single" w:sz="4" w:space="0" w:color="auto"/>
              <w:left w:val="single" w:sz="4" w:space="0" w:color="auto"/>
              <w:bottom w:val="single" w:sz="4" w:space="0" w:color="auto"/>
              <w:right w:val="single" w:sz="4" w:space="0" w:color="auto"/>
            </w:tcBorders>
            <w:vAlign w:val="center"/>
            <w:hideMark/>
          </w:tcPr>
          <w:p w14:paraId="18DE903D" w14:textId="77777777" w:rsidR="00B2786E" w:rsidRDefault="00B2786E" w:rsidP="00A416C5">
            <w:r>
              <w:t>Completely</w:t>
            </w:r>
          </w:p>
        </w:tc>
        <w:tc>
          <w:tcPr>
            <w:tcW w:w="443" w:type="pct"/>
            <w:tcBorders>
              <w:top w:val="single" w:sz="4" w:space="0" w:color="auto"/>
              <w:left w:val="single" w:sz="4" w:space="0" w:color="auto"/>
              <w:bottom w:val="single" w:sz="4" w:space="0" w:color="auto"/>
              <w:right w:val="single" w:sz="4" w:space="0" w:color="auto"/>
            </w:tcBorders>
            <w:vAlign w:val="center"/>
            <w:hideMark/>
          </w:tcPr>
          <w:p w14:paraId="2D503B91" w14:textId="77777777" w:rsidR="00B2786E" w:rsidRDefault="00B2786E" w:rsidP="00A416C5">
            <w:pPr>
              <w:jc w:val="center"/>
            </w:pPr>
            <w:r>
              <w:t>1</w:t>
            </w:r>
          </w:p>
        </w:tc>
      </w:tr>
      <w:tr w:rsidR="00B2786E" w14:paraId="4FB9E7DF" w14:textId="77777777">
        <w:trPr>
          <w:cantSplit/>
          <w:trHeight w:val="397"/>
        </w:trPr>
        <w:tc>
          <w:tcPr>
            <w:tcW w:w="4557" w:type="pct"/>
            <w:tcBorders>
              <w:top w:val="single" w:sz="4" w:space="0" w:color="auto"/>
              <w:left w:val="single" w:sz="4" w:space="0" w:color="auto"/>
              <w:bottom w:val="single" w:sz="4" w:space="0" w:color="auto"/>
              <w:right w:val="single" w:sz="4" w:space="0" w:color="auto"/>
            </w:tcBorders>
            <w:vAlign w:val="center"/>
            <w:hideMark/>
          </w:tcPr>
          <w:p w14:paraId="6DCE09C5" w14:textId="77777777" w:rsidR="00B2786E" w:rsidRDefault="00B2786E" w:rsidP="00A416C5">
            <w:r>
              <w:t>A great deal</w:t>
            </w:r>
          </w:p>
        </w:tc>
        <w:tc>
          <w:tcPr>
            <w:tcW w:w="443" w:type="pct"/>
            <w:tcBorders>
              <w:top w:val="single" w:sz="4" w:space="0" w:color="auto"/>
              <w:left w:val="single" w:sz="4" w:space="0" w:color="auto"/>
              <w:bottom w:val="single" w:sz="4" w:space="0" w:color="auto"/>
              <w:right w:val="single" w:sz="4" w:space="0" w:color="auto"/>
            </w:tcBorders>
            <w:vAlign w:val="center"/>
            <w:hideMark/>
          </w:tcPr>
          <w:p w14:paraId="1459AFCC" w14:textId="77777777" w:rsidR="00B2786E" w:rsidRDefault="00B2786E" w:rsidP="00A416C5">
            <w:pPr>
              <w:jc w:val="center"/>
            </w:pPr>
            <w:r>
              <w:t>2</w:t>
            </w:r>
          </w:p>
        </w:tc>
      </w:tr>
      <w:tr w:rsidR="00B2786E" w14:paraId="42758FE5" w14:textId="77777777">
        <w:trPr>
          <w:cantSplit/>
          <w:trHeight w:val="397"/>
        </w:trPr>
        <w:tc>
          <w:tcPr>
            <w:tcW w:w="4557" w:type="pct"/>
            <w:tcBorders>
              <w:top w:val="single" w:sz="4" w:space="0" w:color="auto"/>
              <w:left w:val="single" w:sz="4" w:space="0" w:color="auto"/>
              <w:bottom w:val="single" w:sz="4" w:space="0" w:color="auto"/>
              <w:right w:val="single" w:sz="4" w:space="0" w:color="auto"/>
            </w:tcBorders>
            <w:vAlign w:val="center"/>
            <w:hideMark/>
          </w:tcPr>
          <w:p w14:paraId="2A0129C9" w14:textId="77777777" w:rsidR="00B2786E" w:rsidRDefault="00B2786E" w:rsidP="00A416C5">
            <w:r>
              <w:t>A fair amount</w:t>
            </w:r>
          </w:p>
        </w:tc>
        <w:tc>
          <w:tcPr>
            <w:tcW w:w="443" w:type="pct"/>
            <w:tcBorders>
              <w:top w:val="single" w:sz="4" w:space="0" w:color="auto"/>
              <w:left w:val="single" w:sz="4" w:space="0" w:color="auto"/>
              <w:bottom w:val="single" w:sz="4" w:space="0" w:color="auto"/>
              <w:right w:val="single" w:sz="4" w:space="0" w:color="auto"/>
            </w:tcBorders>
            <w:vAlign w:val="center"/>
            <w:hideMark/>
          </w:tcPr>
          <w:p w14:paraId="09ACBA59" w14:textId="77777777" w:rsidR="00B2786E" w:rsidRDefault="00B2786E" w:rsidP="00A416C5">
            <w:pPr>
              <w:jc w:val="center"/>
            </w:pPr>
            <w:r>
              <w:t>3</w:t>
            </w:r>
          </w:p>
        </w:tc>
      </w:tr>
      <w:tr w:rsidR="00B2786E" w14:paraId="176A2E68" w14:textId="77777777">
        <w:trPr>
          <w:cantSplit/>
          <w:trHeight w:val="397"/>
        </w:trPr>
        <w:tc>
          <w:tcPr>
            <w:tcW w:w="4557" w:type="pct"/>
            <w:tcBorders>
              <w:top w:val="single" w:sz="4" w:space="0" w:color="auto"/>
              <w:left w:val="single" w:sz="4" w:space="0" w:color="auto"/>
              <w:bottom w:val="single" w:sz="4" w:space="0" w:color="auto"/>
              <w:right w:val="single" w:sz="4" w:space="0" w:color="auto"/>
            </w:tcBorders>
            <w:vAlign w:val="center"/>
            <w:hideMark/>
          </w:tcPr>
          <w:p w14:paraId="331E1A6F" w14:textId="77777777" w:rsidR="00B2786E" w:rsidRDefault="00B2786E" w:rsidP="00A416C5">
            <w:r>
              <w:t>Not very much</w:t>
            </w:r>
          </w:p>
        </w:tc>
        <w:tc>
          <w:tcPr>
            <w:tcW w:w="443" w:type="pct"/>
            <w:tcBorders>
              <w:top w:val="single" w:sz="4" w:space="0" w:color="auto"/>
              <w:left w:val="single" w:sz="4" w:space="0" w:color="auto"/>
              <w:bottom w:val="single" w:sz="4" w:space="0" w:color="auto"/>
              <w:right w:val="single" w:sz="4" w:space="0" w:color="auto"/>
            </w:tcBorders>
            <w:vAlign w:val="center"/>
            <w:hideMark/>
          </w:tcPr>
          <w:p w14:paraId="24E8F0CA" w14:textId="77777777" w:rsidR="00B2786E" w:rsidRDefault="00B2786E" w:rsidP="00A416C5">
            <w:pPr>
              <w:jc w:val="center"/>
            </w:pPr>
            <w:r>
              <w:t>4</w:t>
            </w:r>
          </w:p>
        </w:tc>
      </w:tr>
      <w:tr w:rsidR="00B2786E" w14:paraId="2C8F16E7" w14:textId="77777777">
        <w:trPr>
          <w:cantSplit/>
          <w:trHeight w:val="397"/>
        </w:trPr>
        <w:tc>
          <w:tcPr>
            <w:tcW w:w="4557" w:type="pct"/>
            <w:tcBorders>
              <w:top w:val="single" w:sz="4" w:space="0" w:color="auto"/>
              <w:left w:val="single" w:sz="4" w:space="0" w:color="auto"/>
              <w:bottom w:val="single" w:sz="4" w:space="0" w:color="auto"/>
              <w:right w:val="single" w:sz="4" w:space="0" w:color="auto"/>
            </w:tcBorders>
            <w:vAlign w:val="center"/>
            <w:hideMark/>
          </w:tcPr>
          <w:p w14:paraId="5F830806" w14:textId="77777777" w:rsidR="00B2786E" w:rsidRDefault="00B2786E" w:rsidP="00A416C5">
            <w:r>
              <w:t>Not at all</w:t>
            </w:r>
          </w:p>
        </w:tc>
        <w:tc>
          <w:tcPr>
            <w:tcW w:w="443" w:type="pct"/>
            <w:tcBorders>
              <w:top w:val="single" w:sz="4" w:space="0" w:color="auto"/>
              <w:left w:val="single" w:sz="4" w:space="0" w:color="auto"/>
              <w:bottom w:val="single" w:sz="4" w:space="0" w:color="auto"/>
              <w:right w:val="single" w:sz="4" w:space="0" w:color="auto"/>
            </w:tcBorders>
            <w:vAlign w:val="center"/>
            <w:hideMark/>
          </w:tcPr>
          <w:p w14:paraId="40D7A984" w14:textId="77777777" w:rsidR="00B2786E" w:rsidRDefault="00B2786E" w:rsidP="00A416C5">
            <w:pPr>
              <w:jc w:val="center"/>
            </w:pPr>
            <w:r>
              <w:t>5</w:t>
            </w:r>
          </w:p>
        </w:tc>
      </w:tr>
      <w:tr w:rsidR="00B2786E" w14:paraId="54AF5129" w14:textId="77777777">
        <w:trPr>
          <w:cantSplit/>
          <w:trHeight w:val="397"/>
        </w:trPr>
        <w:tc>
          <w:tcPr>
            <w:tcW w:w="4557" w:type="pct"/>
            <w:tcBorders>
              <w:top w:val="single" w:sz="4" w:space="0" w:color="auto"/>
              <w:left w:val="single" w:sz="4" w:space="0" w:color="auto"/>
              <w:bottom w:val="single" w:sz="4" w:space="0" w:color="auto"/>
              <w:right w:val="single" w:sz="4" w:space="0" w:color="auto"/>
            </w:tcBorders>
            <w:vAlign w:val="center"/>
            <w:hideMark/>
          </w:tcPr>
          <w:p w14:paraId="086E6F9E" w14:textId="77777777" w:rsidR="00B2786E" w:rsidRDefault="00B2786E" w:rsidP="00A416C5">
            <w:r>
              <w:t>Don’t know</w:t>
            </w:r>
          </w:p>
        </w:tc>
        <w:tc>
          <w:tcPr>
            <w:tcW w:w="443" w:type="pct"/>
            <w:tcBorders>
              <w:top w:val="single" w:sz="4" w:space="0" w:color="auto"/>
              <w:left w:val="single" w:sz="4" w:space="0" w:color="auto"/>
              <w:bottom w:val="single" w:sz="4" w:space="0" w:color="auto"/>
              <w:right w:val="single" w:sz="4" w:space="0" w:color="auto"/>
            </w:tcBorders>
            <w:vAlign w:val="center"/>
            <w:hideMark/>
          </w:tcPr>
          <w:p w14:paraId="0FBCAFC2" w14:textId="77777777" w:rsidR="00B2786E" w:rsidRDefault="00B2786E" w:rsidP="00A416C5">
            <w:pPr>
              <w:jc w:val="center"/>
            </w:pPr>
            <w:r>
              <w:t>98</w:t>
            </w:r>
          </w:p>
        </w:tc>
      </w:tr>
      <w:tr w:rsidR="00B2786E" w14:paraId="65340347" w14:textId="77777777">
        <w:trPr>
          <w:cantSplit/>
          <w:trHeight w:val="397"/>
        </w:trPr>
        <w:tc>
          <w:tcPr>
            <w:tcW w:w="4557" w:type="pct"/>
            <w:tcBorders>
              <w:top w:val="single" w:sz="4" w:space="0" w:color="auto"/>
              <w:left w:val="single" w:sz="4" w:space="0" w:color="auto"/>
              <w:bottom w:val="single" w:sz="4" w:space="0" w:color="auto"/>
              <w:right w:val="single" w:sz="4" w:space="0" w:color="auto"/>
            </w:tcBorders>
            <w:vAlign w:val="center"/>
            <w:hideMark/>
          </w:tcPr>
          <w:p w14:paraId="64C967C3" w14:textId="77777777" w:rsidR="00B2786E" w:rsidRDefault="00B2786E" w:rsidP="00A416C5">
            <w:r>
              <w:t>Refused</w:t>
            </w:r>
          </w:p>
        </w:tc>
        <w:tc>
          <w:tcPr>
            <w:tcW w:w="443" w:type="pct"/>
            <w:tcBorders>
              <w:top w:val="single" w:sz="4" w:space="0" w:color="auto"/>
              <w:left w:val="single" w:sz="4" w:space="0" w:color="auto"/>
              <w:bottom w:val="single" w:sz="4" w:space="0" w:color="auto"/>
              <w:right w:val="single" w:sz="4" w:space="0" w:color="auto"/>
            </w:tcBorders>
            <w:vAlign w:val="center"/>
            <w:hideMark/>
          </w:tcPr>
          <w:p w14:paraId="1D9E83D3" w14:textId="77777777" w:rsidR="00B2786E" w:rsidRDefault="00B2786E" w:rsidP="00A416C5">
            <w:pPr>
              <w:jc w:val="center"/>
            </w:pPr>
            <w:r>
              <w:t>99</w:t>
            </w:r>
          </w:p>
        </w:tc>
      </w:tr>
    </w:tbl>
    <w:p w14:paraId="176E9B87" w14:textId="77777777" w:rsidR="00B2786E" w:rsidRDefault="00B2786E" w:rsidP="00B2786E">
      <w:pPr>
        <w:tabs>
          <w:tab w:val="left" w:pos="720"/>
        </w:tabs>
        <w:rPr>
          <w:rFonts w:cs="Arial"/>
          <w:color w:val="FF0000"/>
        </w:rPr>
      </w:pPr>
    </w:p>
    <w:p w14:paraId="095150A1" w14:textId="77777777" w:rsidR="00B2786E" w:rsidRDefault="00B2786E" w:rsidP="00B2786E">
      <w:pPr>
        <w:tabs>
          <w:tab w:val="left" w:pos="720"/>
        </w:tabs>
        <w:rPr>
          <w:rFonts w:cs="Arial"/>
          <w:color w:val="FF0000"/>
        </w:rPr>
      </w:pPr>
      <w:r>
        <w:rPr>
          <w:rFonts w:cs="Arial"/>
          <w:color w:val="FF0000"/>
        </w:rPr>
        <w:t>ASK IF FRESH SAMPLE</w:t>
      </w:r>
    </w:p>
    <w:p w14:paraId="0F8EE803" w14:textId="77777777" w:rsidR="00B2786E" w:rsidRDefault="00B2786E" w:rsidP="00B2786E">
      <w:pPr>
        <w:rPr>
          <w:rFonts w:cs="Arial"/>
        </w:rPr>
      </w:pPr>
      <w:bookmarkStart w:id="227" w:name="_Hlk47522567"/>
      <w:r>
        <w:rPr>
          <w:rFonts w:cs="Arial"/>
          <w:b/>
          <w:bCs/>
        </w:rPr>
        <w:lastRenderedPageBreak/>
        <w:t xml:space="preserve">S11 Is your business … </w:t>
      </w:r>
      <w:r>
        <w:rPr>
          <w:rFonts w:cs="Arial"/>
          <w:b/>
          <w:bCs/>
          <w:color w:val="FF0000"/>
        </w:rPr>
        <w:t xml:space="preserve">IF CLOSED (S9=5): </w:t>
      </w:r>
      <w:r>
        <w:rPr>
          <w:rFonts w:cs="Arial"/>
          <w:b/>
          <w:bCs/>
        </w:rPr>
        <w:t>Was your business</w:t>
      </w:r>
      <w:r>
        <w:rPr>
          <w:rFonts w:cs="Arial"/>
          <w:b/>
          <w:bCs/>
          <w:color w:val="F06603" w:themeColor="accent6"/>
        </w:rPr>
        <w:t xml:space="preserve">… </w:t>
      </w:r>
      <w:r>
        <w:rPr>
          <w:rFonts w:cs="Arial"/>
          <w:color w:val="FF0000"/>
        </w:rPr>
        <w:t xml:space="preserve">SINGLE CODE ONLY. </w:t>
      </w:r>
      <w:r>
        <w:rPr>
          <w:rFonts w:cs="Arial"/>
          <w:bCs/>
          <w:color w:val="F06603" w:themeColor="accent6"/>
        </w:rPr>
        <w:t>READ OUT / SHOW A TO E</w:t>
      </w:r>
      <w:r>
        <w:rPr>
          <w:rFonts w:cs="Arial"/>
          <w:b/>
          <w:bCs/>
          <w:color w:val="F06603" w:themeColor="accent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6204"/>
        <w:gridCol w:w="1501"/>
        <w:gridCol w:w="2439"/>
      </w:tblGrid>
      <w:tr w:rsidR="00B2786E" w14:paraId="5A051A25" w14:textId="77777777">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7867856A" w14:textId="77777777" w:rsidR="00B2786E" w:rsidRDefault="00B2786E" w:rsidP="00B2786E">
            <w:pPr>
              <w:pStyle w:val="responsecodes"/>
              <w:numPr>
                <w:ilvl w:val="0"/>
                <w:numId w:val="68"/>
              </w:numPr>
              <w:tabs>
                <w:tab w:val="left" w:pos="0"/>
                <w:tab w:val="left" w:leader="dot" w:pos="8280"/>
              </w:tabs>
              <w:spacing w:before="60" w:line="256" w:lineRule="auto"/>
              <w:rPr>
                <w:bCs w:val="0"/>
                <w:color w:val="1D1D1B" w:themeColor="text1"/>
                <w:sz w:val="20"/>
                <w:szCs w:val="20"/>
              </w:rPr>
            </w:pPr>
            <w:r>
              <w:rPr>
                <w:bCs w:val="0"/>
                <w:color w:val="1D1D1B" w:themeColor="text1"/>
                <w:sz w:val="20"/>
                <w:szCs w:val="20"/>
              </w:rPr>
              <w:t>A private sector business</w:t>
            </w:r>
          </w:p>
        </w:tc>
        <w:tc>
          <w:tcPr>
            <w:tcW w:w="740" w:type="pct"/>
            <w:tcBorders>
              <w:top w:val="single" w:sz="4" w:space="0" w:color="auto"/>
              <w:left w:val="single" w:sz="4" w:space="0" w:color="auto"/>
              <w:bottom w:val="single" w:sz="4" w:space="0" w:color="auto"/>
              <w:right w:val="single" w:sz="4" w:space="0" w:color="auto"/>
            </w:tcBorders>
            <w:vAlign w:val="center"/>
            <w:hideMark/>
          </w:tcPr>
          <w:p w14:paraId="36763AE7" w14:textId="77777777" w:rsidR="00B2786E" w:rsidRDefault="00B2786E">
            <w:pPr>
              <w:spacing w:before="60"/>
              <w:jc w:val="center"/>
              <w:rPr>
                <w:rFonts w:cs="Arial"/>
                <w:color w:val="1D1D1B" w:themeColor="text1"/>
              </w:rPr>
            </w:pPr>
            <w:r>
              <w:rPr>
                <w:rFonts w:cs="Arial"/>
                <w:color w:val="1D1D1B" w:themeColor="text1"/>
              </w:rPr>
              <w:t>1</w:t>
            </w:r>
          </w:p>
        </w:tc>
        <w:tc>
          <w:tcPr>
            <w:tcW w:w="1202" w:type="pct"/>
            <w:tcBorders>
              <w:top w:val="single" w:sz="4" w:space="0" w:color="auto"/>
              <w:left w:val="single" w:sz="4" w:space="0" w:color="auto"/>
              <w:bottom w:val="single" w:sz="4" w:space="0" w:color="auto"/>
              <w:right w:val="single" w:sz="4" w:space="0" w:color="auto"/>
            </w:tcBorders>
            <w:hideMark/>
          </w:tcPr>
          <w:p w14:paraId="70BE9272" w14:textId="77777777" w:rsidR="00B2786E" w:rsidRDefault="00B2786E">
            <w:pPr>
              <w:spacing w:before="60"/>
              <w:ind w:left="120"/>
              <w:rPr>
                <w:rFonts w:cs="Arial"/>
                <w:color w:val="1D1D1B" w:themeColor="text1"/>
              </w:rPr>
            </w:pPr>
            <w:r>
              <w:rPr>
                <w:rFonts w:cs="Arial"/>
                <w:color w:val="1D1D1B" w:themeColor="text1"/>
              </w:rPr>
              <w:t>CONTINUE</w:t>
            </w:r>
          </w:p>
        </w:tc>
      </w:tr>
      <w:tr w:rsidR="00B2786E" w14:paraId="63B6E728" w14:textId="77777777">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10C8EBAA" w14:textId="77777777" w:rsidR="00B2786E" w:rsidRDefault="00B2786E" w:rsidP="00B2786E">
            <w:pPr>
              <w:pStyle w:val="responsecodes"/>
              <w:numPr>
                <w:ilvl w:val="0"/>
                <w:numId w:val="68"/>
              </w:numPr>
              <w:tabs>
                <w:tab w:val="left" w:pos="0"/>
                <w:tab w:val="left" w:leader="dot" w:pos="8280"/>
              </w:tabs>
              <w:spacing w:before="60" w:line="256" w:lineRule="auto"/>
              <w:rPr>
                <w:bCs w:val="0"/>
                <w:color w:val="1D1D1B" w:themeColor="text1"/>
                <w:sz w:val="20"/>
                <w:szCs w:val="20"/>
              </w:rPr>
            </w:pPr>
            <w:r>
              <w:rPr>
                <w:bCs w:val="0"/>
                <w:color w:val="1D1D1B" w:themeColor="text1"/>
                <w:sz w:val="20"/>
                <w:szCs w:val="20"/>
              </w:rPr>
              <w:t>A public sector organisation</w:t>
            </w:r>
          </w:p>
        </w:tc>
        <w:tc>
          <w:tcPr>
            <w:tcW w:w="740" w:type="pct"/>
            <w:tcBorders>
              <w:top w:val="single" w:sz="4" w:space="0" w:color="auto"/>
              <w:left w:val="single" w:sz="4" w:space="0" w:color="auto"/>
              <w:bottom w:val="single" w:sz="4" w:space="0" w:color="auto"/>
              <w:right w:val="single" w:sz="4" w:space="0" w:color="auto"/>
            </w:tcBorders>
            <w:vAlign w:val="center"/>
            <w:hideMark/>
          </w:tcPr>
          <w:p w14:paraId="070593A8" w14:textId="77777777" w:rsidR="00B2786E" w:rsidRDefault="00B2786E">
            <w:pPr>
              <w:spacing w:before="60"/>
              <w:jc w:val="center"/>
              <w:rPr>
                <w:rFonts w:cs="Arial"/>
                <w:color w:val="1D1D1B" w:themeColor="text1"/>
              </w:rPr>
            </w:pPr>
            <w:r>
              <w:rPr>
                <w:rFonts w:cs="Arial"/>
                <w:color w:val="1D1D1B" w:themeColor="text1"/>
              </w:rPr>
              <w:t>2</w:t>
            </w:r>
          </w:p>
        </w:tc>
        <w:tc>
          <w:tcPr>
            <w:tcW w:w="1202" w:type="pct"/>
            <w:tcBorders>
              <w:top w:val="single" w:sz="4" w:space="0" w:color="auto"/>
              <w:left w:val="single" w:sz="4" w:space="0" w:color="auto"/>
              <w:bottom w:val="single" w:sz="4" w:space="0" w:color="auto"/>
              <w:right w:val="single" w:sz="4" w:space="0" w:color="auto"/>
            </w:tcBorders>
            <w:hideMark/>
          </w:tcPr>
          <w:p w14:paraId="7BFE3EAA" w14:textId="77777777" w:rsidR="00B2786E" w:rsidRDefault="00B2786E">
            <w:pPr>
              <w:spacing w:before="60"/>
              <w:ind w:left="120"/>
              <w:rPr>
                <w:rFonts w:cs="Arial"/>
                <w:color w:val="1D1D1B" w:themeColor="text1"/>
              </w:rPr>
            </w:pPr>
            <w:r>
              <w:rPr>
                <w:rFonts w:cs="Arial"/>
                <w:color w:val="1D1D1B" w:themeColor="text1"/>
              </w:rPr>
              <w:t>CLOSE</w:t>
            </w:r>
          </w:p>
        </w:tc>
      </w:tr>
      <w:tr w:rsidR="00B2786E" w14:paraId="21868937" w14:textId="77777777">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7ACEDCD8" w14:textId="77777777" w:rsidR="00B2786E" w:rsidRDefault="00B2786E" w:rsidP="00B2786E">
            <w:pPr>
              <w:pStyle w:val="responsecodes"/>
              <w:numPr>
                <w:ilvl w:val="0"/>
                <w:numId w:val="68"/>
              </w:numPr>
              <w:tabs>
                <w:tab w:val="left" w:pos="0"/>
                <w:tab w:val="left" w:leader="dot" w:pos="8280"/>
              </w:tabs>
              <w:spacing w:before="60" w:line="256" w:lineRule="auto"/>
              <w:rPr>
                <w:bCs w:val="0"/>
                <w:color w:val="1D1D1B" w:themeColor="text1"/>
                <w:sz w:val="20"/>
                <w:szCs w:val="20"/>
              </w:rPr>
            </w:pPr>
            <w:r>
              <w:rPr>
                <w:bCs w:val="0"/>
                <w:color w:val="1D1D1B" w:themeColor="text1"/>
                <w:sz w:val="20"/>
                <w:szCs w:val="20"/>
              </w:rPr>
              <w:t>A social enterprise or profit with purpose enterprise (run primarily for social objectives or with any surpluses being used to further these objectives)</w:t>
            </w:r>
          </w:p>
        </w:tc>
        <w:tc>
          <w:tcPr>
            <w:tcW w:w="740" w:type="pct"/>
            <w:tcBorders>
              <w:top w:val="single" w:sz="4" w:space="0" w:color="auto"/>
              <w:left w:val="single" w:sz="4" w:space="0" w:color="auto"/>
              <w:bottom w:val="single" w:sz="4" w:space="0" w:color="auto"/>
              <w:right w:val="single" w:sz="4" w:space="0" w:color="auto"/>
            </w:tcBorders>
            <w:vAlign w:val="center"/>
            <w:hideMark/>
          </w:tcPr>
          <w:p w14:paraId="6CFB3936" w14:textId="77777777" w:rsidR="00B2786E" w:rsidRDefault="00B2786E">
            <w:pPr>
              <w:spacing w:before="60"/>
              <w:jc w:val="center"/>
              <w:rPr>
                <w:rFonts w:cs="Arial"/>
                <w:color w:val="1D1D1B" w:themeColor="text1"/>
              </w:rPr>
            </w:pPr>
            <w:r>
              <w:rPr>
                <w:rFonts w:cs="Arial"/>
                <w:color w:val="1D1D1B" w:themeColor="text1"/>
              </w:rPr>
              <w:t>3</w:t>
            </w:r>
          </w:p>
        </w:tc>
        <w:tc>
          <w:tcPr>
            <w:tcW w:w="1202" w:type="pct"/>
            <w:tcBorders>
              <w:top w:val="single" w:sz="4" w:space="0" w:color="auto"/>
              <w:left w:val="single" w:sz="4" w:space="0" w:color="auto"/>
              <w:bottom w:val="single" w:sz="4" w:space="0" w:color="auto"/>
              <w:right w:val="single" w:sz="4" w:space="0" w:color="auto"/>
            </w:tcBorders>
            <w:vAlign w:val="center"/>
            <w:hideMark/>
          </w:tcPr>
          <w:p w14:paraId="7CCEB870" w14:textId="77777777" w:rsidR="00B2786E" w:rsidRDefault="00B2786E">
            <w:pPr>
              <w:spacing w:before="60"/>
              <w:ind w:left="120"/>
              <w:rPr>
                <w:rFonts w:cs="Arial"/>
                <w:color w:val="1D1D1B" w:themeColor="text1"/>
              </w:rPr>
            </w:pPr>
            <w:r>
              <w:rPr>
                <w:rFonts w:cs="Arial"/>
                <w:color w:val="1D1D1B" w:themeColor="text1"/>
              </w:rPr>
              <w:t>CONTINUE</w:t>
            </w:r>
          </w:p>
        </w:tc>
      </w:tr>
      <w:tr w:rsidR="00B2786E" w14:paraId="6D3BDC83" w14:textId="77777777">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414AC571" w14:textId="77777777" w:rsidR="00B2786E" w:rsidRDefault="00B2786E" w:rsidP="00B2786E">
            <w:pPr>
              <w:pStyle w:val="responsecodes"/>
              <w:numPr>
                <w:ilvl w:val="0"/>
                <w:numId w:val="68"/>
              </w:numPr>
              <w:tabs>
                <w:tab w:val="left" w:pos="0"/>
                <w:tab w:val="left" w:leader="dot" w:pos="8280"/>
              </w:tabs>
              <w:spacing w:before="60" w:line="256" w:lineRule="auto"/>
              <w:rPr>
                <w:bCs w:val="0"/>
                <w:color w:val="1D1D1B" w:themeColor="text1"/>
                <w:sz w:val="20"/>
                <w:szCs w:val="20"/>
              </w:rPr>
            </w:pPr>
            <w:r>
              <w:rPr>
                <w:bCs w:val="0"/>
                <w:color w:val="1D1D1B" w:themeColor="text1"/>
                <w:sz w:val="20"/>
                <w:szCs w:val="20"/>
              </w:rPr>
              <w:t>A voluntary sector/non-profit-making organisation</w:t>
            </w:r>
          </w:p>
        </w:tc>
        <w:tc>
          <w:tcPr>
            <w:tcW w:w="740" w:type="pct"/>
            <w:tcBorders>
              <w:top w:val="single" w:sz="4" w:space="0" w:color="auto"/>
              <w:left w:val="single" w:sz="4" w:space="0" w:color="auto"/>
              <w:bottom w:val="single" w:sz="4" w:space="0" w:color="auto"/>
              <w:right w:val="single" w:sz="4" w:space="0" w:color="auto"/>
            </w:tcBorders>
            <w:vAlign w:val="center"/>
            <w:hideMark/>
          </w:tcPr>
          <w:p w14:paraId="6C855E4F" w14:textId="77777777" w:rsidR="00B2786E" w:rsidRDefault="00B2786E">
            <w:pPr>
              <w:spacing w:before="60"/>
              <w:jc w:val="center"/>
              <w:rPr>
                <w:rFonts w:cs="Arial"/>
                <w:color w:val="1D1D1B" w:themeColor="text1"/>
              </w:rPr>
            </w:pPr>
            <w:r>
              <w:rPr>
                <w:rFonts w:cs="Arial"/>
                <w:color w:val="1D1D1B" w:themeColor="text1"/>
              </w:rPr>
              <w:t>4</w:t>
            </w:r>
          </w:p>
        </w:tc>
        <w:tc>
          <w:tcPr>
            <w:tcW w:w="1202" w:type="pct"/>
            <w:tcBorders>
              <w:top w:val="single" w:sz="4" w:space="0" w:color="auto"/>
              <w:left w:val="single" w:sz="4" w:space="0" w:color="auto"/>
              <w:bottom w:val="single" w:sz="4" w:space="0" w:color="auto"/>
              <w:right w:val="single" w:sz="4" w:space="0" w:color="auto"/>
            </w:tcBorders>
            <w:hideMark/>
          </w:tcPr>
          <w:p w14:paraId="537FE9DE" w14:textId="77777777" w:rsidR="00B2786E" w:rsidRDefault="00B2786E">
            <w:pPr>
              <w:spacing w:before="60"/>
              <w:ind w:left="120"/>
              <w:rPr>
                <w:rFonts w:cs="Arial"/>
                <w:color w:val="1D1D1B" w:themeColor="text1"/>
              </w:rPr>
            </w:pPr>
            <w:r>
              <w:rPr>
                <w:rFonts w:cs="Arial"/>
                <w:color w:val="1D1D1B" w:themeColor="text1"/>
              </w:rPr>
              <w:t>CONTINUE</w:t>
            </w:r>
          </w:p>
        </w:tc>
      </w:tr>
      <w:tr w:rsidR="00B2786E" w14:paraId="65BF2FFE" w14:textId="77777777">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2C8778E3" w14:textId="77777777" w:rsidR="00B2786E" w:rsidRDefault="00B2786E" w:rsidP="00B2786E">
            <w:pPr>
              <w:pStyle w:val="responsecodes"/>
              <w:numPr>
                <w:ilvl w:val="0"/>
                <w:numId w:val="68"/>
              </w:numPr>
              <w:tabs>
                <w:tab w:val="left" w:pos="0"/>
                <w:tab w:val="left" w:leader="dot" w:pos="8280"/>
              </w:tabs>
              <w:spacing w:before="60" w:line="256" w:lineRule="auto"/>
              <w:rPr>
                <w:bCs w:val="0"/>
                <w:color w:val="1D1D1B" w:themeColor="text1"/>
                <w:sz w:val="20"/>
                <w:szCs w:val="20"/>
              </w:rPr>
            </w:pPr>
            <w:r>
              <w:rPr>
                <w:bCs w:val="0"/>
                <w:color w:val="1D1D1B" w:themeColor="text1"/>
                <w:sz w:val="20"/>
                <w:szCs w:val="20"/>
              </w:rPr>
              <w:t>Other type of organisation [PLEASE TYPE IN]</w:t>
            </w:r>
          </w:p>
        </w:tc>
        <w:tc>
          <w:tcPr>
            <w:tcW w:w="740" w:type="pct"/>
            <w:tcBorders>
              <w:top w:val="single" w:sz="4" w:space="0" w:color="auto"/>
              <w:left w:val="single" w:sz="4" w:space="0" w:color="auto"/>
              <w:bottom w:val="single" w:sz="4" w:space="0" w:color="auto"/>
              <w:right w:val="single" w:sz="4" w:space="0" w:color="auto"/>
            </w:tcBorders>
            <w:vAlign w:val="center"/>
            <w:hideMark/>
          </w:tcPr>
          <w:p w14:paraId="64357A7F" w14:textId="77777777" w:rsidR="00B2786E" w:rsidRDefault="00B2786E">
            <w:pPr>
              <w:spacing w:before="60"/>
              <w:jc w:val="center"/>
              <w:rPr>
                <w:rFonts w:cs="Arial"/>
                <w:color w:val="1D1D1B" w:themeColor="text1"/>
              </w:rPr>
            </w:pPr>
            <w:r>
              <w:rPr>
                <w:rFonts w:cs="Arial"/>
                <w:color w:val="1D1D1B" w:themeColor="text1"/>
              </w:rPr>
              <w:t>5</w:t>
            </w:r>
          </w:p>
        </w:tc>
        <w:tc>
          <w:tcPr>
            <w:tcW w:w="1202" w:type="pct"/>
            <w:tcBorders>
              <w:top w:val="single" w:sz="4" w:space="0" w:color="auto"/>
              <w:left w:val="single" w:sz="4" w:space="0" w:color="auto"/>
              <w:bottom w:val="single" w:sz="4" w:space="0" w:color="auto"/>
              <w:right w:val="single" w:sz="4" w:space="0" w:color="auto"/>
            </w:tcBorders>
            <w:hideMark/>
          </w:tcPr>
          <w:p w14:paraId="72A958C3" w14:textId="77777777" w:rsidR="00B2786E" w:rsidRDefault="00B2786E">
            <w:pPr>
              <w:spacing w:before="60"/>
              <w:ind w:left="120"/>
              <w:rPr>
                <w:rFonts w:cs="Arial"/>
                <w:color w:val="1D1D1B" w:themeColor="text1"/>
              </w:rPr>
            </w:pPr>
            <w:r>
              <w:rPr>
                <w:rFonts w:cs="Arial"/>
                <w:color w:val="1D1D1B" w:themeColor="text1"/>
              </w:rPr>
              <w:t>CONTINUE</w:t>
            </w:r>
          </w:p>
        </w:tc>
      </w:tr>
      <w:tr w:rsidR="00B2786E" w14:paraId="73874EB6" w14:textId="77777777">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72A1068D"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Don’t know</w:t>
            </w:r>
          </w:p>
        </w:tc>
        <w:tc>
          <w:tcPr>
            <w:tcW w:w="740" w:type="pct"/>
            <w:tcBorders>
              <w:top w:val="single" w:sz="4" w:space="0" w:color="auto"/>
              <w:left w:val="single" w:sz="4" w:space="0" w:color="auto"/>
              <w:bottom w:val="single" w:sz="4" w:space="0" w:color="auto"/>
              <w:right w:val="single" w:sz="4" w:space="0" w:color="auto"/>
            </w:tcBorders>
            <w:vAlign w:val="center"/>
            <w:hideMark/>
          </w:tcPr>
          <w:p w14:paraId="268542EA" w14:textId="77777777" w:rsidR="00B2786E" w:rsidRDefault="00B2786E">
            <w:pPr>
              <w:spacing w:before="60"/>
              <w:jc w:val="center"/>
              <w:rPr>
                <w:rFonts w:cs="Arial"/>
                <w:color w:val="1D1D1B" w:themeColor="text1"/>
              </w:rPr>
            </w:pPr>
            <w:r>
              <w:rPr>
                <w:rFonts w:cs="Arial"/>
                <w:color w:val="1D1D1B" w:themeColor="text1"/>
              </w:rPr>
              <w:t>98</w:t>
            </w:r>
          </w:p>
        </w:tc>
        <w:tc>
          <w:tcPr>
            <w:tcW w:w="1202" w:type="pct"/>
            <w:tcBorders>
              <w:top w:val="single" w:sz="4" w:space="0" w:color="auto"/>
              <w:left w:val="single" w:sz="4" w:space="0" w:color="auto"/>
              <w:bottom w:val="single" w:sz="4" w:space="0" w:color="auto"/>
              <w:right w:val="single" w:sz="4" w:space="0" w:color="auto"/>
            </w:tcBorders>
            <w:hideMark/>
          </w:tcPr>
          <w:p w14:paraId="6164CFDD" w14:textId="77777777" w:rsidR="00B2786E" w:rsidRDefault="00B2786E">
            <w:pPr>
              <w:spacing w:before="60"/>
              <w:ind w:left="120"/>
              <w:rPr>
                <w:rFonts w:cs="Arial"/>
                <w:color w:val="1D1D1B" w:themeColor="text1"/>
              </w:rPr>
            </w:pPr>
            <w:r>
              <w:rPr>
                <w:rFonts w:cs="Arial"/>
                <w:color w:val="1D1D1B" w:themeColor="text1"/>
              </w:rPr>
              <w:t>CONTINUE</w:t>
            </w:r>
          </w:p>
        </w:tc>
      </w:tr>
      <w:tr w:rsidR="00B2786E" w14:paraId="02BE69FE" w14:textId="77777777">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28E39EDE" w14:textId="77777777" w:rsidR="00B2786E" w:rsidRDefault="00B2786E">
            <w:pPr>
              <w:pStyle w:val="responsecodes"/>
              <w:tabs>
                <w:tab w:val="left" w:pos="0"/>
                <w:tab w:val="left" w:leader="dot" w:pos="8280"/>
              </w:tabs>
              <w:spacing w:before="60" w:line="256" w:lineRule="auto"/>
              <w:ind w:left="0"/>
              <w:rPr>
                <w:bCs w:val="0"/>
                <w:color w:val="1D1D1B" w:themeColor="text1"/>
                <w:sz w:val="20"/>
                <w:szCs w:val="20"/>
              </w:rPr>
            </w:pPr>
            <w:r>
              <w:rPr>
                <w:bCs w:val="0"/>
                <w:color w:val="1D1D1B" w:themeColor="text1"/>
                <w:sz w:val="20"/>
                <w:szCs w:val="20"/>
              </w:rPr>
              <w:t>Refused</w:t>
            </w:r>
          </w:p>
        </w:tc>
        <w:tc>
          <w:tcPr>
            <w:tcW w:w="740" w:type="pct"/>
            <w:tcBorders>
              <w:top w:val="single" w:sz="4" w:space="0" w:color="auto"/>
              <w:left w:val="single" w:sz="4" w:space="0" w:color="auto"/>
              <w:bottom w:val="single" w:sz="4" w:space="0" w:color="auto"/>
              <w:right w:val="single" w:sz="4" w:space="0" w:color="auto"/>
            </w:tcBorders>
            <w:vAlign w:val="center"/>
            <w:hideMark/>
          </w:tcPr>
          <w:p w14:paraId="3F528324" w14:textId="77777777" w:rsidR="00B2786E" w:rsidRDefault="00B2786E">
            <w:pPr>
              <w:spacing w:before="60"/>
              <w:jc w:val="center"/>
              <w:rPr>
                <w:rFonts w:cs="Arial"/>
                <w:color w:val="1D1D1B" w:themeColor="text1"/>
              </w:rPr>
            </w:pPr>
            <w:r>
              <w:rPr>
                <w:rFonts w:cs="Arial"/>
                <w:color w:val="1D1D1B" w:themeColor="text1"/>
              </w:rPr>
              <w:t>99</w:t>
            </w:r>
          </w:p>
        </w:tc>
        <w:tc>
          <w:tcPr>
            <w:tcW w:w="1202" w:type="pct"/>
            <w:tcBorders>
              <w:top w:val="single" w:sz="4" w:space="0" w:color="auto"/>
              <w:left w:val="single" w:sz="4" w:space="0" w:color="auto"/>
              <w:bottom w:val="single" w:sz="4" w:space="0" w:color="auto"/>
              <w:right w:val="single" w:sz="4" w:space="0" w:color="auto"/>
            </w:tcBorders>
            <w:hideMark/>
          </w:tcPr>
          <w:p w14:paraId="5B7DC369" w14:textId="77777777" w:rsidR="00B2786E" w:rsidRDefault="00B2786E">
            <w:pPr>
              <w:spacing w:before="60"/>
              <w:ind w:left="120"/>
              <w:rPr>
                <w:rFonts w:cs="Arial"/>
                <w:color w:val="1D1D1B" w:themeColor="text1"/>
              </w:rPr>
            </w:pPr>
            <w:r>
              <w:rPr>
                <w:rFonts w:cs="Arial"/>
                <w:color w:val="1D1D1B" w:themeColor="text1"/>
              </w:rPr>
              <w:t>CONTINUE</w:t>
            </w:r>
          </w:p>
        </w:tc>
      </w:tr>
      <w:bookmarkEnd w:id="227"/>
    </w:tbl>
    <w:p w14:paraId="5DF4D664" w14:textId="77777777" w:rsidR="00B2786E" w:rsidRDefault="00B2786E" w:rsidP="00B2786E">
      <w:pPr>
        <w:tabs>
          <w:tab w:val="left" w:pos="720"/>
        </w:tabs>
        <w:ind w:left="486" w:hanging="426"/>
        <w:rPr>
          <w:rFonts w:cs="Arial"/>
          <w:b/>
          <w:color w:val="1D1D1B" w:themeColor="text1"/>
          <w:sz w:val="22"/>
          <w:lang w:val="en-US"/>
        </w:rPr>
      </w:pPr>
    </w:p>
    <w:p w14:paraId="14D19F1D" w14:textId="77777777" w:rsidR="00B2786E" w:rsidRDefault="00B2786E" w:rsidP="00B2786E">
      <w:pPr>
        <w:rPr>
          <w:rFonts w:cs="Arial"/>
          <w:color w:val="FF0000"/>
        </w:rPr>
      </w:pPr>
      <w:r>
        <w:rPr>
          <w:rFonts w:cs="Arial"/>
          <w:color w:val="FF0000"/>
        </w:rPr>
        <w:t>ASK ALL</w:t>
      </w:r>
    </w:p>
    <w:p w14:paraId="48D1CB6A" w14:textId="77777777" w:rsidR="00B2786E" w:rsidRDefault="00B2786E" w:rsidP="00B2786E">
      <w:pPr>
        <w:rPr>
          <w:rFonts w:cs="Arial"/>
          <w:color w:val="FF0000"/>
        </w:rPr>
      </w:pPr>
      <w:r>
        <w:rPr>
          <w:rFonts w:cs="Arial"/>
          <w:color w:val="FF0000"/>
        </w:rPr>
        <w:t>ASK IF FRESH SAMPLE</w:t>
      </w:r>
    </w:p>
    <w:p w14:paraId="33757DF8" w14:textId="77777777" w:rsidR="00B2786E" w:rsidRPr="006F30CC" w:rsidRDefault="00B2786E" w:rsidP="00B2786E">
      <w:pPr>
        <w:rPr>
          <w:rFonts w:cs="Arial"/>
          <w:color w:val="FF0000"/>
        </w:rPr>
      </w:pPr>
      <w:r>
        <w:rPr>
          <w:rFonts w:cs="Arial"/>
          <w:b/>
          <w:bCs/>
        </w:rPr>
        <w:t>S12 [</w:t>
      </w:r>
      <w:r>
        <w:rPr>
          <w:rFonts w:cs="Arial"/>
          <w:color w:val="FF0000"/>
        </w:rPr>
        <w:t xml:space="preserve">CATI: </w:t>
      </w:r>
      <w:r>
        <w:rPr>
          <w:rFonts w:cs="Arial"/>
          <w:b/>
        </w:rPr>
        <w:t xml:space="preserve">Can I check] was your </w:t>
      </w:r>
      <w:r>
        <w:rPr>
          <w:rFonts w:cs="Arial"/>
          <w:b/>
          <w:bCs/>
        </w:rPr>
        <w:t>business’</w:t>
      </w:r>
      <w:r>
        <w:rPr>
          <w:rFonts w:cs="Arial"/>
          <w:b/>
        </w:rPr>
        <w:t xml:space="preserve"> last financial year (</w:t>
      </w:r>
      <w:proofErr w:type="gramStart"/>
      <w:r>
        <w:rPr>
          <w:rFonts w:cs="Arial"/>
          <w:b/>
        </w:rPr>
        <w:t>i.e.</w:t>
      </w:r>
      <w:proofErr w:type="gramEnd"/>
      <w:r>
        <w:rPr>
          <w:rFonts w:cs="Arial"/>
          <w:b/>
        </w:rPr>
        <w:t xml:space="preserve"> full, finalised accounting period) April 2021 to March 2022?</w:t>
      </w:r>
      <w:r>
        <w:rPr>
          <w:rFonts w:cs="Arial"/>
        </w:rPr>
        <w:t xml:space="preserve"> </w:t>
      </w:r>
      <w:r>
        <w:rPr>
          <w:rFonts w:cs="Arial"/>
          <w:color w:val="FF0000"/>
        </w:rPr>
        <w:t xml:space="preserve">SINGLE CODE ONLY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8549"/>
        <w:gridCol w:w="1595"/>
      </w:tblGrid>
      <w:tr w:rsidR="00B2786E" w14:paraId="69A0236F" w14:textId="77777777">
        <w:trPr>
          <w:cantSplit/>
          <w:trHeight w:val="397"/>
        </w:trPr>
        <w:tc>
          <w:tcPr>
            <w:tcW w:w="4214" w:type="pct"/>
            <w:tcBorders>
              <w:top w:val="single" w:sz="4" w:space="0" w:color="auto"/>
              <w:left w:val="single" w:sz="4" w:space="0" w:color="auto"/>
              <w:bottom w:val="single" w:sz="4" w:space="0" w:color="auto"/>
              <w:right w:val="single" w:sz="4" w:space="0" w:color="auto"/>
            </w:tcBorders>
            <w:vAlign w:val="center"/>
            <w:hideMark/>
          </w:tcPr>
          <w:p w14:paraId="3D6E727A" w14:textId="77777777" w:rsidR="00B2786E" w:rsidRDefault="00B2786E" w:rsidP="00A416C5">
            <w:r>
              <w:t>Yes -</w:t>
            </w:r>
          </w:p>
        </w:tc>
        <w:tc>
          <w:tcPr>
            <w:tcW w:w="786" w:type="pct"/>
            <w:tcBorders>
              <w:top w:val="single" w:sz="4" w:space="0" w:color="auto"/>
              <w:left w:val="single" w:sz="4" w:space="0" w:color="auto"/>
              <w:bottom w:val="single" w:sz="4" w:space="0" w:color="auto"/>
              <w:right w:val="single" w:sz="4" w:space="0" w:color="auto"/>
            </w:tcBorders>
            <w:vAlign w:val="center"/>
            <w:hideMark/>
          </w:tcPr>
          <w:p w14:paraId="512A94ED" w14:textId="77777777" w:rsidR="00B2786E" w:rsidRDefault="00B2786E" w:rsidP="00A416C5">
            <w:pPr>
              <w:jc w:val="center"/>
            </w:pPr>
            <w:r>
              <w:t>1</w:t>
            </w:r>
          </w:p>
        </w:tc>
      </w:tr>
      <w:tr w:rsidR="00B2786E" w14:paraId="7B97A957" w14:textId="77777777">
        <w:trPr>
          <w:cantSplit/>
          <w:trHeight w:val="397"/>
        </w:trPr>
        <w:tc>
          <w:tcPr>
            <w:tcW w:w="4214" w:type="pct"/>
            <w:tcBorders>
              <w:top w:val="single" w:sz="4" w:space="0" w:color="auto"/>
              <w:left w:val="single" w:sz="4" w:space="0" w:color="auto"/>
              <w:bottom w:val="single" w:sz="4" w:space="0" w:color="auto"/>
              <w:right w:val="single" w:sz="4" w:space="0" w:color="auto"/>
            </w:tcBorders>
            <w:vAlign w:val="center"/>
            <w:hideMark/>
          </w:tcPr>
          <w:p w14:paraId="3F7C4346" w14:textId="77777777" w:rsidR="00B2786E" w:rsidRDefault="00B2786E" w:rsidP="00A416C5">
            <w:pPr>
              <w:rPr>
                <w:color w:val="FF0000"/>
              </w:rPr>
            </w:pPr>
            <w:r>
              <w:t xml:space="preserve">No </w:t>
            </w:r>
          </w:p>
        </w:tc>
        <w:tc>
          <w:tcPr>
            <w:tcW w:w="786" w:type="pct"/>
            <w:tcBorders>
              <w:top w:val="single" w:sz="4" w:space="0" w:color="auto"/>
              <w:left w:val="single" w:sz="4" w:space="0" w:color="auto"/>
              <w:bottom w:val="single" w:sz="4" w:space="0" w:color="auto"/>
              <w:right w:val="single" w:sz="4" w:space="0" w:color="auto"/>
            </w:tcBorders>
            <w:vAlign w:val="center"/>
            <w:hideMark/>
          </w:tcPr>
          <w:p w14:paraId="1D2DA821" w14:textId="77777777" w:rsidR="00B2786E" w:rsidRDefault="00B2786E" w:rsidP="00A416C5">
            <w:pPr>
              <w:jc w:val="center"/>
            </w:pPr>
            <w:r>
              <w:t>2</w:t>
            </w:r>
          </w:p>
        </w:tc>
      </w:tr>
      <w:tr w:rsidR="00B2786E" w14:paraId="175B3BA5" w14:textId="77777777">
        <w:trPr>
          <w:cantSplit/>
          <w:trHeight w:val="397"/>
        </w:trPr>
        <w:tc>
          <w:tcPr>
            <w:tcW w:w="4214" w:type="pct"/>
            <w:tcBorders>
              <w:top w:val="single" w:sz="4" w:space="0" w:color="auto"/>
              <w:left w:val="single" w:sz="4" w:space="0" w:color="auto"/>
              <w:bottom w:val="single" w:sz="4" w:space="0" w:color="auto"/>
              <w:right w:val="single" w:sz="4" w:space="0" w:color="auto"/>
            </w:tcBorders>
            <w:vAlign w:val="center"/>
            <w:hideMark/>
          </w:tcPr>
          <w:p w14:paraId="04486705" w14:textId="77777777" w:rsidR="00B2786E" w:rsidRDefault="00B2786E" w:rsidP="00A416C5">
            <w:r>
              <w:t>Don’t know</w:t>
            </w:r>
          </w:p>
        </w:tc>
        <w:tc>
          <w:tcPr>
            <w:tcW w:w="786" w:type="pct"/>
            <w:tcBorders>
              <w:top w:val="single" w:sz="4" w:space="0" w:color="auto"/>
              <w:left w:val="single" w:sz="4" w:space="0" w:color="auto"/>
              <w:bottom w:val="single" w:sz="4" w:space="0" w:color="auto"/>
              <w:right w:val="single" w:sz="4" w:space="0" w:color="auto"/>
            </w:tcBorders>
            <w:vAlign w:val="center"/>
            <w:hideMark/>
          </w:tcPr>
          <w:p w14:paraId="68A4DA65" w14:textId="77777777" w:rsidR="00B2786E" w:rsidRDefault="00B2786E" w:rsidP="00A416C5">
            <w:pPr>
              <w:jc w:val="center"/>
            </w:pPr>
            <w:r>
              <w:t>98</w:t>
            </w:r>
          </w:p>
        </w:tc>
      </w:tr>
      <w:tr w:rsidR="00B2786E" w14:paraId="029237BF" w14:textId="77777777">
        <w:trPr>
          <w:cantSplit/>
          <w:trHeight w:val="397"/>
        </w:trPr>
        <w:tc>
          <w:tcPr>
            <w:tcW w:w="4214" w:type="pct"/>
            <w:tcBorders>
              <w:top w:val="single" w:sz="4" w:space="0" w:color="auto"/>
              <w:left w:val="single" w:sz="4" w:space="0" w:color="auto"/>
              <w:bottom w:val="single" w:sz="4" w:space="0" w:color="auto"/>
              <w:right w:val="single" w:sz="4" w:space="0" w:color="auto"/>
            </w:tcBorders>
            <w:vAlign w:val="center"/>
            <w:hideMark/>
          </w:tcPr>
          <w:p w14:paraId="220BF273" w14:textId="77777777" w:rsidR="00B2786E" w:rsidRDefault="00B2786E" w:rsidP="00A416C5">
            <w:r>
              <w:t>Refused</w:t>
            </w:r>
          </w:p>
        </w:tc>
        <w:tc>
          <w:tcPr>
            <w:tcW w:w="786" w:type="pct"/>
            <w:tcBorders>
              <w:top w:val="single" w:sz="4" w:space="0" w:color="auto"/>
              <w:left w:val="single" w:sz="4" w:space="0" w:color="auto"/>
              <w:bottom w:val="single" w:sz="4" w:space="0" w:color="auto"/>
              <w:right w:val="single" w:sz="4" w:space="0" w:color="auto"/>
            </w:tcBorders>
            <w:vAlign w:val="center"/>
            <w:hideMark/>
          </w:tcPr>
          <w:p w14:paraId="3F60E086" w14:textId="77777777" w:rsidR="00B2786E" w:rsidRDefault="00B2786E" w:rsidP="00A416C5">
            <w:pPr>
              <w:jc w:val="center"/>
            </w:pPr>
            <w:r>
              <w:t>99</w:t>
            </w:r>
          </w:p>
        </w:tc>
      </w:tr>
    </w:tbl>
    <w:p w14:paraId="3E713D4E" w14:textId="77777777" w:rsidR="00B2786E" w:rsidRDefault="00B2786E" w:rsidP="00B2786E">
      <w:pPr>
        <w:rPr>
          <w:rFonts w:cs="Arial"/>
          <w:color w:val="FF0000"/>
          <w:sz w:val="22"/>
        </w:rPr>
      </w:pPr>
    </w:p>
    <w:p w14:paraId="1949A58B" w14:textId="77777777" w:rsidR="00B2786E" w:rsidRDefault="00B2786E" w:rsidP="00B2786E">
      <w:pPr>
        <w:rPr>
          <w:rFonts w:cs="Arial"/>
          <w:color w:val="FF0000"/>
        </w:rPr>
      </w:pPr>
      <w:r>
        <w:rPr>
          <w:rFonts w:cs="Arial"/>
          <w:color w:val="FF0000"/>
        </w:rPr>
        <w:t xml:space="preserve">ASK IF FINANCIAL YEAR NOT APRIL 2021 TO MARCH 2022 OR DON’T KNOW (CODE 2 OR 98) AT S12 </w:t>
      </w:r>
    </w:p>
    <w:p w14:paraId="3960858F" w14:textId="77777777" w:rsidR="00B2786E" w:rsidRDefault="00B2786E" w:rsidP="00B2786E">
      <w:pPr>
        <w:rPr>
          <w:rFonts w:cs="Arial"/>
        </w:rPr>
      </w:pPr>
      <w:r>
        <w:rPr>
          <w:rFonts w:cs="Arial"/>
          <w:b/>
          <w:bCs/>
        </w:rPr>
        <w:t xml:space="preserve">S13 </w:t>
      </w:r>
      <w:r>
        <w:rPr>
          <w:rFonts w:cs="Arial"/>
          <w:b/>
        </w:rPr>
        <w:t>Can [</w:t>
      </w:r>
      <w:r>
        <w:rPr>
          <w:rFonts w:cs="Arial"/>
          <w:bCs/>
          <w:color w:val="FF0000"/>
        </w:rPr>
        <w:t xml:space="preserve">CATI: </w:t>
      </w:r>
      <w:r>
        <w:rPr>
          <w:rFonts w:cs="Arial"/>
          <w:b/>
        </w:rPr>
        <w:t>I] [</w:t>
      </w:r>
      <w:r>
        <w:rPr>
          <w:rFonts w:cs="Arial"/>
          <w:bCs/>
          <w:color w:val="FF0000"/>
        </w:rPr>
        <w:t xml:space="preserve">WEB: </w:t>
      </w:r>
      <w:r>
        <w:rPr>
          <w:rFonts w:cs="Arial"/>
          <w:b/>
        </w:rPr>
        <w:t xml:space="preserve">you] confirm in which month and year did the </w:t>
      </w:r>
      <w:r>
        <w:rPr>
          <w:rFonts w:cs="Arial"/>
          <w:b/>
          <w:bCs/>
        </w:rPr>
        <w:t>business’</w:t>
      </w:r>
      <w:r>
        <w:rPr>
          <w:rFonts w:cs="Arial"/>
          <w:b/>
        </w:rPr>
        <w:t xml:space="preserve"> last full, finalised accounting period end? </w:t>
      </w:r>
      <w:r>
        <w:rPr>
          <w:rFonts w:cs="Arial"/>
          <w:color w:val="FF0000"/>
        </w:rPr>
        <w:t>IF NECESSARY / INFO BUTTON FOR ONLINE SURVEY:</w:t>
      </w:r>
      <w:r>
        <w:rPr>
          <w:rFonts w:cs="Arial"/>
          <w:b/>
          <w:color w:val="FF0000"/>
        </w:rPr>
        <w:t xml:space="preserve"> </w:t>
      </w:r>
      <w:r>
        <w:rPr>
          <w:rFonts w:cs="Arial"/>
          <w:b/>
        </w:rPr>
        <w:lastRenderedPageBreak/>
        <w:t xml:space="preserve">The accounting period is the period for which the full financial statements are prepared and balanced. Generally, the accounting period is 12 months long, but it can be shorter or longer. </w:t>
      </w:r>
      <w:r>
        <w:rPr>
          <w:rFonts w:cs="Arial"/>
          <w:color w:val="F06603" w:themeColor="accent6"/>
        </w:rPr>
        <w:t>INTERVIEWER NOTE: WE ARE INTERESTED IN THE LAST FINANCIAL YEAR EVEN IF THE BUSINESS IS STILL TO FILE A FINANCIAL STATEMENT FOR THAT YEAR. CODE MONTH AND YEAR</w:t>
      </w:r>
    </w:p>
    <w:p w14:paraId="46F0A467" w14:textId="77777777" w:rsidR="00B2786E" w:rsidRDefault="00B2786E" w:rsidP="00B2786E">
      <w:pPr>
        <w:pStyle w:val="norm"/>
        <w:spacing w:before="0" w:after="0" w:line="240" w:lineRule="auto"/>
        <w:ind w:left="284"/>
        <w:rPr>
          <w:rFonts w:ascii="Arial" w:hAnsi="Arial" w:cs="Arial"/>
          <w:sz w:val="20"/>
        </w:rPr>
      </w:pPr>
      <w:r>
        <w:rPr>
          <w:rFonts w:ascii="Arial" w:hAnsi="Arial" w:cs="Arial"/>
          <w:sz w:val="20"/>
        </w:rPr>
        <w:t>SINGLE CODE ONLY: MONTH</w:t>
      </w:r>
    </w:p>
    <w:p w14:paraId="18DFDB03"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January</w:t>
      </w:r>
    </w:p>
    <w:p w14:paraId="5EE1C287"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February</w:t>
      </w:r>
    </w:p>
    <w:p w14:paraId="15F096FA"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March</w:t>
      </w:r>
    </w:p>
    <w:p w14:paraId="49DCB7CE"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April</w:t>
      </w:r>
    </w:p>
    <w:p w14:paraId="33844283"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May</w:t>
      </w:r>
    </w:p>
    <w:p w14:paraId="73F86BE9"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June</w:t>
      </w:r>
    </w:p>
    <w:p w14:paraId="1C50BF0F"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July</w:t>
      </w:r>
    </w:p>
    <w:p w14:paraId="60BE6E33"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August</w:t>
      </w:r>
    </w:p>
    <w:p w14:paraId="04968CDF"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September</w:t>
      </w:r>
    </w:p>
    <w:p w14:paraId="1EA70188"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October</w:t>
      </w:r>
    </w:p>
    <w:p w14:paraId="07F292EE"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November</w:t>
      </w:r>
    </w:p>
    <w:p w14:paraId="7FFB63BD" w14:textId="77777777" w:rsidR="00B2786E" w:rsidRDefault="00B2786E" w:rsidP="00B2786E">
      <w:pPr>
        <w:pStyle w:val="norm"/>
        <w:numPr>
          <w:ilvl w:val="0"/>
          <w:numId w:val="69"/>
        </w:numPr>
        <w:spacing w:before="0" w:after="0" w:line="240" w:lineRule="auto"/>
        <w:rPr>
          <w:rFonts w:ascii="Arial" w:hAnsi="Arial" w:cs="Arial"/>
          <w:sz w:val="20"/>
        </w:rPr>
      </w:pPr>
      <w:r>
        <w:rPr>
          <w:rFonts w:ascii="Arial" w:hAnsi="Arial" w:cs="Arial"/>
          <w:sz w:val="20"/>
        </w:rPr>
        <w:t>December</w:t>
      </w:r>
    </w:p>
    <w:p w14:paraId="6A2E3B19" w14:textId="77777777" w:rsidR="00B2786E" w:rsidRDefault="00B2786E" w:rsidP="00B2786E">
      <w:pPr>
        <w:pStyle w:val="norm"/>
        <w:numPr>
          <w:ilvl w:val="0"/>
          <w:numId w:val="70"/>
        </w:numPr>
        <w:spacing w:before="0" w:after="0" w:line="240" w:lineRule="auto"/>
        <w:rPr>
          <w:rFonts w:ascii="Arial" w:hAnsi="Arial" w:cs="Arial"/>
          <w:sz w:val="20"/>
        </w:rPr>
      </w:pPr>
      <w:r>
        <w:rPr>
          <w:rFonts w:ascii="Arial" w:hAnsi="Arial" w:cs="Arial"/>
          <w:sz w:val="20"/>
        </w:rPr>
        <w:t>Don’t know</w:t>
      </w:r>
    </w:p>
    <w:p w14:paraId="0A9E2E96" w14:textId="77777777" w:rsidR="00B2786E" w:rsidRDefault="00B2786E" w:rsidP="00B2786E">
      <w:pPr>
        <w:pStyle w:val="norm"/>
        <w:numPr>
          <w:ilvl w:val="0"/>
          <w:numId w:val="70"/>
        </w:numPr>
        <w:spacing w:before="0" w:after="0" w:line="240" w:lineRule="auto"/>
        <w:jc w:val="left"/>
        <w:rPr>
          <w:rFonts w:ascii="Arial" w:hAnsi="Arial" w:cs="Arial"/>
          <w:sz w:val="20"/>
        </w:rPr>
      </w:pPr>
      <w:r>
        <w:rPr>
          <w:rFonts w:ascii="Arial" w:hAnsi="Arial" w:cs="Arial"/>
          <w:sz w:val="20"/>
        </w:rPr>
        <w:t>Refused</w:t>
      </w:r>
    </w:p>
    <w:p w14:paraId="716DF7AC" w14:textId="77777777" w:rsidR="00B2786E" w:rsidRDefault="00B2786E" w:rsidP="00B2786E">
      <w:pPr>
        <w:pStyle w:val="norm"/>
        <w:spacing w:before="0" w:after="0" w:line="240" w:lineRule="auto"/>
        <w:ind w:left="1004"/>
        <w:jc w:val="left"/>
        <w:rPr>
          <w:rFonts w:ascii="Arial" w:hAnsi="Arial" w:cs="Arial"/>
          <w:sz w:val="20"/>
        </w:rPr>
      </w:pPr>
    </w:p>
    <w:p w14:paraId="22C370C1" w14:textId="77777777" w:rsidR="00B2786E" w:rsidRDefault="00B2786E" w:rsidP="00B2786E">
      <w:pPr>
        <w:pStyle w:val="norm"/>
        <w:spacing w:before="0" w:after="0" w:line="240" w:lineRule="auto"/>
        <w:ind w:left="284"/>
        <w:rPr>
          <w:rFonts w:ascii="Arial" w:hAnsi="Arial" w:cs="Arial"/>
          <w:sz w:val="20"/>
        </w:rPr>
      </w:pPr>
      <w:r>
        <w:rPr>
          <w:rFonts w:ascii="Arial" w:hAnsi="Arial" w:cs="Arial"/>
          <w:sz w:val="20"/>
        </w:rPr>
        <w:t>SINGLE CODE ONLY YEAR</w:t>
      </w:r>
    </w:p>
    <w:p w14:paraId="3EC96BEA" w14:textId="77777777" w:rsidR="00B2786E" w:rsidRDefault="00B2786E" w:rsidP="00B2786E">
      <w:pPr>
        <w:pStyle w:val="norm"/>
        <w:numPr>
          <w:ilvl w:val="0"/>
          <w:numId w:val="71"/>
        </w:numPr>
        <w:spacing w:before="0" w:after="0" w:line="240" w:lineRule="auto"/>
        <w:rPr>
          <w:rFonts w:ascii="Arial" w:hAnsi="Arial" w:cs="Arial"/>
          <w:sz w:val="20"/>
        </w:rPr>
      </w:pPr>
      <w:r>
        <w:rPr>
          <w:rFonts w:ascii="Arial" w:hAnsi="Arial" w:cs="Arial"/>
          <w:sz w:val="20"/>
        </w:rPr>
        <w:t>2020</w:t>
      </w:r>
    </w:p>
    <w:p w14:paraId="503DB4A4" w14:textId="77777777" w:rsidR="00B2786E" w:rsidRDefault="00B2786E" w:rsidP="00B2786E">
      <w:pPr>
        <w:pStyle w:val="norm"/>
        <w:numPr>
          <w:ilvl w:val="0"/>
          <w:numId w:val="71"/>
        </w:numPr>
        <w:spacing w:before="0" w:after="0" w:line="240" w:lineRule="auto"/>
        <w:rPr>
          <w:rFonts w:ascii="Arial" w:hAnsi="Arial" w:cs="Arial"/>
          <w:sz w:val="20"/>
        </w:rPr>
      </w:pPr>
      <w:r>
        <w:rPr>
          <w:rFonts w:ascii="Arial" w:hAnsi="Arial" w:cs="Arial"/>
          <w:sz w:val="20"/>
        </w:rPr>
        <w:t>2021</w:t>
      </w:r>
    </w:p>
    <w:p w14:paraId="6A47E01A" w14:textId="77777777" w:rsidR="00B2786E" w:rsidRDefault="00B2786E" w:rsidP="00B2786E">
      <w:pPr>
        <w:pStyle w:val="norm"/>
        <w:spacing w:before="0" w:after="0" w:line="240" w:lineRule="auto"/>
        <w:ind w:left="644"/>
        <w:rPr>
          <w:rFonts w:ascii="Arial" w:hAnsi="Arial" w:cs="Arial"/>
          <w:sz w:val="20"/>
        </w:rPr>
      </w:pPr>
      <w:r>
        <w:rPr>
          <w:rFonts w:ascii="Arial" w:hAnsi="Arial" w:cs="Arial"/>
          <w:sz w:val="20"/>
        </w:rPr>
        <w:t>98. Don’t know</w:t>
      </w:r>
    </w:p>
    <w:p w14:paraId="626D2E31" w14:textId="77777777" w:rsidR="00B2786E" w:rsidRDefault="00B2786E" w:rsidP="00B2786E">
      <w:pPr>
        <w:pStyle w:val="norm"/>
        <w:spacing w:before="0" w:after="0" w:line="240" w:lineRule="auto"/>
        <w:ind w:left="644"/>
        <w:rPr>
          <w:rFonts w:ascii="Arial" w:hAnsi="Arial" w:cs="Arial"/>
        </w:rPr>
      </w:pPr>
      <w:r>
        <w:rPr>
          <w:rFonts w:ascii="Arial" w:hAnsi="Arial" w:cs="Arial"/>
          <w:sz w:val="20"/>
        </w:rPr>
        <w:t>99. Refused</w:t>
      </w:r>
    </w:p>
    <w:p w14:paraId="11920B75" w14:textId="77777777" w:rsidR="00B2786E" w:rsidRDefault="00B2786E" w:rsidP="00B2786E">
      <w:pPr>
        <w:rPr>
          <w:rFonts w:eastAsia="SimSun" w:cs="Arial"/>
        </w:rPr>
      </w:pPr>
    </w:p>
    <w:p w14:paraId="2ACE526F" w14:textId="77777777" w:rsidR="00B2786E" w:rsidRDefault="00B2786E" w:rsidP="00B2786E">
      <w:pPr>
        <w:rPr>
          <w:rFonts w:cs="Arial"/>
          <w:color w:val="FF0000"/>
        </w:rPr>
      </w:pPr>
      <w:bookmarkStart w:id="228" w:name="_Hlk82622286"/>
      <w:r>
        <w:rPr>
          <w:rFonts w:cs="Arial"/>
          <w:color w:val="FF0000"/>
        </w:rPr>
        <w:t>ASK IF CLOSED (CODE 4 OR 5 AT S9) AND FINANCIAL YEAR NOT APRIL 2021 TO MARCH 2022OR DON’T KNOW (CODE 2 OR 98) AT S12 OR YES FOR LONGITUDINAL SAMPLE S12=1</w:t>
      </w:r>
    </w:p>
    <w:bookmarkEnd w:id="228"/>
    <w:p w14:paraId="483D3860" w14:textId="77777777" w:rsidR="00B2786E" w:rsidRDefault="00B2786E" w:rsidP="00B2786E">
      <w:pPr>
        <w:rPr>
          <w:rFonts w:cs="Arial"/>
        </w:rPr>
      </w:pPr>
      <w:r>
        <w:rPr>
          <w:rFonts w:cs="Arial"/>
          <w:b/>
        </w:rPr>
        <w:t>S14 And [</w:t>
      </w:r>
      <w:r>
        <w:rPr>
          <w:rFonts w:cs="Arial"/>
          <w:bCs/>
          <w:color w:val="FF0000"/>
        </w:rPr>
        <w:t xml:space="preserve">CATI: </w:t>
      </w:r>
      <w:r>
        <w:rPr>
          <w:rFonts w:cs="Arial"/>
          <w:b/>
        </w:rPr>
        <w:t>can I check is] [</w:t>
      </w:r>
      <w:r>
        <w:rPr>
          <w:rFonts w:cs="Arial"/>
          <w:bCs/>
          <w:color w:val="FF0000"/>
        </w:rPr>
        <w:t xml:space="preserve">WEB: </w:t>
      </w:r>
      <w:r>
        <w:rPr>
          <w:rFonts w:cs="Arial"/>
          <w:b/>
        </w:rPr>
        <w:t xml:space="preserve">is] your </w:t>
      </w:r>
      <w:r>
        <w:rPr>
          <w:rFonts w:cs="Arial"/>
          <w:b/>
          <w:bCs/>
        </w:rPr>
        <w:t>business’</w:t>
      </w:r>
      <w:r>
        <w:rPr>
          <w:rFonts w:cs="Arial"/>
          <w:b/>
        </w:rPr>
        <w:t xml:space="preserve"> financial year 12 months?</w:t>
      </w:r>
      <w:r>
        <w:rPr>
          <w:rFonts w:cs="Arial"/>
        </w:rPr>
        <w:t xml:space="preserve"> </w:t>
      </w:r>
    </w:p>
    <w:p w14:paraId="6FA8A2B9" w14:textId="77777777" w:rsidR="00B2786E" w:rsidRDefault="00B2786E" w:rsidP="00B2786E">
      <w:pPr>
        <w:rPr>
          <w:rFonts w:cs="Arial"/>
        </w:rPr>
      </w:pPr>
      <w:r>
        <w:rPr>
          <w:rFonts w:cs="Arial"/>
          <w:b/>
          <w:bCs/>
          <w:color w:val="FF0000"/>
        </w:rPr>
        <w:t xml:space="preserve">IF CLOSED (S9=5): Was your </w:t>
      </w:r>
      <w:r>
        <w:rPr>
          <w:rFonts w:cs="Arial"/>
          <w:b/>
          <w:bCs/>
        </w:rPr>
        <w:t>business’</w:t>
      </w:r>
      <w:r>
        <w:rPr>
          <w:rFonts w:cs="Arial"/>
          <w:b/>
        </w:rPr>
        <w:t xml:space="preserve"> financial year 12 months?</w:t>
      </w:r>
    </w:p>
    <w:p w14:paraId="337789F8" w14:textId="77777777" w:rsidR="00B2786E" w:rsidRPr="006F30CC" w:rsidRDefault="00B2786E" w:rsidP="00B2786E">
      <w:pPr>
        <w:rPr>
          <w:rFonts w:cs="Arial"/>
          <w:color w:val="FF0000"/>
        </w:rPr>
      </w:pPr>
      <w:r>
        <w:rPr>
          <w:rFonts w:cs="Arial"/>
          <w:color w:val="FF0000"/>
        </w:rPr>
        <w:t>SINGLE CODE ONLY</w:t>
      </w: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26"/>
        <w:gridCol w:w="1117"/>
      </w:tblGrid>
      <w:tr w:rsidR="00B2786E" w14:paraId="7CEF14FD" w14:textId="77777777">
        <w:tc>
          <w:tcPr>
            <w:tcW w:w="4444" w:type="pct"/>
            <w:tcBorders>
              <w:top w:val="single" w:sz="4" w:space="0" w:color="000000"/>
              <w:left w:val="single" w:sz="4" w:space="0" w:color="000000"/>
              <w:bottom w:val="single" w:sz="4" w:space="0" w:color="000000"/>
              <w:right w:val="single" w:sz="4" w:space="0" w:color="000000"/>
            </w:tcBorders>
            <w:hideMark/>
          </w:tcPr>
          <w:p w14:paraId="0BF4C531" w14:textId="77777777" w:rsidR="00B2786E" w:rsidRDefault="00B2786E">
            <w:pPr>
              <w:spacing w:before="60"/>
              <w:rPr>
                <w:rFonts w:eastAsia="SimSun" w:cs="Arial"/>
                <w:color w:val="1D1D1B" w:themeColor="text1"/>
                <w:lang w:eastAsia="en-GB"/>
              </w:rPr>
            </w:pPr>
            <w:r>
              <w:rPr>
                <w:rFonts w:cs="Arial"/>
              </w:rPr>
              <w:t>Yes - 12 months</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483D90F6"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1</w:t>
            </w:r>
          </w:p>
        </w:tc>
      </w:tr>
      <w:tr w:rsidR="00B2786E" w14:paraId="50082CC3" w14:textId="77777777">
        <w:tc>
          <w:tcPr>
            <w:tcW w:w="4444" w:type="pct"/>
            <w:tcBorders>
              <w:top w:val="single" w:sz="4" w:space="0" w:color="000000"/>
              <w:left w:val="single" w:sz="4" w:space="0" w:color="000000"/>
              <w:bottom w:val="single" w:sz="4" w:space="0" w:color="000000"/>
              <w:right w:val="single" w:sz="4" w:space="0" w:color="000000"/>
            </w:tcBorders>
            <w:hideMark/>
          </w:tcPr>
          <w:p w14:paraId="7B053620" w14:textId="77777777" w:rsidR="00B2786E" w:rsidRDefault="00B2786E">
            <w:pPr>
              <w:spacing w:before="60"/>
              <w:rPr>
                <w:rFonts w:eastAsia="SimSun" w:cs="Arial"/>
                <w:color w:val="1D1D1B" w:themeColor="text1"/>
                <w:lang w:eastAsia="en-GB"/>
              </w:rPr>
            </w:pPr>
            <w:r>
              <w:rPr>
                <w:rFonts w:cs="Arial"/>
              </w:rPr>
              <w:t xml:space="preserve">No – longer/shorter than 12 months </w:t>
            </w:r>
            <w:r>
              <w:rPr>
                <w:rFonts w:cs="Arial"/>
                <w:color w:val="F06603" w:themeColor="accent6"/>
              </w:rPr>
              <w:t>WRITE IN NUMBER OF MONTHS IF NOT 12 MONTHS</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11FA7286"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2</w:t>
            </w:r>
          </w:p>
        </w:tc>
      </w:tr>
      <w:tr w:rsidR="00B2786E" w14:paraId="1706E7C9" w14:textId="77777777">
        <w:tc>
          <w:tcPr>
            <w:tcW w:w="4444" w:type="pct"/>
            <w:tcBorders>
              <w:top w:val="single" w:sz="4" w:space="0" w:color="000000"/>
              <w:left w:val="single" w:sz="4" w:space="0" w:color="000000"/>
              <w:bottom w:val="single" w:sz="4" w:space="0" w:color="000000"/>
              <w:right w:val="single" w:sz="4" w:space="0" w:color="000000"/>
            </w:tcBorders>
            <w:hideMark/>
          </w:tcPr>
          <w:p w14:paraId="64AA0383" w14:textId="77777777" w:rsidR="00B2786E" w:rsidRDefault="00B2786E">
            <w:pPr>
              <w:spacing w:before="60"/>
              <w:rPr>
                <w:rFonts w:eastAsia="SimSun" w:cs="Arial"/>
                <w:color w:val="1D1D1B" w:themeColor="text1"/>
                <w:lang w:eastAsia="en-GB"/>
              </w:rPr>
            </w:pPr>
            <w:r>
              <w:rPr>
                <w:rFonts w:cs="Arial"/>
              </w:rPr>
              <w:t>Don’t know</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6955AE26"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98</w:t>
            </w:r>
          </w:p>
        </w:tc>
      </w:tr>
      <w:tr w:rsidR="00B2786E" w14:paraId="7652632E" w14:textId="77777777">
        <w:tc>
          <w:tcPr>
            <w:tcW w:w="4444" w:type="pct"/>
            <w:tcBorders>
              <w:top w:val="single" w:sz="4" w:space="0" w:color="000000"/>
              <w:left w:val="single" w:sz="4" w:space="0" w:color="000000"/>
              <w:bottom w:val="single" w:sz="4" w:space="0" w:color="000000"/>
              <w:right w:val="single" w:sz="4" w:space="0" w:color="000000"/>
            </w:tcBorders>
            <w:hideMark/>
          </w:tcPr>
          <w:p w14:paraId="7EF6C6C8" w14:textId="77777777" w:rsidR="00B2786E" w:rsidRDefault="00B2786E">
            <w:pPr>
              <w:spacing w:before="60"/>
              <w:rPr>
                <w:rFonts w:eastAsia="SimSun" w:cs="Arial"/>
                <w:color w:val="1D1D1B" w:themeColor="text1"/>
                <w:lang w:eastAsia="en-GB"/>
              </w:rPr>
            </w:pPr>
            <w:r>
              <w:rPr>
                <w:rFonts w:cs="Arial"/>
              </w:rPr>
              <w:lastRenderedPageBreak/>
              <w:t>Refused</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5C34F2C5"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99</w:t>
            </w:r>
          </w:p>
        </w:tc>
      </w:tr>
    </w:tbl>
    <w:p w14:paraId="51B3BFF7" w14:textId="77777777" w:rsidR="00B2786E" w:rsidRDefault="00B2786E" w:rsidP="00B2786E">
      <w:pPr>
        <w:pStyle w:val="norm"/>
        <w:spacing w:before="0" w:after="0" w:line="240" w:lineRule="auto"/>
        <w:rPr>
          <w:rFonts w:ascii="Arial" w:hAnsi="Arial" w:cs="Arial"/>
          <w:sz w:val="20"/>
        </w:rPr>
      </w:pPr>
    </w:p>
    <w:p w14:paraId="77D84211" w14:textId="77777777" w:rsidR="00B2786E" w:rsidRPr="006F30CC" w:rsidRDefault="00B2786E" w:rsidP="00B2786E">
      <w:pPr>
        <w:rPr>
          <w:rFonts w:cs="Arial"/>
          <w:color w:val="FF0000"/>
          <w:sz w:val="22"/>
        </w:rPr>
      </w:pPr>
      <w:r>
        <w:rPr>
          <w:rFonts w:cs="Arial"/>
          <w:color w:val="FF0000"/>
          <w:u w:val="single"/>
        </w:rPr>
        <w:t>SCRIPT CHECK:</w:t>
      </w:r>
      <w:r>
        <w:rPr>
          <w:rFonts w:cs="Arial"/>
          <w:color w:val="FF0000"/>
        </w:rPr>
        <w:t xml:space="preserve"> IF RESPONDENT SAYS LESS THAN 12 MONTHS, THE ANSWER AT S</w:t>
      </w:r>
      <w:proofErr w:type="gramStart"/>
      <w:r>
        <w:rPr>
          <w:rFonts w:cs="Arial"/>
          <w:color w:val="FF0000"/>
        </w:rPr>
        <w:t>13  CANNOT</w:t>
      </w:r>
      <w:proofErr w:type="gramEnd"/>
      <w:r>
        <w:rPr>
          <w:rFonts w:cs="Arial"/>
          <w:color w:val="FF0000"/>
        </w:rPr>
        <w:t xml:space="preserve"> BE MARCH TO CURRENT MONTH MINUS ONE</w:t>
      </w:r>
    </w:p>
    <w:p w14:paraId="3E6B7020" w14:textId="77777777" w:rsidR="00B2786E" w:rsidRDefault="00B2786E" w:rsidP="00B2786E">
      <w:pPr>
        <w:rPr>
          <w:rFonts w:eastAsia="SimSun" w:cs="Arial"/>
          <w:color w:val="FF0000"/>
          <w:sz w:val="22"/>
        </w:rPr>
      </w:pPr>
      <w:r>
        <w:rPr>
          <w:rFonts w:eastAsia="SimSun" w:cs="Arial"/>
          <w:color w:val="FF0000"/>
        </w:rPr>
        <w:t>ASK ALL</w:t>
      </w:r>
    </w:p>
    <w:p w14:paraId="3AB94F78" w14:textId="77777777" w:rsidR="00B2786E" w:rsidRPr="006F30CC" w:rsidRDefault="00B2786E" w:rsidP="00B2786E">
      <w:pPr>
        <w:rPr>
          <w:rFonts w:eastAsia="SimSun" w:cs="Arial"/>
        </w:rPr>
      </w:pPr>
      <w:bookmarkStart w:id="229" w:name="_Hlk82622451"/>
      <w:bookmarkStart w:id="230" w:name="_Hlk82684162"/>
      <w:r>
        <w:rPr>
          <w:rFonts w:eastAsia="SimSun" w:cs="Arial"/>
          <w:b/>
          <w:bCs/>
        </w:rPr>
        <w:t>S15AA</w:t>
      </w:r>
      <w:bookmarkEnd w:id="229"/>
      <w:r>
        <w:rPr>
          <w:rFonts w:eastAsia="SimSun" w:cs="Arial"/>
          <w:b/>
          <w:bCs/>
        </w:rPr>
        <w:t xml:space="preserve"> How many people did your </w:t>
      </w:r>
      <w:r>
        <w:rPr>
          <w:rFonts w:cs="Arial"/>
          <w:b/>
          <w:bCs/>
        </w:rPr>
        <w:t>business</w:t>
      </w:r>
      <w:r>
        <w:rPr>
          <w:rFonts w:eastAsia="SimSun" w:cs="Arial"/>
          <w:b/>
          <w:bCs/>
        </w:rPr>
        <w:t xml:space="preserve"> employ across all sites in the UK, either full or part time, including yourself at the end of your latest completed financial year? Please include working directors, partners, managers, people who work away from the site </w:t>
      </w:r>
      <w:bookmarkEnd w:id="230"/>
      <w:r>
        <w:rPr>
          <w:rFonts w:eastAsia="SimSun" w:cs="Arial"/>
          <w:b/>
        </w:rPr>
        <w:t xml:space="preserve">Do not include outside contractors, agency staff or self-employed contractors. </w:t>
      </w:r>
      <w:r>
        <w:rPr>
          <w:rFonts w:eastAsia="SimSun" w:cs="Arial"/>
          <w:color w:val="F06603" w:themeColor="accent6"/>
        </w:rPr>
        <w:t>WRITE IN EXACT NUMBER OR ACCEPT BANDED REPLY IF NOT SURE. [RANGE = 1-99,999]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44"/>
      </w:tblGrid>
      <w:tr w:rsidR="00B2786E" w14:paraId="43CCCEC7" w14:textId="77777777">
        <w:tc>
          <w:tcPr>
            <w:tcW w:w="5000" w:type="pct"/>
            <w:tcBorders>
              <w:top w:val="single" w:sz="4" w:space="0" w:color="000000"/>
              <w:left w:val="single" w:sz="4" w:space="0" w:color="000000"/>
              <w:bottom w:val="single" w:sz="4" w:space="0" w:color="000000"/>
              <w:right w:val="single" w:sz="4" w:space="0" w:color="000000"/>
            </w:tcBorders>
          </w:tcPr>
          <w:p w14:paraId="722A923F" w14:textId="77777777" w:rsidR="00B2786E" w:rsidRDefault="00B2786E">
            <w:pPr>
              <w:rPr>
                <w:rFonts w:eastAsia="SimSun" w:cs="Arial"/>
                <w:color w:val="1D1D1B" w:themeColor="text1"/>
                <w:lang w:eastAsia="en-GB"/>
              </w:rPr>
            </w:pPr>
          </w:p>
          <w:p w14:paraId="66396B0D" w14:textId="77777777" w:rsidR="00B2786E" w:rsidRDefault="00B2786E">
            <w:pPr>
              <w:rPr>
                <w:rFonts w:eastAsia="SimSun" w:cs="Arial"/>
                <w:color w:val="1D1D1B" w:themeColor="text1"/>
                <w:lang w:eastAsia="en-GB"/>
              </w:rPr>
            </w:pPr>
          </w:p>
        </w:tc>
      </w:tr>
    </w:tbl>
    <w:p w14:paraId="23258834" w14:textId="77777777" w:rsidR="00B2786E" w:rsidRDefault="00B2786E" w:rsidP="00B2786E">
      <w:pPr>
        <w:rPr>
          <w:rFonts w:eastAsia="SimSun" w:cs="Arial"/>
          <w:color w:val="1D1D1B" w:themeColor="text1"/>
          <w:sz w:val="22"/>
        </w:rPr>
      </w:pPr>
    </w:p>
    <w:p w14:paraId="71E6F98C" w14:textId="77777777" w:rsidR="00B2786E" w:rsidRDefault="00B2786E" w:rsidP="00B2786E">
      <w:pPr>
        <w:rPr>
          <w:rFonts w:eastAsia="SimSun" w:cs="Arial"/>
        </w:rPr>
      </w:pPr>
      <w:r>
        <w:rPr>
          <w:rFonts w:eastAsia="SimSun" w:cs="Arial"/>
        </w:rPr>
        <w:t>Don’t know</w:t>
      </w:r>
      <w:r>
        <w:rPr>
          <w:rFonts w:eastAsia="SimSun" w:cs="Arial"/>
        </w:rPr>
        <w:tab/>
      </w:r>
      <w:r>
        <w:rPr>
          <w:rFonts w:eastAsia="SimSun" w:cs="Arial"/>
        </w:rPr>
        <w:tab/>
        <w:t xml:space="preserve">98            </w:t>
      </w:r>
    </w:p>
    <w:p w14:paraId="450054B6" w14:textId="77777777" w:rsidR="00B2786E" w:rsidRPr="006F30CC" w:rsidRDefault="00B2786E" w:rsidP="00B2786E">
      <w:pPr>
        <w:rPr>
          <w:rFonts w:eastAsia="SimSun" w:cs="Arial"/>
        </w:rPr>
      </w:pPr>
      <w:r>
        <w:rPr>
          <w:rFonts w:eastAsia="SimSun" w:cs="Arial"/>
        </w:rPr>
        <w:t>Refused</w:t>
      </w:r>
      <w:r>
        <w:rPr>
          <w:rFonts w:eastAsia="SimSun" w:cs="Arial"/>
        </w:rPr>
        <w:tab/>
      </w:r>
      <w:r>
        <w:rPr>
          <w:rFonts w:eastAsia="SimSun" w:cs="Arial"/>
        </w:rPr>
        <w:tab/>
        <w:t>99</w:t>
      </w:r>
    </w:p>
    <w:p w14:paraId="38BEB6D7" w14:textId="77777777" w:rsidR="00B2786E" w:rsidRDefault="00B2786E" w:rsidP="00B2786E">
      <w:pPr>
        <w:rPr>
          <w:rFonts w:eastAsia="SimSun" w:cs="Arial"/>
          <w:color w:val="FF0000"/>
        </w:rPr>
      </w:pPr>
      <w:r>
        <w:rPr>
          <w:rFonts w:eastAsia="SimSun" w:cs="Arial"/>
          <w:color w:val="FF0000"/>
        </w:rPr>
        <w:t>ASK IF DON’T KNOW (CODE 98) AT S15</w:t>
      </w:r>
    </w:p>
    <w:p w14:paraId="07791F17" w14:textId="77777777" w:rsidR="00B2786E" w:rsidRPr="006F30CC" w:rsidRDefault="00B2786E" w:rsidP="00B2786E">
      <w:pPr>
        <w:rPr>
          <w:rFonts w:eastAsia="SimSun" w:cs="Arial"/>
        </w:rPr>
      </w:pPr>
      <w:r>
        <w:rPr>
          <w:rFonts w:eastAsia="SimSun" w:cs="Arial"/>
          <w:b/>
          <w:bCs/>
        </w:rPr>
        <w:t>S16AA Which of the following best describes the total number of people employed at the end of your latest completed financial year, including yourself?</w:t>
      </w:r>
      <w:r>
        <w:rPr>
          <w:rFonts w:eastAsia="SimSun" w:cs="Arial"/>
        </w:rPr>
        <w:t xml:space="preserve"> </w:t>
      </w:r>
      <w:r>
        <w:rPr>
          <w:rFonts w:eastAsia="SimSun" w:cs="Arial"/>
          <w:color w:val="F06603" w:themeColor="accent6"/>
        </w:rPr>
        <w:t xml:space="preserve">READ OUT. </w:t>
      </w:r>
      <w:r>
        <w:rPr>
          <w:rFonts w:eastAsia="SimSun" w:cs="Arial"/>
          <w:color w:val="FF0000"/>
        </w:rPr>
        <w:t>SINGLE CODE ONLY</w:t>
      </w: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26"/>
        <w:gridCol w:w="1117"/>
      </w:tblGrid>
      <w:tr w:rsidR="00B2786E" w14:paraId="1F63BDB5"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4CAA65AF" w14:textId="77777777" w:rsidR="00B2786E" w:rsidRDefault="00B2786E">
            <w:pPr>
              <w:spacing w:before="60"/>
              <w:rPr>
                <w:rFonts w:eastAsia="SimSun" w:cs="Arial"/>
                <w:color w:val="1D1D1B" w:themeColor="text1"/>
                <w:lang w:eastAsia="en-GB"/>
              </w:rPr>
            </w:pPr>
            <w:r>
              <w:rPr>
                <w:rFonts w:cs="Arial"/>
                <w:color w:val="FF0000"/>
              </w:rPr>
              <w:t xml:space="preserve">SHOW TO BBLS/CBILS </w:t>
            </w:r>
            <w:proofErr w:type="gramStart"/>
            <w:r>
              <w:rPr>
                <w:rFonts w:cs="Arial"/>
                <w:color w:val="FF0000"/>
              </w:rPr>
              <w:t>SAMPLE  OR</w:t>
            </w:r>
            <w:proofErr w:type="gramEnd"/>
            <w:r>
              <w:rPr>
                <w:rFonts w:cs="Arial"/>
                <w:color w:val="FF0000"/>
              </w:rPr>
              <w:t xml:space="preserve"> CONTROL GROUP: </w:t>
            </w:r>
            <w:r>
              <w:rPr>
                <w:rFonts w:eastAsia="SimSun" w:cs="Arial"/>
                <w:color w:val="1D1D1B" w:themeColor="text1"/>
                <w:lang w:eastAsia="en-GB"/>
              </w:rPr>
              <w:t>Just yourself</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400BCA7C"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1</w:t>
            </w:r>
          </w:p>
        </w:tc>
      </w:tr>
      <w:tr w:rsidR="00B2786E" w14:paraId="711A741F"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5071873E" w14:textId="77777777" w:rsidR="00B2786E" w:rsidRDefault="00B2786E">
            <w:pPr>
              <w:spacing w:before="60"/>
              <w:rPr>
                <w:rFonts w:eastAsia="SimSun" w:cs="Arial"/>
                <w:color w:val="1D1D1B" w:themeColor="text1"/>
                <w:lang w:eastAsia="en-GB"/>
              </w:rPr>
            </w:pPr>
            <w:r>
              <w:rPr>
                <w:rFonts w:cs="Arial"/>
                <w:color w:val="FF0000"/>
              </w:rPr>
              <w:t xml:space="preserve">SHOW TO BBLS/CBILS SAMPLE OR CONTROL </w:t>
            </w:r>
            <w:proofErr w:type="gramStart"/>
            <w:r>
              <w:rPr>
                <w:rFonts w:cs="Arial"/>
                <w:color w:val="FF0000"/>
              </w:rPr>
              <w:t>GROUP :</w:t>
            </w:r>
            <w:proofErr w:type="gramEnd"/>
            <w:r>
              <w:rPr>
                <w:rFonts w:cs="Arial"/>
                <w:color w:val="FF0000"/>
              </w:rPr>
              <w:t xml:space="preserve"> </w:t>
            </w:r>
            <w:r>
              <w:rPr>
                <w:rFonts w:eastAsia="SimSun" w:cs="Arial"/>
                <w:color w:val="1D1D1B" w:themeColor="text1"/>
                <w:lang w:eastAsia="en-GB"/>
              </w:rPr>
              <w:t>2-4</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2E5E4219"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2</w:t>
            </w:r>
          </w:p>
        </w:tc>
      </w:tr>
      <w:tr w:rsidR="00B2786E" w14:paraId="2B7C96BF"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1EE5CE90" w14:textId="77777777" w:rsidR="00B2786E" w:rsidRDefault="00B2786E">
            <w:pPr>
              <w:spacing w:before="60"/>
              <w:rPr>
                <w:rFonts w:eastAsia="SimSun" w:cs="Arial"/>
                <w:color w:val="1D1D1B" w:themeColor="text1"/>
                <w:lang w:eastAsia="en-GB"/>
              </w:rPr>
            </w:pPr>
            <w:r>
              <w:rPr>
                <w:rFonts w:cs="Arial"/>
                <w:color w:val="FF0000"/>
              </w:rPr>
              <w:t xml:space="preserve">SHOW TO BBLS/CBILS SAMPLE OR CONTROL GROUP: </w:t>
            </w:r>
            <w:r>
              <w:rPr>
                <w:rFonts w:eastAsia="SimSun" w:cs="Arial"/>
                <w:color w:val="1D1D1B" w:themeColor="text1"/>
                <w:lang w:eastAsia="en-GB"/>
              </w:rPr>
              <w:t>5-9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7132232E"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3</w:t>
            </w:r>
          </w:p>
        </w:tc>
      </w:tr>
      <w:tr w:rsidR="00B2786E" w14:paraId="7C444CF5"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65AFDAC0" w14:textId="77777777" w:rsidR="00B2786E" w:rsidRDefault="00B2786E">
            <w:pPr>
              <w:spacing w:before="60"/>
              <w:rPr>
                <w:rFonts w:eastAsia="SimSun" w:cs="Arial"/>
                <w:color w:val="1D1D1B" w:themeColor="text1"/>
                <w:lang w:eastAsia="en-GB"/>
              </w:rPr>
            </w:pPr>
            <w:r>
              <w:rPr>
                <w:rFonts w:cs="Arial"/>
                <w:color w:val="FF0000"/>
              </w:rPr>
              <w:t xml:space="preserve">SHOW TO BBLS/CBILS SAMPLE OR CONTROL GROUP: </w:t>
            </w:r>
            <w:r>
              <w:rPr>
                <w:rFonts w:eastAsia="SimSun" w:cs="Arial"/>
                <w:color w:val="1D1D1B" w:themeColor="text1"/>
                <w:lang w:eastAsia="en-GB"/>
              </w:rPr>
              <w:t>10-24</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2667EEE3"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4</w:t>
            </w:r>
          </w:p>
        </w:tc>
      </w:tr>
      <w:tr w:rsidR="00B2786E" w14:paraId="06731D42"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634952AE" w14:textId="77777777" w:rsidR="00B2786E" w:rsidRDefault="00B2786E">
            <w:pPr>
              <w:spacing w:before="60"/>
              <w:rPr>
                <w:rFonts w:eastAsia="SimSun" w:cs="Arial"/>
                <w:color w:val="1D1D1B" w:themeColor="text1"/>
                <w:lang w:eastAsia="en-GB"/>
              </w:rPr>
            </w:pPr>
            <w:r>
              <w:rPr>
                <w:rFonts w:cs="Arial"/>
                <w:color w:val="FF0000"/>
              </w:rPr>
              <w:t xml:space="preserve">SHOW TO BBLS/CBILS SAMPLE OR CONTROL GROUP: </w:t>
            </w:r>
            <w:r>
              <w:rPr>
                <w:rFonts w:eastAsia="SimSun" w:cs="Arial"/>
                <w:color w:val="1D1D1B" w:themeColor="text1"/>
                <w:lang w:eastAsia="en-GB"/>
              </w:rPr>
              <w:t>25-49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0EF5CAD6"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5</w:t>
            </w:r>
          </w:p>
        </w:tc>
      </w:tr>
      <w:tr w:rsidR="00B2786E" w14:paraId="299314BA"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09361238" w14:textId="77777777" w:rsidR="00B2786E" w:rsidRDefault="00B2786E">
            <w:pPr>
              <w:spacing w:before="60"/>
              <w:rPr>
                <w:rFonts w:cs="Arial"/>
                <w:color w:val="1D1D1B" w:themeColor="text1"/>
              </w:rPr>
            </w:pPr>
            <w:r>
              <w:rPr>
                <w:rFonts w:cs="Arial"/>
                <w:color w:val="FF0000"/>
              </w:rPr>
              <w:lastRenderedPageBreak/>
              <w:t>SHOW TO CLBILS SAMPLE OR CONTROL GROUP:</w:t>
            </w:r>
            <w:r>
              <w:rPr>
                <w:rFonts w:cs="Arial"/>
                <w:color w:val="1D1D1B" w:themeColor="text1"/>
              </w:rPr>
              <w:t xml:space="preserve"> 1-49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7A65AC62"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6</w:t>
            </w:r>
          </w:p>
        </w:tc>
      </w:tr>
      <w:tr w:rsidR="00B2786E" w14:paraId="5985F210"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0A8EF76B" w14:textId="77777777" w:rsidR="00B2786E" w:rsidRDefault="00B2786E">
            <w:pPr>
              <w:spacing w:before="60"/>
              <w:rPr>
                <w:rFonts w:eastAsia="SimSun" w:cs="Arial"/>
                <w:color w:val="1D1D1B" w:themeColor="text1"/>
                <w:lang w:eastAsia="en-GB"/>
              </w:rPr>
            </w:pPr>
            <w:r>
              <w:rPr>
                <w:rFonts w:eastAsia="SimSun" w:cs="Arial"/>
                <w:color w:val="1D1D1B" w:themeColor="text1"/>
                <w:lang w:eastAsia="en-GB"/>
              </w:rPr>
              <w:t>50-249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29B6812A"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7</w:t>
            </w:r>
          </w:p>
        </w:tc>
      </w:tr>
      <w:tr w:rsidR="00B2786E" w14:paraId="6C3EC2B2"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02A4266F" w14:textId="77777777" w:rsidR="00B2786E" w:rsidRDefault="00B2786E">
            <w:pPr>
              <w:spacing w:before="60"/>
              <w:rPr>
                <w:rFonts w:eastAsia="SimSun" w:cs="Arial"/>
                <w:color w:val="1D1D1B" w:themeColor="text1"/>
                <w:lang w:eastAsia="en-GB"/>
              </w:rPr>
            </w:pPr>
            <w:r>
              <w:rPr>
                <w:rFonts w:cs="Arial"/>
                <w:color w:val="FF0000"/>
              </w:rPr>
              <w:t xml:space="preserve">SHOW TO BBLS/CBILS OR CONTROL GROUP: </w:t>
            </w:r>
            <w:r>
              <w:rPr>
                <w:rFonts w:cs="Arial"/>
                <w:color w:val="1D1D1B" w:themeColor="text1"/>
              </w:rPr>
              <w:t>250 or more</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6E6322E6"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8</w:t>
            </w:r>
          </w:p>
        </w:tc>
      </w:tr>
      <w:tr w:rsidR="00B2786E" w14:paraId="17FC31D5"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3EC02239" w14:textId="77777777" w:rsidR="00B2786E" w:rsidRDefault="00B2786E">
            <w:pPr>
              <w:spacing w:before="60"/>
              <w:rPr>
                <w:rFonts w:eastAsia="SimSun" w:cs="Arial"/>
                <w:color w:val="1D1D1B" w:themeColor="text1"/>
                <w:lang w:eastAsia="en-GB"/>
              </w:rPr>
            </w:pPr>
            <w:r>
              <w:rPr>
                <w:rFonts w:cs="Arial"/>
                <w:color w:val="FF0000"/>
              </w:rPr>
              <w:t xml:space="preserve">SHOW TO CLBILS SAMPLE ONLY OR CONTROL GROUP: </w:t>
            </w:r>
            <w:r>
              <w:rPr>
                <w:rFonts w:eastAsia="SimSun" w:cs="Arial"/>
                <w:color w:val="1D1D1B" w:themeColor="text1"/>
                <w:lang w:eastAsia="en-GB"/>
              </w:rPr>
              <w:t>250-999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6BEDAC69"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0</w:t>
            </w:r>
          </w:p>
        </w:tc>
      </w:tr>
      <w:tr w:rsidR="00B2786E" w14:paraId="588B9BB2"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41106B41" w14:textId="77777777" w:rsidR="00B2786E" w:rsidRDefault="00B2786E">
            <w:pPr>
              <w:spacing w:before="60"/>
              <w:rPr>
                <w:rFonts w:eastAsia="SimSun" w:cs="Arial"/>
                <w:color w:val="1D1D1B" w:themeColor="text1"/>
                <w:lang w:eastAsia="en-GB"/>
              </w:rPr>
            </w:pPr>
            <w:r>
              <w:rPr>
                <w:rFonts w:cs="Arial"/>
                <w:color w:val="FF0000"/>
              </w:rPr>
              <w:t xml:space="preserve">SHOW TO CLBILS SAMPLE ONLY OR CONTROL GROUP: </w:t>
            </w:r>
            <w:r>
              <w:rPr>
                <w:rFonts w:eastAsia="SimSun" w:cs="Arial"/>
                <w:color w:val="1D1D1B" w:themeColor="text1"/>
                <w:lang w:eastAsia="en-GB"/>
              </w:rPr>
              <w:t>1,000-2,499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2DEF8344"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10</w:t>
            </w:r>
          </w:p>
        </w:tc>
      </w:tr>
      <w:tr w:rsidR="00B2786E" w14:paraId="4F6C8B93"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7EE0ED40" w14:textId="77777777" w:rsidR="00B2786E" w:rsidRDefault="00B2786E">
            <w:pPr>
              <w:spacing w:before="60"/>
              <w:rPr>
                <w:rFonts w:eastAsia="SimSun" w:cs="Arial"/>
                <w:color w:val="1D1D1B" w:themeColor="text1"/>
                <w:lang w:eastAsia="en-GB"/>
              </w:rPr>
            </w:pPr>
            <w:r>
              <w:rPr>
                <w:rFonts w:cs="Arial"/>
                <w:color w:val="FF0000"/>
              </w:rPr>
              <w:t>SHOW TO CLBILS SAMPLE ONLY OR CONTROL GROUP</w:t>
            </w:r>
            <w:r>
              <w:rPr>
                <w:rFonts w:cs="Arial"/>
                <w:color w:val="1D1D1B" w:themeColor="text1"/>
              </w:rPr>
              <w:t xml:space="preserve">: </w:t>
            </w:r>
            <w:r>
              <w:rPr>
                <w:rFonts w:eastAsia="SimSun" w:cs="Arial"/>
                <w:color w:val="1D1D1B" w:themeColor="text1"/>
                <w:lang w:eastAsia="en-GB"/>
              </w:rPr>
              <w:t>2,500-4,999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15FABE8B"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11</w:t>
            </w:r>
          </w:p>
        </w:tc>
      </w:tr>
      <w:tr w:rsidR="00B2786E" w14:paraId="78E782F9"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12335F45" w14:textId="77777777" w:rsidR="00B2786E" w:rsidRDefault="00B2786E">
            <w:pPr>
              <w:spacing w:before="60"/>
              <w:rPr>
                <w:rFonts w:eastAsia="SimSun" w:cs="Arial"/>
                <w:color w:val="1D1D1B" w:themeColor="text1"/>
                <w:lang w:eastAsia="en-GB"/>
              </w:rPr>
            </w:pPr>
            <w:r>
              <w:rPr>
                <w:rFonts w:cs="Arial"/>
                <w:color w:val="FF0000"/>
              </w:rPr>
              <w:t xml:space="preserve">SHOW TO CLBILS SAMPLE ONLY OR CONTROL GROUP: </w:t>
            </w:r>
            <w:r>
              <w:rPr>
                <w:rFonts w:eastAsia="SimSun" w:cs="Arial"/>
                <w:color w:val="1D1D1B" w:themeColor="text1"/>
                <w:lang w:eastAsia="en-GB"/>
              </w:rPr>
              <w:t>5,000 or more</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57DA9DE0"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12</w:t>
            </w:r>
          </w:p>
        </w:tc>
      </w:tr>
      <w:tr w:rsidR="00B2786E" w14:paraId="6C8F107D"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64987A2C" w14:textId="77777777" w:rsidR="00B2786E" w:rsidRDefault="00B2786E">
            <w:pPr>
              <w:spacing w:before="60"/>
              <w:rPr>
                <w:rFonts w:eastAsia="SimSun" w:cs="Arial"/>
                <w:color w:val="1D1D1B" w:themeColor="text1"/>
                <w:lang w:eastAsia="en-GB"/>
              </w:rPr>
            </w:pPr>
            <w:r>
              <w:rPr>
                <w:rFonts w:eastAsia="SimSun" w:cs="Arial"/>
                <w:color w:val="1D1D1B" w:themeColor="text1"/>
                <w:lang w:eastAsia="en-GB"/>
              </w:rPr>
              <w:t>Don’t know</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4893E398"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98</w:t>
            </w:r>
          </w:p>
        </w:tc>
      </w:tr>
      <w:tr w:rsidR="00B2786E" w14:paraId="7B08A748" w14:textId="77777777">
        <w:tc>
          <w:tcPr>
            <w:tcW w:w="4444" w:type="pct"/>
            <w:tcBorders>
              <w:top w:val="single" w:sz="4" w:space="0" w:color="000000"/>
              <w:left w:val="single" w:sz="4" w:space="0" w:color="000000"/>
              <w:bottom w:val="single" w:sz="4" w:space="0" w:color="000000"/>
              <w:right w:val="single" w:sz="4" w:space="0" w:color="000000"/>
            </w:tcBorders>
            <w:vAlign w:val="center"/>
            <w:hideMark/>
          </w:tcPr>
          <w:p w14:paraId="4778762F" w14:textId="77777777" w:rsidR="00B2786E" w:rsidRDefault="00B2786E">
            <w:pPr>
              <w:spacing w:before="60"/>
              <w:rPr>
                <w:rFonts w:eastAsia="SimSun" w:cs="Arial"/>
                <w:color w:val="1D1D1B" w:themeColor="text1"/>
                <w:lang w:eastAsia="en-GB"/>
              </w:rPr>
            </w:pPr>
            <w:r>
              <w:rPr>
                <w:rFonts w:eastAsia="SimSun" w:cs="Arial"/>
                <w:color w:val="1D1D1B" w:themeColor="text1"/>
                <w:lang w:eastAsia="en-GB"/>
              </w:rPr>
              <w:t>Refused</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735ABCC4" w14:textId="77777777" w:rsidR="00B2786E" w:rsidRDefault="00B2786E">
            <w:pPr>
              <w:spacing w:before="60"/>
              <w:jc w:val="center"/>
              <w:rPr>
                <w:rFonts w:eastAsia="SimSun" w:cs="Arial"/>
                <w:color w:val="1D1D1B" w:themeColor="text1"/>
                <w:lang w:eastAsia="en-GB"/>
              </w:rPr>
            </w:pPr>
            <w:r>
              <w:rPr>
                <w:rFonts w:eastAsia="SimSun" w:cs="Arial"/>
                <w:color w:val="1D1D1B" w:themeColor="text1"/>
                <w:lang w:eastAsia="en-GB"/>
              </w:rPr>
              <w:t>99</w:t>
            </w:r>
          </w:p>
        </w:tc>
      </w:tr>
    </w:tbl>
    <w:p w14:paraId="16066D92" w14:textId="77777777" w:rsidR="00B2786E" w:rsidRDefault="00B2786E" w:rsidP="00B2786E">
      <w:pPr>
        <w:tabs>
          <w:tab w:val="left" w:pos="709"/>
        </w:tabs>
        <w:ind w:left="709" w:hanging="709"/>
        <w:rPr>
          <w:rFonts w:cs="Arial"/>
          <w:color w:val="1D1D1B" w:themeColor="text1"/>
          <w:sz w:val="22"/>
        </w:rPr>
      </w:pPr>
    </w:p>
    <w:p w14:paraId="0FA6299F" w14:textId="77777777" w:rsidR="00B2786E" w:rsidRDefault="00B2786E" w:rsidP="00B2786E">
      <w:pPr>
        <w:rPr>
          <w:rFonts w:cs="Arial"/>
          <w:color w:val="FF0000"/>
        </w:rPr>
      </w:pPr>
      <w:r>
        <w:rPr>
          <w:rFonts w:cs="Arial"/>
          <w:color w:val="FF0000"/>
        </w:rPr>
        <w:t>ASK IF FRESH SAMPLE</w:t>
      </w:r>
    </w:p>
    <w:p w14:paraId="74977959" w14:textId="77777777" w:rsidR="00B2786E" w:rsidRDefault="00B2786E" w:rsidP="00B2786E">
      <w:pPr>
        <w:rPr>
          <w:rFonts w:cs="Arial"/>
          <w:color w:val="FF0000"/>
        </w:rPr>
      </w:pPr>
      <w:r>
        <w:rPr>
          <w:rFonts w:cs="Arial"/>
          <w:color w:val="FF0000"/>
        </w:rPr>
        <w:t>REPEATS S15-16 FOR:</w:t>
      </w:r>
    </w:p>
    <w:p w14:paraId="72173B32" w14:textId="77777777" w:rsidR="00B2786E" w:rsidRDefault="00B2786E" w:rsidP="00B2786E">
      <w:pPr>
        <w:rPr>
          <w:rFonts w:eastAsia="SimSun" w:cs="Arial"/>
          <w:b/>
          <w:bCs/>
        </w:rPr>
      </w:pPr>
      <w:bookmarkStart w:id="231" w:name="_Hlk82622492"/>
      <w:r>
        <w:rPr>
          <w:rFonts w:eastAsia="SimSun" w:cs="Arial"/>
          <w:b/>
          <w:bCs/>
        </w:rPr>
        <w:t>S1516BB</w:t>
      </w:r>
      <w:bookmarkEnd w:id="231"/>
      <w:r>
        <w:rPr>
          <w:rFonts w:eastAsia="SimSun" w:cs="Arial"/>
          <w:b/>
          <w:bCs/>
        </w:rPr>
        <w:t>. How many people did you employ in the financial year of 2020-2021?</w:t>
      </w:r>
    </w:p>
    <w:p w14:paraId="0046F4B7" w14:textId="77777777" w:rsidR="00B2786E" w:rsidRDefault="00B2786E" w:rsidP="00B2786E">
      <w:pPr>
        <w:rPr>
          <w:rFonts w:eastAsia="SimSun" w:cs="Arial"/>
          <w:color w:val="FF0000"/>
        </w:rPr>
      </w:pPr>
      <w:r>
        <w:rPr>
          <w:rFonts w:eastAsia="SimSun" w:cs="Arial"/>
          <w:color w:val="FF0000"/>
        </w:rPr>
        <w:t>REPEAT ALL OPTIONS AT S15 AND S16</w:t>
      </w:r>
    </w:p>
    <w:p w14:paraId="3D26B439" w14:textId="77777777" w:rsidR="00B2786E" w:rsidRDefault="00B2786E" w:rsidP="00B2786E">
      <w:pPr>
        <w:rPr>
          <w:rFonts w:cs="Arial"/>
          <w:color w:val="FF0000"/>
        </w:rPr>
      </w:pPr>
      <w:r>
        <w:rPr>
          <w:rFonts w:cs="Arial"/>
          <w:color w:val="FF0000"/>
        </w:rPr>
        <w:t>ASK IF FRESH SAMPLE</w:t>
      </w:r>
    </w:p>
    <w:p w14:paraId="10DCBAD7" w14:textId="77777777" w:rsidR="00B2786E" w:rsidRDefault="00B2786E" w:rsidP="00B2786E">
      <w:pPr>
        <w:rPr>
          <w:rFonts w:cs="Arial"/>
          <w:color w:val="FF0000"/>
        </w:rPr>
      </w:pPr>
      <w:r>
        <w:rPr>
          <w:rFonts w:cs="Arial"/>
          <w:color w:val="FF0000"/>
        </w:rPr>
        <w:t>REPEATS S15-16 FOR:</w:t>
      </w:r>
    </w:p>
    <w:p w14:paraId="7EF87A95" w14:textId="77777777" w:rsidR="00B2786E" w:rsidRDefault="00B2786E" w:rsidP="00B2786E">
      <w:pPr>
        <w:rPr>
          <w:rFonts w:eastAsia="SimSun" w:cs="Arial"/>
          <w:b/>
          <w:bCs/>
        </w:rPr>
      </w:pPr>
      <w:r>
        <w:rPr>
          <w:rFonts w:eastAsia="SimSun" w:cs="Arial"/>
          <w:b/>
          <w:bCs/>
        </w:rPr>
        <w:t xml:space="preserve"> CC. Finally, how many people did you employ at the end of your latest completed financial year ending prior to the Covid-19 pandemic (</w:t>
      </w:r>
      <w:proofErr w:type="gramStart"/>
      <w:r>
        <w:rPr>
          <w:rFonts w:eastAsia="SimSun" w:cs="Arial"/>
          <w:b/>
          <w:bCs/>
        </w:rPr>
        <w:t>i.e.</w:t>
      </w:r>
      <w:proofErr w:type="gramEnd"/>
      <w:r>
        <w:rPr>
          <w:rFonts w:eastAsia="SimSun" w:cs="Arial"/>
          <w:b/>
          <w:bCs/>
        </w:rPr>
        <w:t xml:space="preserve"> 23 March 2020)?</w:t>
      </w:r>
    </w:p>
    <w:p w14:paraId="1D8393FA" w14:textId="77777777" w:rsidR="00B2786E" w:rsidRPr="006F30CC" w:rsidRDefault="00B2786E" w:rsidP="00B2786E">
      <w:pPr>
        <w:rPr>
          <w:rFonts w:cs="Arial"/>
          <w:color w:val="FF0000"/>
        </w:rPr>
      </w:pPr>
      <w:r>
        <w:rPr>
          <w:rFonts w:eastAsia="SimSun" w:cs="Arial"/>
          <w:color w:val="FF0000"/>
        </w:rPr>
        <w:t>REPEAT ALL OPTIONS AT S15 AND S16</w:t>
      </w:r>
    </w:p>
    <w:p w14:paraId="5BD09C62" w14:textId="77777777" w:rsidR="00B2786E" w:rsidRDefault="00B2786E" w:rsidP="00B2786E">
      <w:pPr>
        <w:rPr>
          <w:rFonts w:cs="Arial"/>
          <w:color w:val="FF0000"/>
        </w:rPr>
      </w:pPr>
      <w:r>
        <w:rPr>
          <w:rFonts w:cs="Arial"/>
          <w:color w:val="FF0000"/>
        </w:rPr>
        <w:t>ASK ALL NEW SAMPLE</w:t>
      </w:r>
    </w:p>
    <w:p w14:paraId="6D0C4F23" w14:textId="77777777" w:rsidR="00B2786E" w:rsidRDefault="00B2786E" w:rsidP="00B2786E">
      <w:pPr>
        <w:rPr>
          <w:rFonts w:cs="Arial"/>
        </w:rPr>
      </w:pPr>
      <w:r>
        <w:rPr>
          <w:rFonts w:cs="Arial"/>
          <w:b/>
          <w:bCs/>
        </w:rPr>
        <w:t xml:space="preserve">S17 What is the legal status of your business? </w:t>
      </w:r>
      <w:r>
        <w:rPr>
          <w:rFonts w:cs="Arial"/>
          <w:b/>
          <w:bCs/>
          <w:color w:val="FF0000"/>
        </w:rPr>
        <w:t xml:space="preserve">IF CLOSED (S9=5): </w:t>
      </w:r>
      <w:r>
        <w:rPr>
          <w:rFonts w:cs="Arial"/>
          <w:b/>
          <w:bCs/>
        </w:rPr>
        <w:t>What was the legal status of your business</w:t>
      </w:r>
      <w:proofErr w:type="gramStart"/>
      <w:r>
        <w:rPr>
          <w:rFonts w:cs="Arial"/>
          <w:b/>
          <w:bCs/>
        </w:rPr>
        <w:t>… ?</w:t>
      </w:r>
      <w:proofErr w:type="gramEnd"/>
      <w:r>
        <w:rPr>
          <w:rFonts w:cs="Arial"/>
        </w:rPr>
        <w:t xml:space="preserve"> </w:t>
      </w:r>
      <w:r>
        <w:rPr>
          <w:rFonts w:cs="Arial"/>
          <w:color w:val="FF0000"/>
        </w:rPr>
        <w:t>SINGLE CODE ONLY</w:t>
      </w:r>
    </w:p>
    <w:p w14:paraId="0C44F55E" w14:textId="77777777" w:rsidR="00B2786E" w:rsidRDefault="00B2786E" w:rsidP="00B2786E">
      <w:pPr>
        <w:rPr>
          <w:rFonts w:cs="Arial"/>
          <w:b/>
          <w:u w:val="single"/>
        </w:rPr>
      </w:pPr>
      <w:r>
        <w:rPr>
          <w:rFonts w:cs="Arial"/>
          <w:color w:val="FF0000"/>
        </w:rPr>
        <w:lastRenderedPageBreak/>
        <w:t xml:space="preserve">IF SOLE PROPRIETORSHIP/TRADER (CODE 1) THEN ASK: </w:t>
      </w:r>
      <w:r>
        <w:rPr>
          <w:rFonts w:cs="Arial"/>
          <w:b/>
        </w:rPr>
        <w:t>Can [</w:t>
      </w:r>
      <w:r>
        <w:rPr>
          <w:rFonts w:cs="Arial"/>
          <w:bCs/>
          <w:color w:val="FF0000"/>
        </w:rPr>
        <w:t xml:space="preserve">CATI: </w:t>
      </w:r>
      <w:r>
        <w:rPr>
          <w:rFonts w:cs="Arial"/>
          <w:b/>
        </w:rPr>
        <w:t>I] [</w:t>
      </w:r>
      <w:r>
        <w:rPr>
          <w:rFonts w:cs="Arial"/>
          <w:bCs/>
          <w:color w:val="FF0000"/>
        </w:rPr>
        <w:t xml:space="preserve">WEB: </w:t>
      </w:r>
      <w:proofErr w:type="gramStart"/>
      <w:r>
        <w:rPr>
          <w:rFonts w:cs="Arial"/>
          <w:b/>
        </w:rPr>
        <w:t>you]  just</w:t>
      </w:r>
      <w:proofErr w:type="gramEnd"/>
      <w:r>
        <w:rPr>
          <w:rFonts w:cs="Arial"/>
          <w:b/>
        </w:rPr>
        <w:t xml:space="preserve"> confirm that there are </w:t>
      </w:r>
      <w:r>
        <w:rPr>
          <w:rFonts w:cs="Arial"/>
          <w:bCs/>
        </w:rPr>
        <w:t>[IF CLOSED</w:t>
      </w:r>
      <w:r>
        <w:rPr>
          <w:rFonts w:cs="Arial"/>
          <w:b/>
          <w:bCs/>
        </w:rPr>
        <w:t xml:space="preserve"> (S9=5): were</w:t>
      </w:r>
      <w:r>
        <w:rPr>
          <w:rFonts w:cs="Arial"/>
        </w:rPr>
        <w:t>]</w:t>
      </w:r>
      <w:r>
        <w:rPr>
          <w:rFonts w:cs="Arial"/>
          <w:b/>
          <w:bCs/>
        </w:rPr>
        <w:t xml:space="preserve"> </w:t>
      </w:r>
      <w:r>
        <w:rPr>
          <w:rFonts w:cs="Arial"/>
          <w:b/>
        </w:rPr>
        <w:t xml:space="preserve">no other owners involved in running the business except yourself? </w:t>
      </w:r>
      <w:r>
        <w:rPr>
          <w:rFonts w:cs="Arial"/>
          <w:color w:val="F06603" w:themeColor="accent6"/>
        </w:rPr>
        <w:t xml:space="preserve">IF THERE ARE OTHER OWNERS THEN PLEASE RE-CODE AS A PARTNERSHIP (CODE </w:t>
      </w:r>
      <w:proofErr w:type="gramStart"/>
      <w:r>
        <w:rPr>
          <w:rFonts w:cs="Arial"/>
          <w:color w:val="F06603" w:themeColor="accent6"/>
        </w:rPr>
        <w:t>4 )</w:t>
      </w:r>
      <w:proofErr w:type="gramEnd"/>
      <w:r>
        <w:rPr>
          <w:rFonts w:cs="Arial"/>
          <w:color w:val="F06603" w:themeColor="accent6"/>
        </w:rPr>
        <w:t>. IF SOLE PROPRIETORSHIP/TRADER (CODE 1) AS WELL AS SAID THEY HAD TWO OR MORE EMPLOYEES AT S15/16_AA (CODE 2-12) THEN PLEASE CHECK WITH THE RESPONDENT THAT BOTH ANSWERS ARE CORRECT AND RE-CODE AS NECESSARY</w:t>
      </w:r>
      <w:r>
        <w:rPr>
          <w:rFonts w:cs="Arial"/>
          <w:b/>
          <w:color w:val="F06603" w:themeColor="accent6"/>
          <w:u w:val="single"/>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05"/>
        <w:gridCol w:w="939"/>
      </w:tblGrid>
      <w:tr w:rsidR="00B2786E" w14:paraId="5F336068"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4C85D02B" w14:textId="77777777" w:rsidR="00B2786E" w:rsidRDefault="00B2786E">
            <w:pPr>
              <w:spacing w:before="60"/>
              <w:rPr>
                <w:rFonts w:cs="Arial"/>
              </w:rPr>
            </w:pPr>
            <w:r>
              <w:rPr>
                <w:rFonts w:cs="Arial"/>
              </w:rPr>
              <w:t>Sole Proprietorship/sole trader</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448FE43A" w14:textId="77777777" w:rsidR="00B2786E" w:rsidRDefault="00B2786E">
            <w:pPr>
              <w:jc w:val="center"/>
              <w:rPr>
                <w:rFonts w:cs="Arial"/>
              </w:rPr>
            </w:pPr>
            <w:r>
              <w:rPr>
                <w:rFonts w:cs="Arial"/>
              </w:rPr>
              <w:t>1</w:t>
            </w:r>
          </w:p>
        </w:tc>
      </w:tr>
      <w:tr w:rsidR="00B2786E" w14:paraId="3C556235"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51065FBB" w14:textId="77777777" w:rsidR="00B2786E" w:rsidRDefault="00B2786E">
            <w:pPr>
              <w:spacing w:before="60"/>
              <w:rPr>
                <w:rFonts w:cs="Arial"/>
              </w:rPr>
            </w:pPr>
            <w:r>
              <w:rPr>
                <w:rFonts w:cs="Arial"/>
              </w:rPr>
              <w:t>Private limited company, limited by shares (LTD.)</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7C935CA0" w14:textId="77777777" w:rsidR="00B2786E" w:rsidRDefault="00B2786E">
            <w:pPr>
              <w:jc w:val="center"/>
              <w:rPr>
                <w:rFonts w:cs="Arial"/>
              </w:rPr>
            </w:pPr>
            <w:r>
              <w:rPr>
                <w:rFonts w:cs="Arial"/>
              </w:rPr>
              <w:t>2</w:t>
            </w:r>
          </w:p>
        </w:tc>
      </w:tr>
      <w:tr w:rsidR="00B2786E" w14:paraId="4DA0A017"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32A55D4D" w14:textId="77777777" w:rsidR="00B2786E" w:rsidRDefault="00B2786E">
            <w:pPr>
              <w:spacing w:before="60"/>
              <w:rPr>
                <w:rFonts w:cs="Arial"/>
              </w:rPr>
            </w:pPr>
            <w:r>
              <w:rPr>
                <w:rFonts w:cs="Arial"/>
              </w:rPr>
              <w:t>Public Ltd Company (PLC)</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0CF928D8" w14:textId="77777777" w:rsidR="00B2786E" w:rsidRDefault="00B2786E">
            <w:pPr>
              <w:jc w:val="center"/>
              <w:rPr>
                <w:rFonts w:cs="Arial"/>
              </w:rPr>
            </w:pPr>
            <w:r>
              <w:rPr>
                <w:rFonts w:cs="Arial"/>
              </w:rPr>
              <w:t>3</w:t>
            </w:r>
          </w:p>
        </w:tc>
      </w:tr>
      <w:tr w:rsidR="00B2786E" w14:paraId="1B7CFDF5"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262A5FFC" w14:textId="77777777" w:rsidR="00B2786E" w:rsidRDefault="00B2786E">
            <w:pPr>
              <w:spacing w:before="60"/>
              <w:rPr>
                <w:rFonts w:cs="Arial"/>
              </w:rPr>
            </w:pPr>
            <w:r>
              <w:rPr>
                <w:rFonts w:cs="Arial"/>
              </w:rPr>
              <w:t>Partnership</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42B100EB" w14:textId="77777777" w:rsidR="00B2786E" w:rsidRDefault="00B2786E">
            <w:pPr>
              <w:jc w:val="center"/>
              <w:rPr>
                <w:rFonts w:cs="Arial"/>
              </w:rPr>
            </w:pPr>
            <w:r>
              <w:rPr>
                <w:rFonts w:cs="Arial"/>
              </w:rPr>
              <w:t>4</w:t>
            </w:r>
          </w:p>
        </w:tc>
      </w:tr>
      <w:tr w:rsidR="00B2786E" w14:paraId="7CF63D8A"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25275787" w14:textId="77777777" w:rsidR="00B2786E" w:rsidRDefault="00B2786E">
            <w:pPr>
              <w:spacing w:before="60"/>
              <w:rPr>
                <w:rFonts w:cs="Arial"/>
              </w:rPr>
            </w:pPr>
            <w:r>
              <w:rPr>
                <w:rFonts w:cs="Arial"/>
              </w:rPr>
              <w:t>Limited liability partnership</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7155A05F" w14:textId="77777777" w:rsidR="00B2786E" w:rsidRDefault="00B2786E">
            <w:pPr>
              <w:jc w:val="center"/>
              <w:rPr>
                <w:rFonts w:cs="Arial"/>
              </w:rPr>
            </w:pPr>
            <w:r>
              <w:rPr>
                <w:rFonts w:cs="Arial"/>
              </w:rPr>
              <w:t>5</w:t>
            </w:r>
          </w:p>
        </w:tc>
      </w:tr>
      <w:tr w:rsidR="00B2786E" w14:paraId="5087F896"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0DA3E008" w14:textId="77777777" w:rsidR="00B2786E" w:rsidRDefault="00B2786E">
            <w:pPr>
              <w:spacing w:before="60"/>
              <w:rPr>
                <w:rFonts w:cs="Arial"/>
              </w:rPr>
            </w:pPr>
            <w:r>
              <w:rPr>
                <w:rFonts w:cs="Arial"/>
              </w:rPr>
              <w:t>Private company limited by guarantee</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62D640FC" w14:textId="77777777" w:rsidR="00B2786E" w:rsidRDefault="00B2786E">
            <w:pPr>
              <w:jc w:val="center"/>
              <w:rPr>
                <w:rFonts w:cs="Arial"/>
              </w:rPr>
            </w:pPr>
            <w:r>
              <w:rPr>
                <w:rFonts w:cs="Arial"/>
              </w:rPr>
              <w:t>6</w:t>
            </w:r>
          </w:p>
        </w:tc>
      </w:tr>
      <w:tr w:rsidR="00B2786E" w14:paraId="5798A023"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0B5861B2" w14:textId="77777777" w:rsidR="00B2786E" w:rsidRDefault="00B2786E">
            <w:pPr>
              <w:spacing w:before="60"/>
              <w:rPr>
                <w:rFonts w:cs="Arial"/>
              </w:rPr>
            </w:pPr>
            <w:r>
              <w:rPr>
                <w:rFonts w:cs="Arial"/>
              </w:rPr>
              <w:t>Friendly Society or a co-operative</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58A89CEA" w14:textId="77777777" w:rsidR="00B2786E" w:rsidRDefault="00B2786E">
            <w:pPr>
              <w:jc w:val="center"/>
              <w:rPr>
                <w:rFonts w:cs="Arial"/>
              </w:rPr>
            </w:pPr>
            <w:r>
              <w:rPr>
                <w:rFonts w:cs="Arial"/>
              </w:rPr>
              <w:t>8</w:t>
            </w:r>
          </w:p>
        </w:tc>
      </w:tr>
      <w:tr w:rsidR="00B2786E" w14:paraId="5BD38EFB"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15444478" w14:textId="77777777" w:rsidR="00B2786E" w:rsidRDefault="00B2786E">
            <w:pPr>
              <w:spacing w:before="60"/>
              <w:rPr>
                <w:rFonts w:cs="Arial"/>
              </w:rPr>
            </w:pPr>
            <w:r>
              <w:rPr>
                <w:rFonts w:cs="Arial"/>
              </w:rPr>
              <w:t>Other (PLEASE TYPE IN)</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77037CB1" w14:textId="77777777" w:rsidR="00B2786E" w:rsidRDefault="00B2786E">
            <w:pPr>
              <w:jc w:val="center"/>
              <w:rPr>
                <w:rFonts w:cs="Arial"/>
              </w:rPr>
            </w:pPr>
            <w:r>
              <w:rPr>
                <w:rFonts w:cs="Arial"/>
              </w:rPr>
              <w:t>11</w:t>
            </w:r>
          </w:p>
        </w:tc>
      </w:tr>
      <w:tr w:rsidR="00B2786E" w14:paraId="1D142698"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5E21169D" w14:textId="77777777" w:rsidR="00B2786E" w:rsidRDefault="00B2786E">
            <w:pPr>
              <w:spacing w:before="60"/>
              <w:rPr>
                <w:rFonts w:cs="Arial"/>
              </w:rPr>
            </w:pPr>
            <w:r>
              <w:rPr>
                <w:rFonts w:cs="Arial"/>
              </w:rPr>
              <w:t>Don’t know</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366D604C" w14:textId="77777777" w:rsidR="00B2786E" w:rsidRDefault="00B2786E">
            <w:pPr>
              <w:jc w:val="center"/>
              <w:rPr>
                <w:rFonts w:cs="Arial"/>
              </w:rPr>
            </w:pPr>
            <w:r>
              <w:rPr>
                <w:rFonts w:cs="Arial"/>
              </w:rPr>
              <w:t>98</w:t>
            </w:r>
          </w:p>
        </w:tc>
      </w:tr>
      <w:tr w:rsidR="00B2786E" w14:paraId="5ABADF95" w14:textId="77777777">
        <w:tc>
          <w:tcPr>
            <w:tcW w:w="4537" w:type="pct"/>
            <w:tcBorders>
              <w:top w:val="single" w:sz="4" w:space="0" w:color="000000"/>
              <w:left w:val="single" w:sz="4" w:space="0" w:color="000000"/>
              <w:bottom w:val="single" w:sz="4" w:space="0" w:color="000000"/>
              <w:right w:val="single" w:sz="4" w:space="0" w:color="000000"/>
            </w:tcBorders>
            <w:vAlign w:val="center"/>
            <w:hideMark/>
          </w:tcPr>
          <w:p w14:paraId="291946AC" w14:textId="77777777" w:rsidR="00B2786E" w:rsidRDefault="00B2786E">
            <w:pPr>
              <w:spacing w:before="60"/>
              <w:rPr>
                <w:rFonts w:cs="Arial"/>
              </w:rPr>
            </w:pPr>
            <w:r>
              <w:rPr>
                <w:rFonts w:cs="Arial"/>
              </w:rPr>
              <w:t>Refused</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49B909D4" w14:textId="77777777" w:rsidR="00B2786E" w:rsidRDefault="00B2786E">
            <w:pPr>
              <w:jc w:val="center"/>
              <w:rPr>
                <w:rFonts w:cs="Arial"/>
              </w:rPr>
            </w:pPr>
            <w:r>
              <w:rPr>
                <w:rFonts w:cs="Arial"/>
              </w:rPr>
              <w:t>99</w:t>
            </w:r>
          </w:p>
        </w:tc>
      </w:tr>
    </w:tbl>
    <w:p w14:paraId="4E20419A" w14:textId="77777777" w:rsidR="00B2786E" w:rsidRDefault="00B2786E" w:rsidP="00B2786E">
      <w:pPr>
        <w:rPr>
          <w:rFonts w:cs="Arial"/>
          <w:b/>
          <w:bCs/>
          <w:color w:val="FF0000"/>
          <w:sz w:val="22"/>
        </w:rPr>
      </w:pPr>
    </w:p>
    <w:p w14:paraId="46818F0E" w14:textId="77777777" w:rsidR="00B2786E" w:rsidRPr="006F30CC" w:rsidRDefault="00B2786E" w:rsidP="00B2786E">
      <w:pPr>
        <w:rPr>
          <w:rFonts w:eastAsia="SimSun" w:cs="Arial"/>
        </w:rPr>
      </w:pPr>
      <w:r>
        <w:rPr>
          <w:rFonts w:cs="Arial"/>
          <w:b/>
          <w:u w:val="single"/>
        </w:rPr>
        <w:t>ASK IS FRESH SAMPLE</w:t>
      </w:r>
      <w:r>
        <w:rPr>
          <w:rFonts w:eastAsia="SimSun" w:cs="Arial"/>
          <w:b/>
          <w:bCs/>
        </w:rPr>
        <w:t xml:space="preserve">S18 We have </w:t>
      </w:r>
      <w:r>
        <w:rPr>
          <w:rFonts w:eastAsia="SimSun" w:cs="Arial"/>
          <w:bCs/>
          <w:color w:val="FF0000"/>
        </w:rPr>
        <w:t>[DESCRIPTION OF BUSINESS ACTIVITY FROM SAMPLE]</w:t>
      </w:r>
      <w:r>
        <w:rPr>
          <w:rFonts w:eastAsia="SimSun" w:cs="Arial"/>
          <w:b/>
          <w:bCs/>
          <w:color w:val="FF0000"/>
        </w:rPr>
        <w:t xml:space="preserve"> </w:t>
      </w:r>
      <w:r>
        <w:rPr>
          <w:rFonts w:eastAsia="SimSun" w:cs="Arial"/>
          <w:b/>
          <w:bCs/>
        </w:rPr>
        <w:t>as a broad description of your company’s activity. Does this sound about right to you?</w:t>
      </w:r>
      <w:r>
        <w:rPr>
          <w:rFonts w:eastAsia="SimSun" w:cs="Arial"/>
        </w:rPr>
        <w:t xml:space="preserve"> </w:t>
      </w:r>
      <w:r>
        <w:rPr>
          <w:rFonts w:eastAsia="SimSun" w:cs="Arial"/>
          <w:color w:val="FF0000"/>
        </w:rPr>
        <w:t>SINGLE CODE ONLY</w:t>
      </w:r>
    </w:p>
    <w:p w14:paraId="7359EB51" w14:textId="77777777" w:rsidR="00B2786E" w:rsidRPr="006F30CC" w:rsidRDefault="00B2786E" w:rsidP="00B2786E">
      <w:pPr>
        <w:rPr>
          <w:rFonts w:eastAsia="SimSun" w:cs="Arial"/>
          <w:color w:val="F06603" w:themeColor="accent6"/>
        </w:rPr>
      </w:pPr>
      <w:r>
        <w:rPr>
          <w:rFonts w:eastAsia="SimSun" w:cs="Arial"/>
          <w:color w:val="F06603" w:themeColor="accent6"/>
        </w:rPr>
        <w:t>INTERVIEWER NOTE: SEE SECTOR CRIB SHEET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gridCol w:w="899"/>
      </w:tblGrid>
      <w:tr w:rsidR="00B2786E" w14:paraId="5E632F91" w14:textId="77777777">
        <w:tc>
          <w:tcPr>
            <w:tcW w:w="4557" w:type="pct"/>
            <w:tcBorders>
              <w:top w:val="single" w:sz="4" w:space="0" w:color="000000"/>
              <w:left w:val="single" w:sz="4" w:space="0" w:color="000000"/>
              <w:bottom w:val="single" w:sz="4" w:space="0" w:color="000000"/>
              <w:right w:val="single" w:sz="4" w:space="0" w:color="000000"/>
            </w:tcBorders>
            <w:hideMark/>
          </w:tcPr>
          <w:p w14:paraId="5BA57D75" w14:textId="77777777" w:rsidR="00B2786E" w:rsidRDefault="00B2786E">
            <w:pPr>
              <w:spacing w:before="60"/>
              <w:rPr>
                <w:rFonts w:eastAsia="SimSun" w:cs="Arial"/>
                <w:color w:val="1D1D1B" w:themeColor="text1"/>
              </w:rPr>
            </w:pPr>
            <w:r>
              <w:rPr>
                <w:rFonts w:eastAsia="SimSun" w:cs="Arial"/>
                <w:color w:val="1D1D1B" w:themeColor="text1"/>
              </w:rPr>
              <w:t>Yes</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76CAD53B" w14:textId="77777777" w:rsidR="00B2786E" w:rsidRDefault="00B2786E">
            <w:pPr>
              <w:spacing w:before="60"/>
              <w:jc w:val="center"/>
              <w:rPr>
                <w:rFonts w:eastAsia="SimSun" w:cs="Arial"/>
                <w:color w:val="1D1D1B" w:themeColor="text1"/>
              </w:rPr>
            </w:pPr>
            <w:r>
              <w:rPr>
                <w:rFonts w:eastAsia="SimSun" w:cs="Arial"/>
                <w:color w:val="1D1D1B" w:themeColor="text1"/>
              </w:rPr>
              <w:t>1</w:t>
            </w:r>
          </w:p>
        </w:tc>
      </w:tr>
      <w:tr w:rsidR="00B2786E" w14:paraId="52309A08" w14:textId="77777777">
        <w:tc>
          <w:tcPr>
            <w:tcW w:w="4557" w:type="pct"/>
            <w:tcBorders>
              <w:top w:val="single" w:sz="4" w:space="0" w:color="000000"/>
              <w:left w:val="single" w:sz="4" w:space="0" w:color="000000"/>
              <w:bottom w:val="single" w:sz="4" w:space="0" w:color="000000"/>
              <w:right w:val="single" w:sz="4" w:space="0" w:color="000000"/>
            </w:tcBorders>
            <w:hideMark/>
          </w:tcPr>
          <w:p w14:paraId="1E24C6B0" w14:textId="77777777" w:rsidR="00B2786E" w:rsidRDefault="00B2786E">
            <w:pPr>
              <w:spacing w:before="60"/>
              <w:rPr>
                <w:rFonts w:eastAsia="SimSun" w:cs="Arial"/>
                <w:color w:val="1D1D1B" w:themeColor="text1"/>
              </w:rPr>
            </w:pPr>
            <w:r>
              <w:rPr>
                <w:rFonts w:eastAsia="SimSun" w:cs="Arial"/>
                <w:color w:val="1D1D1B" w:themeColor="text1"/>
              </w:rPr>
              <w:lastRenderedPageBreak/>
              <w:t>No</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03E70ED4" w14:textId="77777777" w:rsidR="00B2786E" w:rsidRDefault="00B2786E">
            <w:pPr>
              <w:spacing w:before="60"/>
              <w:jc w:val="center"/>
              <w:rPr>
                <w:rFonts w:eastAsia="SimSun" w:cs="Arial"/>
                <w:color w:val="1D1D1B" w:themeColor="text1"/>
              </w:rPr>
            </w:pPr>
            <w:r>
              <w:rPr>
                <w:rFonts w:eastAsia="SimSun" w:cs="Arial"/>
                <w:color w:val="1D1D1B" w:themeColor="text1"/>
              </w:rPr>
              <w:t>2</w:t>
            </w:r>
          </w:p>
        </w:tc>
      </w:tr>
      <w:tr w:rsidR="00B2786E" w14:paraId="3634B34A" w14:textId="77777777">
        <w:tc>
          <w:tcPr>
            <w:tcW w:w="4557" w:type="pct"/>
            <w:tcBorders>
              <w:top w:val="single" w:sz="4" w:space="0" w:color="000000"/>
              <w:left w:val="single" w:sz="4" w:space="0" w:color="000000"/>
              <w:bottom w:val="single" w:sz="4" w:space="0" w:color="000000"/>
              <w:right w:val="single" w:sz="4" w:space="0" w:color="000000"/>
            </w:tcBorders>
            <w:hideMark/>
          </w:tcPr>
          <w:p w14:paraId="2D91F588" w14:textId="77777777" w:rsidR="00B2786E" w:rsidRDefault="00B2786E">
            <w:pPr>
              <w:spacing w:before="60"/>
              <w:rPr>
                <w:rFonts w:eastAsia="SimSun" w:cs="Arial"/>
                <w:color w:val="1D1D1B" w:themeColor="text1"/>
              </w:rPr>
            </w:pPr>
            <w:r>
              <w:rPr>
                <w:rFonts w:eastAsia="SimSun" w:cs="Arial"/>
                <w:color w:val="1D1D1B" w:themeColor="text1"/>
              </w:rPr>
              <w:t>Don’t know</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538526F7" w14:textId="77777777" w:rsidR="00B2786E" w:rsidRDefault="00B2786E">
            <w:pPr>
              <w:spacing w:before="60"/>
              <w:jc w:val="center"/>
              <w:rPr>
                <w:rFonts w:eastAsia="SimSun" w:cs="Arial"/>
                <w:color w:val="1D1D1B" w:themeColor="text1"/>
              </w:rPr>
            </w:pPr>
            <w:r>
              <w:rPr>
                <w:rFonts w:eastAsia="SimSun" w:cs="Arial"/>
                <w:color w:val="1D1D1B" w:themeColor="text1"/>
              </w:rPr>
              <w:t>98</w:t>
            </w:r>
          </w:p>
        </w:tc>
      </w:tr>
      <w:tr w:rsidR="00B2786E" w14:paraId="2048EA57" w14:textId="77777777">
        <w:tc>
          <w:tcPr>
            <w:tcW w:w="4557" w:type="pct"/>
            <w:tcBorders>
              <w:top w:val="single" w:sz="4" w:space="0" w:color="000000"/>
              <w:left w:val="single" w:sz="4" w:space="0" w:color="000000"/>
              <w:bottom w:val="single" w:sz="4" w:space="0" w:color="000000"/>
              <w:right w:val="single" w:sz="4" w:space="0" w:color="000000"/>
            </w:tcBorders>
            <w:hideMark/>
          </w:tcPr>
          <w:p w14:paraId="1ECEE465" w14:textId="77777777" w:rsidR="00B2786E" w:rsidRDefault="00B2786E">
            <w:pPr>
              <w:spacing w:before="60"/>
              <w:rPr>
                <w:rFonts w:eastAsia="SimSun" w:cs="Arial"/>
                <w:color w:val="1D1D1B" w:themeColor="text1"/>
              </w:rPr>
            </w:pPr>
            <w:r>
              <w:rPr>
                <w:rFonts w:eastAsia="SimSun" w:cs="Arial"/>
                <w:color w:val="1D1D1B" w:themeColor="text1"/>
              </w:rPr>
              <w:t>Refused</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021CA740" w14:textId="77777777" w:rsidR="00B2786E" w:rsidRDefault="00B2786E">
            <w:pPr>
              <w:spacing w:before="60"/>
              <w:jc w:val="center"/>
              <w:rPr>
                <w:rFonts w:eastAsia="SimSun" w:cs="Arial"/>
                <w:color w:val="1D1D1B" w:themeColor="text1"/>
              </w:rPr>
            </w:pPr>
            <w:r>
              <w:rPr>
                <w:rFonts w:eastAsia="SimSun" w:cs="Arial"/>
                <w:color w:val="1D1D1B" w:themeColor="text1"/>
              </w:rPr>
              <w:t>99</w:t>
            </w:r>
          </w:p>
        </w:tc>
      </w:tr>
    </w:tbl>
    <w:p w14:paraId="2852C5E7" w14:textId="77777777" w:rsidR="00B2786E" w:rsidRDefault="00B2786E" w:rsidP="00B2786E">
      <w:pPr>
        <w:ind w:left="284" w:hanging="284"/>
        <w:rPr>
          <w:rFonts w:eastAsia="SimSun" w:cs="Arial"/>
          <w:b/>
          <w:color w:val="1D1D1B" w:themeColor="text1"/>
          <w:sz w:val="22"/>
        </w:rPr>
      </w:pPr>
    </w:p>
    <w:p w14:paraId="0A7F058A" w14:textId="77777777" w:rsidR="00B2786E" w:rsidRDefault="00B2786E" w:rsidP="00B2786E">
      <w:pPr>
        <w:rPr>
          <w:rFonts w:eastAsia="SimSun" w:cs="Arial"/>
          <w:color w:val="FF0000"/>
        </w:rPr>
      </w:pPr>
      <w:r>
        <w:rPr>
          <w:rFonts w:eastAsia="SimSun" w:cs="Arial"/>
          <w:color w:val="FF0000"/>
        </w:rPr>
        <w:t>ASK IF NOT CORRECT OR DON’T KNOW (CODE 2) AT S18</w:t>
      </w:r>
    </w:p>
    <w:p w14:paraId="460431B6" w14:textId="77777777" w:rsidR="00B2786E" w:rsidRPr="006F30CC" w:rsidRDefault="00B2786E" w:rsidP="00B2786E">
      <w:pPr>
        <w:rPr>
          <w:rFonts w:eastAsia="SimSun" w:cs="Arial"/>
          <w:bCs/>
          <w:color w:val="1D1D1B" w:themeColor="text1"/>
        </w:rPr>
      </w:pPr>
      <w:r>
        <w:rPr>
          <w:rFonts w:eastAsia="SimSun" w:cs="Arial"/>
          <w:b/>
          <w:bCs/>
        </w:rPr>
        <w:t xml:space="preserve">S19 </w:t>
      </w:r>
      <w:r>
        <w:rPr>
          <w:rFonts w:eastAsia="SimSun" w:cs="Arial"/>
          <w:b/>
          <w:color w:val="1D1D1B" w:themeColor="text1"/>
        </w:rPr>
        <w:t>What is your main business activity</w:t>
      </w:r>
      <w:r>
        <w:rPr>
          <w:rFonts w:eastAsia="SimSun" w:cs="Arial"/>
          <w:color w:val="1D1D1B" w:themeColor="text1"/>
        </w:rPr>
        <w:t xml:space="preserve">? </w:t>
      </w:r>
      <w:r>
        <w:rPr>
          <w:rFonts w:cs="Arial"/>
          <w:b/>
          <w:bCs/>
          <w:color w:val="FF0000"/>
        </w:rPr>
        <w:t xml:space="preserve">IF CLOSED (S9=5): </w:t>
      </w:r>
      <w:r>
        <w:rPr>
          <w:rFonts w:cs="Arial"/>
          <w:b/>
          <w:bCs/>
        </w:rPr>
        <w:t xml:space="preserve">What was your main business activity? </w:t>
      </w:r>
      <w:r>
        <w:rPr>
          <w:rFonts w:eastAsia="SimSun" w:cs="Arial"/>
          <w:color w:val="1D1D1B" w:themeColor="text1"/>
        </w:rPr>
        <w:t xml:space="preserve"> </w:t>
      </w:r>
      <w:r>
        <w:rPr>
          <w:rFonts w:eastAsia="SimSun" w:cs="Arial"/>
          <w:bCs/>
          <w:color w:val="F06603" w:themeColor="accent6"/>
        </w:rPr>
        <w:t>PROBE AS NECESSARY</w:t>
      </w:r>
    </w:p>
    <w:p w14:paraId="29F3DDE6" w14:textId="77777777" w:rsidR="00B2786E" w:rsidRDefault="00B2786E" w:rsidP="00B2786E">
      <w:pPr>
        <w:pStyle w:val="ListParagraph"/>
        <w:keepLines/>
        <w:numPr>
          <w:ilvl w:val="0"/>
          <w:numId w:val="72"/>
        </w:numPr>
        <w:spacing w:after="0" w:line="240" w:lineRule="auto"/>
        <w:jc w:val="both"/>
        <w:rPr>
          <w:rFonts w:eastAsia="SimSun"/>
          <w:szCs w:val="20"/>
        </w:rPr>
      </w:pPr>
      <w:r>
        <w:rPr>
          <w:rFonts w:eastAsia="SimSun"/>
          <w:szCs w:val="20"/>
        </w:rPr>
        <w:t xml:space="preserve">What is </w:t>
      </w:r>
      <w:r>
        <w:rPr>
          <w:rFonts w:eastAsia="SimSun"/>
          <w:color w:val="FF0000"/>
          <w:szCs w:val="20"/>
        </w:rPr>
        <w:t>[</w:t>
      </w:r>
      <w:r>
        <w:rPr>
          <w:b/>
          <w:bCs/>
          <w:color w:val="FF0000"/>
        </w:rPr>
        <w:t xml:space="preserve">IF CLOSED S9=5): </w:t>
      </w:r>
      <w:r>
        <w:rPr>
          <w:rFonts w:eastAsia="SimSun"/>
          <w:szCs w:val="20"/>
        </w:rPr>
        <w:t>was] the main product or service of the business?</w:t>
      </w:r>
    </w:p>
    <w:p w14:paraId="0B947EAC" w14:textId="77777777" w:rsidR="00B2786E" w:rsidRDefault="00B2786E" w:rsidP="00B2786E">
      <w:pPr>
        <w:pStyle w:val="ListParagraph"/>
        <w:keepLines/>
        <w:numPr>
          <w:ilvl w:val="0"/>
          <w:numId w:val="72"/>
        </w:numPr>
        <w:spacing w:after="0" w:line="240" w:lineRule="auto"/>
        <w:jc w:val="both"/>
        <w:rPr>
          <w:rFonts w:eastAsia="SimSun"/>
          <w:szCs w:val="20"/>
        </w:rPr>
      </w:pPr>
      <w:r>
        <w:rPr>
          <w:rFonts w:eastAsia="SimSun"/>
          <w:szCs w:val="20"/>
        </w:rPr>
        <w:t xml:space="preserve">What exactly is </w:t>
      </w:r>
      <w:r>
        <w:rPr>
          <w:rFonts w:eastAsia="SimSun"/>
          <w:color w:val="FF0000"/>
          <w:szCs w:val="20"/>
        </w:rPr>
        <w:t>[</w:t>
      </w:r>
      <w:r>
        <w:rPr>
          <w:b/>
          <w:bCs/>
          <w:color w:val="FF0000"/>
        </w:rPr>
        <w:t xml:space="preserve">IF CLOSED S9=5): </w:t>
      </w:r>
      <w:r>
        <w:rPr>
          <w:rFonts w:eastAsia="SimSun"/>
          <w:szCs w:val="20"/>
        </w:rPr>
        <w:t>was] made or done in the business?</w:t>
      </w:r>
    </w:p>
    <w:p w14:paraId="5ACC5636" w14:textId="77777777" w:rsidR="00B2786E" w:rsidRDefault="00B2786E" w:rsidP="00B2786E">
      <w:pPr>
        <w:pStyle w:val="ListParagraph"/>
        <w:keepLines/>
        <w:numPr>
          <w:ilvl w:val="0"/>
          <w:numId w:val="72"/>
        </w:numPr>
        <w:spacing w:after="0" w:line="240" w:lineRule="auto"/>
        <w:jc w:val="both"/>
        <w:rPr>
          <w:rFonts w:eastAsia="SimSun"/>
          <w:szCs w:val="20"/>
        </w:rPr>
      </w:pPr>
      <w:r>
        <w:rPr>
          <w:rFonts w:eastAsia="SimSun"/>
          <w:szCs w:val="20"/>
        </w:rPr>
        <w:t>What material or machinery does [</w:t>
      </w:r>
      <w:r>
        <w:rPr>
          <w:b/>
          <w:bCs/>
          <w:color w:val="FF0000"/>
        </w:rPr>
        <w:t xml:space="preserve">IF CLOSED S9=5): </w:t>
      </w:r>
      <w:r>
        <w:rPr>
          <w:rFonts w:eastAsia="SimSun"/>
          <w:szCs w:val="20"/>
        </w:rPr>
        <w:t>did] this involve using?</w:t>
      </w:r>
    </w:p>
    <w:p w14:paraId="6C144BA0" w14:textId="77777777" w:rsidR="00B2786E" w:rsidRDefault="00B2786E" w:rsidP="00B2786E">
      <w:pPr>
        <w:ind w:left="284"/>
        <w:rPr>
          <w:rFonts w:eastAsia="SimSun" w:cs="Arial"/>
          <w:b/>
          <w:color w:val="1D1D1B" w:themeColor="text1"/>
        </w:rPr>
      </w:pPr>
    </w:p>
    <w:p w14:paraId="61A63C8C" w14:textId="77777777" w:rsidR="00B2786E" w:rsidRPr="006F30CC" w:rsidRDefault="00B2786E" w:rsidP="00B2786E">
      <w:pPr>
        <w:rPr>
          <w:rFonts w:eastAsia="SimSun" w:cs="Arial"/>
          <w:color w:val="F06603" w:themeColor="accent6"/>
        </w:rPr>
      </w:pPr>
      <w:r>
        <w:rPr>
          <w:rFonts w:eastAsia="SimSun" w:cs="Arial"/>
          <w:color w:val="F06603" w:themeColor="accent6"/>
        </w:rPr>
        <w:t xml:space="preserve">INTERVIEWER NOTE: SEE SECTOR CRIB SHEET. WRITE IN FULL DETAILS (2 DIGIT SIC CODING).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4"/>
      </w:tblGrid>
      <w:tr w:rsidR="00B2786E" w14:paraId="29301CDE" w14:textId="77777777">
        <w:tc>
          <w:tcPr>
            <w:tcW w:w="5000" w:type="pct"/>
            <w:tcBorders>
              <w:top w:val="single" w:sz="4" w:space="0" w:color="auto"/>
              <w:left w:val="single" w:sz="4" w:space="0" w:color="auto"/>
              <w:bottom w:val="single" w:sz="4" w:space="0" w:color="auto"/>
              <w:right w:val="single" w:sz="4" w:space="0" w:color="auto"/>
            </w:tcBorders>
          </w:tcPr>
          <w:p w14:paraId="416DB7C7" w14:textId="77777777" w:rsidR="00B2786E" w:rsidRDefault="00B2786E">
            <w:pPr>
              <w:spacing w:before="120"/>
              <w:outlineLvl w:val="0"/>
              <w:rPr>
                <w:rFonts w:eastAsia="SimSun" w:cs="Arial"/>
                <w:bCs/>
                <w:color w:val="1D1D1B" w:themeColor="text1"/>
              </w:rPr>
            </w:pPr>
          </w:p>
        </w:tc>
      </w:tr>
    </w:tbl>
    <w:p w14:paraId="35D046BE" w14:textId="77777777" w:rsidR="00B2786E" w:rsidRPr="006F30CC" w:rsidRDefault="00B2786E" w:rsidP="00B2786E">
      <w:pPr>
        <w:rPr>
          <w:rFonts w:cs="Arial"/>
          <w:sz w:val="22"/>
          <w:lang w:eastAsia="en-GB"/>
        </w:rPr>
      </w:pPr>
      <w:r>
        <w:rPr>
          <w:rFonts w:cs="Arial"/>
          <w:b/>
          <w:u w:val="single"/>
        </w:rPr>
        <w:t>ASK IF FRESH SAMPLE</w:t>
      </w:r>
      <w:r>
        <w:rPr>
          <w:rFonts w:cs="Arial"/>
          <w:b/>
          <w:bCs/>
          <w:lang w:eastAsia="en-GB"/>
        </w:rPr>
        <w:t>S</w:t>
      </w:r>
      <w:proofErr w:type="gramStart"/>
      <w:r>
        <w:rPr>
          <w:rFonts w:cs="Arial"/>
          <w:b/>
          <w:bCs/>
          <w:lang w:eastAsia="en-GB"/>
        </w:rPr>
        <w:t>20  How</w:t>
      </w:r>
      <w:proofErr w:type="gramEnd"/>
      <w:r>
        <w:rPr>
          <w:rFonts w:cs="Arial"/>
          <w:b/>
          <w:bCs/>
          <w:lang w:eastAsia="en-GB"/>
        </w:rPr>
        <w:t xml:space="preserve"> many years has your business been </w:t>
      </w:r>
      <w:r>
        <w:rPr>
          <w:rFonts w:eastAsia="SimSun" w:cs="Arial"/>
          <w:color w:val="FF0000"/>
        </w:rPr>
        <w:t>[</w:t>
      </w:r>
      <w:r>
        <w:rPr>
          <w:rFonts w:cs="Arial"/>
          <w:color w:val="FF0000"/>
        </w:rPr>
        <w:t>IF CLOSED S9=5):</w:t>
      </w:r>
      <w:r>
        <w:rPr>
          <w:rFonts w:cs="Arial"/>
          <w:b/>
          <w:bCs/>
          <w:color w:val="FF0000"/>
        </w:rPr>
        <w:t xml:space="preserve"> </w:t>
      </w:r>
      <w:r>
        <w:rPr>
          <w:rFonts w:eastAsia="SimSun" w:cs="Arial"/>
          <w:b/>
          <w:bCs/>
        </w:rPr>
        <w:t>was</w:t>
      </w:r>
      <w:r>
        <w:rPr>
          <w:rFonts w:eastAsia="SimSun" w:cs="Arial"/>
        </w:rPr>
        <w:t xml:space="preserve"> </w:t>
      </w:r>
      <w:r>
        <w:rPr>
          <w:rFonts w:cs="Arial"/>
          <w:b/>
          <w:bCs/>
          <w:lang w:eastAsia="en-GB"/>
        </w:rPr>
        <w:t xml:space="preserve"> your business] = trading? This includes all ownerships and all legal statuses.</w:t>
      </w:r>
      <w:r>
        <w:rPr>
          <w:rFonts w:cs="Arial"/>
          <w:lang w:eastAsia="en-GB"/>
        </w:rPr>
        <w:t xml:space="preserve"> </w:t>
      </w:r>
      <w:r>
        <w:rPr>
          <w:rFonts w:cs="Arial"/>
          <w:color w:val="FF0000"/>
          <w:lang w:eastAsia="en-GB"/>
        </w:rPr>
        <w:t>INTERVIEWER ADD IF NECESSARY/ SHOW AS INFO BUTTON FOR ONLINE SURVEY</w:t>
      </w:r>
      <w:r>
        <w:rPr>
          <w:rFonts w:cs="Arial"/>
          <w:b/>
          <w:lang w:eastAsia="en-GB"/>
        </w:rPr>
        <w:t xml:space="preserve"> In the case of a past acquisition, refer to when the acquiring enterprise was registered. In the case of a merger, please consider the largest enterprise in terms of employment. </w:t>
      </w:r>
      <w:r>
        <w:rPr>
          <w:rFonts w:cs="Arial"/>
          <w:color w:val="FF0000"/>
          <w:lang w:eastAsia="en-GB"/>
        </w:rPr>
        <w:t>SINGLE CODE ONLY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9085"/>
        <w:gridCol w:w="1059"/>
      </w:tblGrid>
      <w:tr w:rsidR="00B2786E" w14:paraId="398FADE7"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1236B58D" w14:textId="77777777" w:rsidR="00B2786E" w:rsidRDefault="00B2786E">
            <w:pPr>
              <w:spacing w:before="60"/>
              <w:rPr>
                <w:rFonts w:cs="Arial"/>
                <w:color w:val="1D1D1B" w:themeColor="text1"/>
              </w:rPr>
            </w:pPr>
            <w:r>
              <w:rPr>
                <w:rFonts w:cs="Arial"/>
                <w:color w:val="1D1D1B" w:themeColor="text1"/>
              </w:rPr>
              <w:t>Less than one year</w:t>
            </w:r>
          </w:p>
        </w:tc>
        <w:tc>
          <w:tcPr>
            <w:tcW w:w="522" w:type="pct"/>
            <w:tcBorders>
              <w:top w:val="single" w:sz="4" w:space="0" w:color="auto"/>
              <w:left w:val="single" w:sz="4" w:space="0" w:color="auto"/>
              <w:bottom w:val="single" w:sz="4" w:space="0" w:color="auto"/>
              <w:right w:val="single" w:sz="4" w:space="0" w:color="auto"/>
            </w:tcBorders>
            <w:vAlign w:val="center"/>
            <w:hideMark/>
          </w:tcPr>
          <w:p w14:paraId="57DFA37C" w14:textId="77777777" w:rsidR="00B2786E" w:rsidRDefault="00B2786E">
            <w:pPr>
              <w:spacing w:before="60"/>
              <w:jc w:val="center"/>
              <w:rPr>
                <w:rFonts w:cs="Arial"/>
                <w:color w:val="1D1D1B" w:themeColor="text1"/>
              </w:rPr>
            </w:pPr>
            <w:r>
              <w:rPr>
                <w:rFonts w:cs="Arial"/>
                <w:color w:val="1D1D1B" w:themeColor="text1"/>
              </w:rPr>
              <w:t>1</w:t>
            </w:r>
          </w:p>
        </w:tc>
      </w:tr>
      <w:tr w:rsidR="00B2786E" w14:paraId="6E9356BA"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580F594C" w14:textId="77777777" w:rsidR="00B2786E" w:rsidRDefault="00B2786E">
            <w:pPr>
              <w:spacing w:before="60"/>
              <w:rPr>
                <w:rFonts w:cs="Arial"/>
                <w:color w:val="1D1D1B" w:themeColor="text1"/>
              </w:rPr>
            </w:pPr>
            <w:r>
              <w:rPr>
                <w:rFonts w:cs="Arial"/>
                <w:color w:val="1D1D1B" w:themeColor="text1"/>
              </w:rPr>
              <w:t>1 year</w:t>
            </w:r>
          </w:p>
        </w:tc>
        <w:tc>
          <w:tcPr>
            <w:tcW w:w="522" w:type="pct"/>
            <w:tcBorders>
              <w:top w:val="single" w:sz="4" w:space="0" w:color="auto"/>
              <w:left w:val="single" w:sz="4" w:space="0" w:color="auto"/>
              <w:bottom w:val="single" w:sz="4" w:space="0" w:color="auto"/>
              <w:right w:val="single" w:sz="4" w:space="0" w:color="auto"/>
            </w:tcBorders>
            <w:vAlign w:val="center"/>
            <w:hideMark/>
          </w:tcPr>
          <w:p w14:paraId="5FE1A567" w14:textId="77777777" w:rsidR="00B2786E" w:rsidRDefault="00B2786E">
            <w:pPr>
              <w:spacing w:before="60"/>
              <w:jc w:val="center"/>
              <w:rPr>
                <w:rFonts w:cs="Arial"/>
                <w:color w:val="1D1D1B" w:themeColor="text1"/>
              </w:rPr>
            </w:pPr>
            <w:r>
              <w:rPr>
                <w:rFonts w:cs="Arial"/>
                <w:color w:val="1D1D1B" w:themeColor="text1"/>
              </w:rPr>
              <w:t>2</w:t>
            </w:r>
          </w:p>
        </w:tc>
      </w:tr>
      <w:tr w:rsidR="00B2786E" w14:paraId="0643BBB0"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25731682" w14:textId="77777777" w:rsidR="00B2786E" w:rsidRDefault="00B2786E">
            <w:pPr>
              <w:spacing w:before="60"/>
              <w:rPr>
                <w:rFonts w:cs="Arial"/>
                <w:color w:val="1D1D1B" w:themeColor="text1"/>
              </w:rPr>
            </w:pPr>
            <w:r>
              <w:rPr>
                <w:rFonts w:cs="Arial"/>
                <w:color w:val="1D1D1B" w:themeColor="text1"/>
              </w:rPr>
              <w:t>2 years</w:t>
            </w:r>
          </w:p>
        </w:tc>
        <w:tc>
          <w:tcPr>
            <w:tcW w:w="522" w:type="pct"/>
            <w:tcBorders>
              <w:top w:val="single" w:sz="4" w:space="0" w:color="auto"/>
              <w:left w:val="single" w:sz="4" w:space="0" w:color="auto"/>
              <w:bottom w:val="single" w:sz="4" w:space="0" w:color="auto"/>
              <w:right w:val="single" w:sz="4" w:space="0" w:color="auto"/>
            </w:tcBorders>
            <w:vAlign w:val="center"/>
            <w:hideMark/>
          </w:tcPr>
          <w:p w14:paraId="4B33334C" w14:textId="77777777" w:rsidR="00B2786E" w:rsidRDefault="00B2786E">
            <w:pPr>
              <w:spacing w:before="60"/>
              <w:jc w:val="center"/>
              <w:rPr>
                <w:rFonts w:cs="Arial"/>
                <w:color w:val="1D1D1B" w:themeColor="text1"/>
              </w:rPr>
            </w:pPr>
            <w:r>
              <w:rPr>
                <w:rFonts w:cs="Arial"/>
                <w:color w:val="1D1D1B" w:themeColor="text1"/>
              </w:rPr>
              <w:t>3</w:t>
            </w:r>
          </w:p>
        </w:tc>
      </w:tr>
      <w:tr w:rsidR="00B2786E" w14:paraId="33E24220"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6F83F094" w14:textId="77777777" w:rsidR="00B2786E" w:rsidRDefault="00B2786E">
            <w:pPr>
              <w:spacing w:before="60"/>
              <w:rPr>
                <w:rFonts w:cs="Arial"/>
                <w:color w:val="1D1D1B" w:themeColor="text1"/>
              </w:rPr>
            </w:pPr>
            <w:r>
              <w:rPr>
                <w:rFonts w:cs="Arial"/>
                <w:color w:val="1D1D1B" w:themeColor="text1"/>
              </w:rPr>
              <w:t>3 years</w:t>
            </w:r>
          </w:p>
        </w:tc>
        <w:tc>
          <w:tcPr>
            <w:tcW w:w="522" w:type="pct"/>
            <w:tcBorders>
              <w:top w:val="single" w:sz="4" w:space="0" w:color="auto"/>
              <w:left w:val="single" w:sz="4" w:space="0" w:color="auto"/>
              <w:bottom w:val="single" w:sz="4" w:space="0" w:color="auto"/>
              <w:right w:val="single" w:sz="4" w:space="0" w:color="auto"/>
            </w:tcBorders>
            <w:vAlign w:val="center"/>
            <w:hideMark/>
          </w:tcPr>
          <w:p w14:paraId="33B14CF6" w14:textId="77777777" w:rsidR="00B2786E" w:rsidRDefault="00B2786E">
            <w:pPr>
              <w:spacing w:before="60"/>
              <w:jc w:val="center"/>
              <w:rPr>
                <w:rFonts w:cs="Arial"/>
                <w:color w:val="1D1D1B" w:themeColor="text1"/>
              </w:rPr>
            </w:pPr>
            <w:r>
              <w:rPr>
                <w:rFonts w:cs="Arial"/>
                <w:color w:val="1D1D1B" w:themeColor="text1"/>
              </w:rPr>
              <w:t>4</w:t>
            </w:r>
          </w:p>
        </w:tc>
      </w:tr>
      <w:tr w:rsidR="00B2786E" w14:paraId="4B51D567"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0A0F876A" w14:textId="77777777" w:rsidR="00B2786E" w:rsidRDefault="00B2786E">
            <w:pPr>
              <w:spacing w:before="60"/>
              <w:rPr>
                <w:rFonts w:cs="Arial"/>
                <w:color w:val="1D1D1B" w:themeColor="text1"/>
              </w:rPr>
            </w:pPr>
            <w:r>
              <w:rPr>
                <w:rFonts w:cs="Arial"/>
                <w:color w:val="1D1D1B" w:themeColor="text1"/>
              </w:rPr>
              <w:lastRenderedPageBreak/>
              <w:t>4 years</w:t>
            </w:r>
          </w:p>
        </w:tc>
        <w:tc>
          <w:tcPr>
            <w:tcW w:w="522" w:type="pct"/>
            <w:tcBorders>
              <w:top w:val="single" w:sz="4" w:space="0" w:color="auto"/>
              <w:left w:val="single" w:sz="4" w:space="0" w:color="auto"/>
              <w:bottom w:val="single" w:sz="4" w:space="0" w:color="auto"/>
              <w:right w:val="single" w:sz="4" w:space="0" w:color="auto"/>
            </w:tcBorders>
            <w:vAlign w:val="center"/>
            <w:hideMark/>
          </w:tcPr>
          <w:p w14:paraId="10CAB36B" w14:textId="77777777" w:rsidR="00B2786E" w:rsidRDefault="00B2786E">
            <w:pPr>
              <w:spacing w:before="60"/>
              <w:jc w:val="center"/>
              <w:rPr>
                <w:rFonts w:cs="Arial"/>
                <w:color w:val="1D1D1B" w:themeColor="text1"/>
              </w:rPr>
            </w:pPr>
            <w:r>
              <w:rPr>
                <w:rFonts w:cs="Arial"/>
                <w:color w:val="1D1D1B" w:themeColor="text1"/>
              </w:rPr>
              <w:t>5</w:t>
            </w:r>
          </w:p>
        </w:tc>
      </w:tr>
      <w:tr w:rsidR="00B2786E" w14:paraId="78961534"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1D74BFD7" w14:textId="77777777" w:rsidR="00B2786E" w:rsidRDefault="00B2786E">
            <w:pPr>
              <w:spacing w:before="60"/>
              <w:rPr>
                <w:rFonts w:cs="Arial"/>
                <w:color w:val="1D1D1B" w:themeColor="text1"/>
              </w:rPr>
            </w:pPr>
            <w:r>
              <w:rPr>
                <w:rFonts w:cs="Arial"/>
                <w:color w:val="1D1D1B" w:themeColor="text1"/>
              </w:rPr>
              <w:t>5 years</w:t>
            </w:r>
          </w:p>
        </w:tc>
        <w:tc>
          <w:tcPr>
            <w:tcW w:w="522" w:type="pct"/>
            <w:tcBorders>
              <w:top w:val="single" w:sz="4" w:space="0" w:color="auto"/>
              <w:left w:val="single" w:sz="4" w:space="0" w:color="auto"/>
              <w:bottom w:val="single" w:sz="4" w:space="0" w:color="auto"/>
              <w:right w:val="single" w:sz="4" w:space="0" w:color="auto"/>
            </w:tcBorders>
            <w:vAlign w:val="center"/>
            <w:hideMark/>
          </w:tcPr>
          <w:p w14:paraId="22F05268" w14:textId="77777777" w:rsidR="00B2786E" w:rsidRDefault="00B2786E">
            <w:pPr>
              <w:spacing w:before="60"/>
              <w:jc w:val="center"/>
              <w:rPr>
                <w:rFonts w:cs="Arial"/>
                <w:color w:val="1D1D1B" w:themeColor="text1"/>
              </w:rPr>
            </w:pPr>
            <w:r>
              <w:rPr>
                <w:rFonts w:cs="Arial"/>
                <w:color w:val="1D1D1B" w:themeColor="text1"/>
              </w:rPr>
              <w:t>6</w:t>
            </w:r>
          </w:p>
        </w:tc>
      </w:tr>
      <w:tr w:rsidR="00B2786E" w14:paraId="3D4D5129"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30B8594A" w14:textId="77777777" w:rsidR="00B2786E" w:rsidRDefault="00B2786E">
            <w:pPr>
              <w:spacing w:before="60"/>
              <w:rPr>
                <w:rFonts w:cs="Arial"/>
                <w:color w:val="1D1D1B" w:themeColor="text1"/>
              </w:rPr>
            </w:pPr>
            <w:r>
              <w:rPr>
                <w:rFonts w:cs="Arial"/>
                <w:color w:val="1D1D1B" w:themeColor="text1"/>
              </w:rPr>
              <w:t>6-9 years</w:t>
            </w:r>
          </w:p>
        </w:tc>
        <w:tc>
          <w:tcPr>
            <w:tcW w:w="522" w:type="pct"/>
            <w:tcBorders>
              <w:top w:val="single" w:sz="4" w:space="0" w:color="auto"/>
              <w:left w:val="single" w:sz="4" w:space="0" w:color="auto"/>
              <w:bottom w:val="single" w:sz="4" w:space="0" w:color="auto"/>
              <w:right w:val="single" w:sz="4" w:space="0" w:color="auto"/>
            </w:tcBorders>
            <w:vAlign w:val="center"/>
            <w:hideMark/>
          </w:tcPr>
          <w:p w14:paraId="2B4626DA" w14:textId="77777777" w:rsidR="00B2786E" w:rsidRDefault="00B2786E">
            <w:pPr>
              <w:spacing w:before="60"/>
              <w:jc w:val="center"/>
              <w:rPr>
                <w:rFonts w:cs="Arial"/>
                <w:color w:val="1D1D1B" w:themeColor="text1"/>
              </w:rPr>
            </w:pPr>
            <w:r>
              <w:rPr>
                <w:rFonts w:cs="Arial"/>
                <w:color w:val="1D1D1B" w:themeColor="text1"/>
              </w:rPr>
              <w:t>7</w:t>
            </w:r>
          </w:p>
        </w:tc>
      </w:tr>
      <w:tr w:rsidR="00B2786E" w14:paraId="7B860DB4"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5A2F752C" w14:textId="77777777" w:rsidR="00B2786E" w:rsidRDefault="00B2786E">
            <w:pPr>
              <w:spacing w:before="60"/>
              <w:rPr>
                <w:rFonts w:cs="Arial"/>
                <w:color w:val="1D1D1B" w:themeColor="text1"/>
              </w:rPr>
            </w:pPr>
            <w:r>
              <w:rPr>
                <w:rFonts w:cs="Arial"/>
                <w:color w:val="1D1D1B" w:themeColor="text1"/>
              </w:rPr>
              <w:t>10-15 years</w:t>
            </w:r>
          </w:p>
        </w:tc>
        <w:tc>
          <w:tcPr>
            <w:tcW w:w="522" w:type="pct"/>
            <w:tcBorders>
              <w:top w:val="single" w:sz="4" w:space="0" w:color="auto"/>
              <w:left w:val="single" w:sz="4" w:space="0" w:color="auto"/>
              <w:bottom w:val="single" w:sz="4" w:space="0" w:color="auto"/>
              <w:right w:val="single" w:sz="4" w:space="0" w:color="auto"/>
            </w:tcBorders>
            <w:vAlign w:val="center"/>
            <w:hideMark/>
          </w:tcPr>
          <w:p w14:paraId="69AF0CAC" w14:textId="77777777" w:rsidR="00B2786E" w:rsidRDefault="00B2786E">
            <w:pPr>
              <w:spacing w:before="60"/>
              <w:jc w:val="center"/>
              <w:rPr>
                <w:rFonts w:cs="Arial"/>
                <w:color w:val="1D1D1B" w:themeColor="text1"/>
              </w:rPr>
            </w:pPr>
            <w:r>
              <w:rPr>
                <w:rFonts w:cs="Arial"/>
                <w:color w:val="1D1D1B" w:themeColor="text1"/>
              </w:rPr>
              <w:t>8</w:t>
            </w:r>
          </w:p>
        </w:tc>
      </w:tr>
      <w:tr w:rsidR="00B2786E" w14:paraId="46837001"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60C8AFD2" w14:textId="77777777" w:rsidR="00B2786E" w:rsidRDefault="00B2786E">
            <w:pPr>
              <w:spacing w:before="60"/>
              <w:rPr>
                <w:rFonts w:cs="Arial"/>
                <w:color w:val="1D1D1B" w:themeColor="text1"/>
              </w:rPr>
            </w:pPr>
            <w:r>
              <w:rPr>
                <w:rFonts w:cs="Arial"/>
                <w:color w:val="1D1D1B" w:themeColor="text1"/>
              </w:rPr>
              <w:t>16-20 years</w:t>
            </w:r>
          </w:p>
        </w:tc>
        <w:tc>
          <w:tcPr>
            <w:tcW w:w="522" w:type="pct"/>
            <w:tcBorders>
              <w:top w:val="single" w:sz="4" w:space="0" w:color="auto"/>
              <w:left w:val="single" w:sz="4" w:space="0" w:color="auto"/>
              <w:bottom w:val="single" w:sz="4" w:space="0" w:color="auto"/>
              <w:right w:val="single" w:sz="4" w:space="0" w:color="auto"/>
            </w:tcBorders>
            <w:vAlign w:val="center"/>
            <w:hideMark/>
          </w:tcPr>
          <w:p w14:paraId="0E0DE7D4" w14:textId="77777777" w:rsidR="00B2786E" w:rsidRDefault="00B2786E">
            <w:pPr>
              <w:spacing w:before="60"/>
              <w:jc w:val="center"/>
              <w:rPr>
                <w:rFonts w:cs="Arial"/>
                <w:color w:val="1D1D1B" w:themeColor="text1"/>
              </w:rPr>
            </w:pPr>
            <w:r>
              <w:rPr>
                <w:rFonts w:cs="Arial"/>
                <w:color w:val="1D1D1B" w:themeColor="text1"/>
              </w:rPr>
              <w:t>9</w:t>
            </w:r>
          </w:p>
        </w:tc>
      </w:tr>
      <w:tr w:rsidR="00B2786E" w14:paraId="6C1AEEEC"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3B6CB4D9" w14:textId="77777777" w:rsidR="00B2786E" w:rsidRDefault="00B2786E">
            <w:pPr>
              <w:spacing w:before="60"/>
              <w:rPr>
                <w:rFonts w:cs="Arial"/>
                <w:color w:val="1D1D1B" w:themeColor="text1"/>
              </w:rPr>
            </w:pPr>
            <w:r>
              <w:rPr>
                <w:rFonts w:cs="Arial"/>
                <w:color w:val="1D1D1B" w:themeColor="text1"/>
              </w:rPr>
              <w:t>More than 20 years</w:t>
            </w:r>
          </w:p>
        </w:tc>
        <w:tc>
          <w:tcPr>
            <w:tcW w:w="522" w:type="pct"/>
            <w:tcBorders>
              <w:top w:val="single" w:sz="4" w:space="0" w:color="auto"/>
              <w:left w:val="single" w:sz="4" w:space="0" w:color="auto"/>
              <w:bottom w:val="single" w:sz="4" w:space="0" w:color="auto"/>
              <w:right w:val="single" w:sz="4" w:space="0" w:color="auto"/>
            </w:tcBorders>
            <w:vAlign w:val="center"/>
            <w:hideMark/>
          </w:tcPr>
          <w:p w14:paraId="5462C48B" w14:textId="77777777" w:rsidR="00B2786E" w:rsidRDefault="00B2786E">
            <w:pPr>
              <w:spacing w:before="60"/>
              <w:jc w:val="center"/>
              <w:rPr>
                <w:rFonts w:cs="Arial"/>
                <w:color w:val="1D1D1B" w:themeColor="text1"/>
              </w:rPr>
            </w:pPr>
            <w:r>
              <w:rPr>
                <w:rFonts w:cs="Arial"/>
                <w:color w:val="1D1D1B" w:themeColor="text1"/>
              </w:rPr>
              <w:t>10</w:t>
            </w:r>
          </w:p>
        </w:tc>
      </w:tr>
      <w:tr w:rsidR="00B2786E" w14:paraId="32833916"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604CB930" w14:textId="77777777" w:rsidR="00B2786E" w:rsidRDefault="00B2786E">
            <w:pPr>
              <w:spacing w:before="60"/>
              <w:rPr>
                <w:rFonts w:cs="Arial"/>
                <w:color w:val="1D1D1B" w:themeColor="text1"/>
              </w:rPr>
            </w:pPr>
            <w:r>
              <w:rPr>
                <w:rFonts w:cs="Arial"/>
                <w:color w:val="1D1D1B" w:themeColor="text1"/>
              </w:rPr>
              <w:t>Don’t know</w:t>
            </w:r>
          </w:p>
        </w:tc>
        <w:tc>
          <w:tcPr>
            <w:tcW w:w="522" w:type="pct"/>
            <w:tcBorders>
              <w:top w:val="single" w:sz="4" w:space="0" w:color="auto"/>
              <w:left w:val="single" w:sz="4" w:space="0" w:color="auto"/>
              <w:bottom w:val="single" w:sz="4" w:space="0" w:color="auto"/>
              <w:right w:val="single" w:sz="4" w:space="0" w:color="auto"/>
            </w:tcBorders>
            <w:vAlign w:val="center"/>
            <w:hideMark/>
          </w:tcPr>
          <w:p w14:paraId="7A693E2D" w14:textId="77777777" w:rsidR="00B2786E" w:rsidRDefault="00B2786E">
            <w:pPr>
              <w:spacing w:before="60"/>
              <w:jc w:val="center"/>
              <w:rPr>
                <w:rFonts w:cs="Arial"/>
                <w:color w:val="1D1D1B" w:themeColor="text1"/>
              </w:rPr>
            </w:pPr>
            <w:r>
              <w:rPr>
                <w:rFonts w:cs="Arial"/>
                <w:color w:val="1D1D1B" w:themeColor="text1"/>
              </w:rPr>
              <w:t>98</w:t>
            </w:r>
          </w:p>
        </w:tc>
      </w:tr>
      <w:tr w:rsidR="00B2786E" w14:paraId="60739F43" w14:textId="77777777">
        <w:trPr>
          <w:cantSplit/>
          <w:trHeight w:val="397"/>
        </w:trPr>
        <w:tc>
          <w:tcPr>
            <w:tcW w:w="4478" w:type="pct"/>
            <w:tcBorders>
              <w:top w:val="single" w:sz="4" w:space="0" w:color="auto"/>
              <w:left w:val="single" w:sz="4" w:space="0" w:color="auto"/>
              <w:bottom w:val="single" w:sz="4" w:space="0" w:color="auto"/>
              <w:right w:val="single" w:sz="4" w:space="0" w:color="auto"/>
            </w:tcBorders>
            <w:vAlign w:val="center"/>
            <w:hideMark/>
          </w:tcPr>
          <w:p w14:paraId="6F31DAD4" w14:textId="77777777" w:rsidR="00B2786E" w:rsidRDefault="00B2786E">
            <w:pPr>
              <w:spacing w:before="60"/>
              <w:rPr>
                <w:rFonts w:cs="Arial"/>
                <w:color w:val="1D1D1B" w:themeColor="text1"/>
              </w:rPr>
            </w:pPr>
            <w:r>
              <w:rPr>
                <w:rFonts w:cs="Arial"/>
                <w:color w:val="1D1D1B" w:themeColor="text1"/>
              </w:rPr>
              <w:t>Refused</w:t>
            </w:r>
          </w:p>
        </w:tc>
        <w:tc>
          <w:tcPr>
            <w:tcW w:w="522" w:type="pct"/>
            <w:tcBorders>
              <w:top w:val="single" w:sz="4" w:space="0" w:color="auto"/>
              <w:left w:val="single" w:sz="4" w:space="0" w:color="auto"/>
              <w:bottom w:val="single" w:sz="4" w:space="0" w:color="auto"/>
              <w:right w:val="single" w:sz="4" w:space="0" w:color="auto"/>
            </w:tcBorders>
            <w:vAlign w:val="center"/>
            <w:hideMark/>
          </w:tcPr>
          <w:p w14:paraId="66A4EF0C" w14:textId="77777777" w:rsidR="00B2786E" w:rsidRDefault="00B2786E">
            <w:pPr>
              <w:spacing w:before="60"/>
              <w:jc w:val="center"/>
              <w:rPr>
                <w:rFonts w:cs="Arial"/>
                <w:color w:val="1D1D1B" w:themeColor="text1"/>
              </w:rPr>
            </w:pPr>
            <w:r>
              <w:rPr>
                <w:rFonts w:cs="Arial"/>
                <w:color w:val="1D1D1B" w:themeColor="text1"/>
              </w:rPr>
              <w:t>99</w:t>
            </w:r>
          </w:p>
        </w:tc>
      </w:tr>
    </w:tbl>
    <w:p w14:paraId="4EB1A980" w14:textId="77777777" w:rsidR="00B2786E" w:rsidRDefault="00B2786E" w:rsidP="00B2786E">
      <w:pPr>
        <w:rPr>
          <w:rFonts w:cs="Arial"/>
          <w:color w:val="1D1D1B" w:themeColor="text1"/>
        </w:rPr>
      </w:pPr>
    </w:p>
    <w:p w14:paraId="10C07D60" w14:textId="77777777" w:rsidR="00B2786E" w:rsidRPr="006F30CC" w:rsidRDefault="00B2786E" w:rsidP="00B2786E">
      <w:pPr>
        <w:rPr>
          <w:rFonts w:eastAsia="Calibri" w:cs="Arial"/>
          <w:b/>
          <w:color w:val="1D1D1B" w:themeColor="text1"/>
          <w:lang w:eastAsia="en-GB"/>
        </w:rPr>
      </w:pPr>
      <w:r w:rsidRPr="006F30CC">
        <w:rPr>
          <w:b/>
          <w:bCs/>
        </w:rPr>
        <w:t>SECTION A</w:t>
      </w:r>
      <w:r w:rsidRPr="006F30CC">
        <w:rPr>
          <w:b/>
          <w:bCs/>
        </w:rPr>
        <w:tab/>
        <w:t>EXPERIENCE OF USING FINANCE AND BBB LOANS</w:t>
      </w:r>
    </w:p>
    <w:p w14:paraId="4396989A" w14:textId="77777777" w:rsidR="00B2786E" w:rsidRDefault="00B2786E" w:rsidP="00B2786E">
      <w:pPr>
        <w:rPr>
          <w:rFonts w:cs="Arial"/>
          <w:color w:val="FF0000"/>
        </w:rPr>
      </w:pPr>
      <w:r>
        <w:rPr>
          <w:rFonts w:cs="Arial"/>
          <w:color w:val="FF0000"/>
        </w:rPr>
        <w:t xml:space="preserve">SHOW ALL IF </w:t>
      </w:r>
      <w:r>
        <w:t>FRESH RECIPIENTS</w:t>
      </w:r>
      <w:r>
        <w:rPr>
          <w:rFonts w:cs="Arial"/>
          <w:color w:val="FF0000"/>
        </w:rPr>
        <w:t>)</w:t>
      </w:r>
    </w:p>
    <w:p w14:paraId="036925CA" w14:textId="77777777" w:rsidR="00B2786E" w:rsidRPr="006F30CC" w:rsidRDefault="00B2786E" w:rsidP="00B2786E">
      <w:pPr>
        <w:rPr>
          <w:rFonts w:cs="Arial"/>
          <w:b/>
          <w:bCs/>
        </w:rPr>
      </w:pPr>
      <w:r>
        <w:rPr>
          <w:rFonts w:cs="Arial"/>
          <w:b/>
          <w:bCs/>
        </w:rPr>
        <w:t xml:space="preserve">The next few questions are about the external finance you have </w:t>
      </w:r>
      <w:r>
        <w:rPr>
          <w:rFonts w:cs="Arial"/>
          <w:b/>
          <w:color w:val="1D1D1B" w:themeColor="text1"/>
        </w:rPr>
        <w:t xml:space="preserve">obtained </w:t>
      </w:r>
      <w:r>
        <w:rPr>
          <w:rFonts w:cs="Arial"/>
          <w:b/>
          <w:bCs/>
        </w:rPr>
        <w:t xml:space="preserve">through the </w:t>
      </w:r>
      <w:r>
        <w:rPr>
          <w:rFonts w:cs="Arial"/>
          <w:color w:val="FF0000"/>
        </w:rPr>
        <w:t xml:space="preserve">[INSERT FROM SAMPLE: </w:t>
      </w:r>
      <w:r>
        <w:rPr>
          <w:rFonts w:cs="Arial"/>
          <w:b/>
        </w:rPr>
        <w:t>Bounce Back Loan Scheme/Coronavirus Business Interruption Loan Scheme/Coronavirus Large Business Interruption Loan Scheme</w:t>
      </w:r>
      <w:r>
        <w:rPr>
          <w:rFonts w:cs="Arial"/>
        </w:rPr>
        <w:t>]</w:t>
      </w:r>
      <w:r>
        <w:rPr>
          <w:rFonts w:cs="Arial"/>
          <w:b/>
          <w:bCs/>
        </w:rPr>
        <w:t xml:space="preserve"> and other types of finance your business might be using.</w:t>
      </w:r>
    </w:p>
    <w:p w14:paraId="73DB61B0" w14:textId="77777777" w:rsidR="00B2786E" w:rsidRDefault="00B2786E" w:rsidP="00B2786E">
      <w:pPr>
        <w:rPr>
          <w:rFonts w:cs="Arial"/>
          <w:color w:val="FF0000"/>
        </w:rPr>
      </w:pPr>
      <w:r>
        <w:rPr>
          <w:rFonts w:cs="Arial"/>
          <w:color w:val="FF0000"/>
        </w:rPr>
        <w:t>SHOW TO FRESH CONTROL GROUP:</w:t>
      </w:r>
    </w:p>
    <w:p w14:paraId="423F9CB1" w14:textId="77777777" w:rsidR="00B2786E" w:rsidRPr="006F30CC" w:rsidRDefault="00B2786E" w:rsidP="00B2786E">
      <w:pPr>
        <w:rPr>
          <w:rFonts w:cs="Arial"/>
          <w:b/>
          <w:bCs/>
        </w:rPr>
      </w:pPr>
      <w:r>
        <w:rPr>
          <w:rFonts w:cs="Arial"/>
          <w:b/>
          <w:bCs/>
        </w:rPr>
        <w:t>The next few questions are about the types of external finance your business might be using.</w:t>
      </w:r>
    </w:p>
    <w:p w14:paraId="1D6B009A" w14:textId="77777777" w:rsidR="00B2786E" w:rsidRDefault="00B2786E" w:rsidP="00B2786E">
      <w:pPr>
        <w:rPr>
          <w:rFonts w:cs="Arial"/>
          <w:color w:val="1D1D1B" w:themeColor="text1"/>
        </w:rPr>
      </w:pPr>
      <w:r>
        <w:rPr>
          <w:rFonts w:cs="Arial"/>
          <w:color w:val="FF0000"/>
        </w:rPr>
        <w:t xml:space="preserve">ASK ALL FRESH CONTROL GROUPS </w:t>
      </w:r>
    </w:p>
    <w:p w14:paraId="2D02E6AB" w14:textId="77777777" w:rsidR="00B2786E" w:rsidRDefault="00B2786E" w:rsidP="00B2786E">
      <w:pPr>
        <w:rPr>
          <w:rFonts w:cs="Arial"/>
          <w:b/>
          <w:bCs/>
          <w:color w:val="1D1D1B" w:themeColor="text1"/>
        </w:rPr>
      </w:pPr>
      <w:r>
        <w:rPr>
          <w:rFonts w:cs="Arial"/>
          <w:b/>
          <w:bCs/>
          <w:color w:val="1D1D1B" w:themeColor="text1"/>
        </w:rPr>
        <w:t xml:space="preserve">A2. </w:t>
      </w:r>
    </w:p>
    <w:p w14:paraId="6357F5FA" w14:textId="77777777" w:rsidR="00B2786E" w:rsidRDefault="00B2786E" w:rsidP="00B2786E">
      <w:pPr>
        <w:rPr>
          <w:rFonts w:cs="Arial"/>
          <w:b/>
          <w:bCs/>
          <w:color w:val="1D1D1B" w:themeColor="text1"/>
        </w:rPr>
      </w:pPr>
      <w:r>
        <w:rPr>
          <w:rFonts w:cs="Arial"/>
          <w:b/>
          <w:bCs/>
          <w:color w:val="1D1D1B" w:themeColor="text1"/>
        </w:rPr>
        <w:t>Have you applied for any external finance or used personal funds from owner(s) and/or any director(</w:t>
      </w:r>
      <w:proofErr w:type="gramStart"/>
      <w:r>
        <w:rPr>
          <w:rFonts w:cs="Arial"/>
          <w:b/>
          <w:bCs/>
          <w:color w:val="1D1D1B" w:themeColor="text1"/>
        </w:rPr>
        <w:t>s)  between</w:t>
      </w:r>
      <w:proofErr w:type="gramEnd"/>
      <w:r>
        <w:rPr>
          <w:rFonts w:cs="Arial"/>
          <w:b/>
          <w:bCs/>
          <w:color w:val="1D1D1B" w:themeColor="text1"/>
        </w:rPr>
        <w:t xml:space="preserve"> 23 March 2020 until autumn last year (2021)?</w:t>
      </w:r>
    </w:p>
    <w:p w14:paraId="40845914" w14:textId="77777777" w:rsidR="00B2786E" w:rsidRDefault="00B2786E" w:rsidP="00B2786E">
      <w:pPr>
        <w:rPr>
          <w:rFonts w:cs="Arial"/>
          <w:b/>
          <w:bCs/>
          <w:color w:val="1D1D1B" w:themeColor="text1"/>
        </w:rPr>
      </w:pPr>
      <w:r>
        <w:rPr>
          <w:rFonts w:cs="Arial"/>
          <w:b/>
          <w:bCs/>
          <w:color w:val="1D1D1B" w:themeColor="text1"/>
        </w:rPr>
        <w:lastRenderedPageBreak/>
        <w:t>Please only think about any external finance you applied for and include the use of personal funds from owner(s) and/or any director(s).</w:t>
      </w:r>
    </w:p>
    <w:p w14:paraId="305A2544" w14:textId="77777777" w:rsidR="00B2786E" w:rsidRPr="006F30CC" w:rsidRDefault="00B2786E" w:rsidP="00B2786E">
      <w:pPr>
        <w:rPr>
          <w:rFonts w:eastAsia="SimSun" w:cs="Arial"/>
        </w:rPr>
      </w:pPr>
      <w:r>
        <w:rPr>
          <w:rFonts w:eastAsia="SimSun" w:cs="Arial"/>
          <w:color w:val="FF0000"/>
        </w:rPr>
        <w:t xml:space="preserve">MULTI CODE OK FOR 1-2.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gridCol w:w="899"/>
      </w:tblGrid>
      <w:tr w:rsidR="00B2786E" w14:paraId="7B094233" w14:textId="77777777">
        <w:tc>
          <w:tcPr>
            <w:tcW w:w="4557" w:type="pct"/>
            <w:tcBorders>
              <w:top w:val="single" w:sz="4" w:space="0" w:color="000000"/>
              <w:left w:val="single" w:sz="4" w:space="0" w:color="000000"/>
              <w:bottom w:val="single" w:sz="4" w:space="0" w:color="000000"/>
              <w:right w:val="single" w:sz="4" w:space="0" w:color="000000"/>
            </w:tcBorders>
            <w:hideMark/>
          </w:tcPr>
          <w:p w14:paraId="0D5462BF" w14:textId="77777777" w:rsidR="00B2786E" w:rsidRDefault="00B2786E">
            <w:pPr>
              <w:spacing w:before="60"/>
              <w:rPr>
                <w:rFonts w:eastAsia="SimSun" w:cs="Arial"/>
                <w:color w:val="1D1D1B" w:themeColor="text1"/>
              </w:rPr>
            </w:pPr>
            <w:r>
              <w:rPr>
                <w:rFonts w:eastAsia="SimSun" w:cs="Arial"/>
                <w:color w:val="1D1D1B" w:themeColor="text1"/>
              </w:rPr>
              <w:t xml:space="preserve">Yes – I applied for external finance </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795CDFF9" w14:textId="77777777" w:rsidR="00B2786E" w:rsidRDefault="00B2786E">
            <w:pPr>
              <w:spacing w:before="60"/>
              <w:jc w:val="center"/>
              <w:rPr>
                <w:rFonts w:eastAsia="SimSun" w:cs="Arial"/>
                <w:color w:val="1D1D1B" w:themeColor="text1"/>
              </w:rPr>
            </w:pPr>
            <w:r>
              <w:rPr>
                <w:rFonts w:eastAsia="SimSun" w:cs="Arial"/>
                <w:color w:val="1D1D1B" w:themeColor="text1"/>
              </w:rPr>
              <w:t>1</w:t>
            </w:r>
          </w:p>
        </w:tc>
      </w:tr>
      <w:tr w:rsidR="00B2786E" w14:paraId="431D9A4F" w14:textId="77777777">
        <w:tc>
          <w:tcPr>
            <w:tcW w:w="4557" w:type="pct"/>
            <w:tcBorders>
              <w:top w:val="single" w:sz="4" w:space="0" w:color="000000"/>
              <w:left w:val="single" w:sz="4" w:space="0" w:color="000000"/>
              <w:bottom w:val="single" w:sz="4" w:space="0" w:color="000000"/>
              <w:right w:val="single" w:sz="4" w:space="0" w:color="000000"/>
            </w:tcBorders>
            <w:hideMark/>
          </w:tcPr>
          <w:p w14:paraId="2D3D8A5A" w14:textId="77777777" w:rsidR="00B2786E" w:rsidRDefault="00B2786E">
            <w:pPr>
              <w:spacing w:before="60"/>
              <w:rPr>
                <w:rFonts w:eastAsia="SimSun" w:cs="Arial"/>
                <w:color w:val="1D1D1B" w:themeColor="text1"/>
              </w:rPr>
            </w:pPr>
            <w:r>
              <w:rPr>
                <w:rFonts w:eastAsia="SimSun" w:cs="Arial"/>
                <w:color w:val="1D1D1B" w:themeColor="text1"/>
              </w:rPr>
              <w:t>Yes- I used personal funds</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2CF160DC" w14:textId="77777777" w:rsidR="00B2786E" w:rsidRDefault="00B2786E">
            <w:pPr>
              <w:spacing w:before="60"/>
              <w:jc w:val="center"/>
              <w:rPr>
                <w:rFonts w:eastAsia="SimSun" w:cs="Arial"/>
                <w:color w:val="1D1D1B" w:themeColor="text1"/>
              </w:rPr>
            </w:pPr>
            <w:r>
              <w:rPr>
                <w:rFonts w:eastAsia="SimSun" w:cs="Arial"/>
                <w:color w:val="1D1D1B" w:themeColor="text1"/>
              </w:rPr>
              <w:t>2</w:t>
            </w:r>
          </w:p>
        </w:tc>
      </w:tr>
      <w:tr w:rsidR="00B2786E" w14:paraId="780CFCF1" w14:textId="77777777">
        <w:tc>
          <w:tcPr>
            <w:tcW w:w="4557" w:type="pct"/>
            <w:tcBorders>
              <w:top w:val="single" w:sz="4" w:space="0" w:color="000000"/>
              <w:left w:val="single" w:sz="4" w:space="0" w:color="000000"/>
              <w:bottom w:val="single" w:sz="4" w:space="0" w:color="000000"/>
              <w:right w:val="single" w:sz="4" w:space="0" w:color="000000"/>
            </w:tcBorders>
            <w:hideMark/>
          </w:tcPr>
          <w:p w14:paraId="61B59FFD" w14:textId="77777777" w:rsidR="00B2786E" w:rsidRDefault="00B2786E">
            <w:pPr>
              <w:spacing w:before="60"/>
              <w:rPr>
                <w:rFonts w:eastAsia="SimSun" w:cs="Arial"/>
                <w:color w:val="1D1D1B" w:themeColor="text1"/>
              </w:rPr>
            </w:pPr>
            <w:r>
              <w:rPr>
                <w:rFonts w:eastAsia="SimSun" w:cs="Arial"/>
                <w:color w:val="1D1D1B" w:themeColor="text1"/>
              </w:rPr>
              <w:t>No</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0FC79E34" w14:textId="77777777" w:rsidR="00B2786E" w:rsidRDefault="00B2786E">
            <w:pPr>
              <w:spacing w:before="60"/>
              <w:jc w:val="center"/>
              <w:rPr>
                <w:rFonts w:eastAsia="SimSun" w:cs="Arial"/>
                <w:color w:val="1D1D1B" w:themeColor="text1"/>
              </w:rPr>
            </w:pPr>
            <w:r>
              <w:rPr>
                <w:rFonts w:eastAsia="SimSun" w:cs="Arial"/>
                <w:color w:val="1D1D1B" w:themeColor="text1"/>
              </w:rPr>
              <w:t>3</w:t>
            </w:r>
          </w:p>
        </w:tc>
      </w:tr>
      <w:tr w:rsidR="00B2786E" w14:paraId="1C1DA3B0" w14:textId="77777777">
        <w:tc>
          <w:tcPr>
            <w:tcW w:w="4557" w:type="pct"/>
            <w:tcBorders>
              <w:top w:val="single" w:sz="4" w:space="0" w:color="000000"/>
              <w:left w:val="single" w:sz="4" w:space="0" w:color="000000"/>
              <w:bottom w:val="single" w:sz="4" w:space="0" w:color="000000"/>
              <w:right w:val="single" w:sz="4" w:space="0" w:color="000000"/>
            </w:tcBorders>
            <w:hideMark/>
          </w:tcPr>
          <w:p w14:paraId="25509167" w14:textId="77777777" w:rsidR="00B2786E" w:rsidRDefault="00B2786E">
            <w:pPr>
              <w:spacing w:before="60"/>
              <w:rPr>
                <w:rFonts w:eastAsia="SimSun" w:cs="Arial"/>
                <w:color w:val="1D1D1B" w:themeColor="text1"/>
              </w:rPr>
            </w:pPr>
            <w:r>
              <w:rPr>
                <w:rFonts w:eastAsia="SimSun" w:cs="Arial"/>
                <w:color w:val="1D1D1B" w:themeColor="text1"/>
              </w:rPr>
              <w:t>Don’t know</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1EE6ECF8" w14:textId="77777777" w:rsidR="00B2786E" w:rsidRDefault="00B2786E">
            <w:pPr>
              <w:spacing w:before="60"/>
              <w:jc w:val="center"/>
              <w:rPr>
                <w:rFonts w:eastAsia="SimSun" w:cs="Arial"/>
                <w:color w:val="1D1D1B" w:themeColor="text1"/>
              </w:rPr>
            </w:pPr>
            <w:r>
              <w:rPr>
                <w:rFonts w:eastAsia="SimSun" w:cs="Arial"/>
                <w:color w:val="1D1D1B" w:themeColor="text1"/>
              </w:rPr>
              <w:t>98</w:t>
            </w:r>
          </w:p>
        </w:tc>
      </w:tr>
      <w:tr w:rsidR="00B2786E" w14:paraId="2B4F96D4" w14:textId="77777777">
        <w:tc>
          <w:tcPr>
            <w:tcW w:w="4557" w:type="pct"/>
            <w:tcBorders>
              <w:top w:val="single" w:sz="4" w:space="0" w:color="000000"/>
              <w:left w:val="single" w:sz="4" w:space="0" w:color="000000"/>
              <w:bottom w:val="single" w:sz="4" w:space="0" w:color="000000"/>
              <w:right w:val="single" w:sz="4" w:space="0" w:color="000000"/>
            </w:tcBorders>
            <w:hideMark/>
          </w:tcPr>
          <w:p w14:paraId="381D5641" w14:textId="77777777" w:rsidR="00B2786E" w:rsidRDefault="00B2786E">
            <w:pPr>
              <w:spacing w:before="60"/>
              <w:rPr>
                <w:rFonts w:eastAsia="SimSun" w:cs="Arial"/>
                <w:color w:val="1D1D1B" w:themeColor="text1"/>
              </w:rPr>
            </w:pPr>
            <w:r>
              <w:rPr>
                <w:rFonts w:eastAsia="SimSun" w:cs="Arial"/>
                <w:color w:val="1D1D1B" w:themeColor="text1"/>
              </w:rPr>
              <w:t>Refused</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5882C1BF" w14:textId="77777777" w:rsidR="00B2786E" w:rsidRDefault="00B2786E">
            <w:pPr>
              <w:spacing w:before="60"/>
              <w:jc w:val="center"/>
              <w:rPr>
                <w:rFonts w:eastAsia="SimSun" w:cs="Arial"/>
                <w:color w:val="1D1D1B" w:themeColor="text1"/>
              </w:rPr>
            </w:pPr>
            <w:r>
              <w:rPr>
                <w:rFonts w:eastAsia="SimSun" w:cs="Arial"/>
                <w:color w:val="1D1D1B" w:themeColor="text1"/>
              </w:rPr>
              <w:t>99</w:t>
            </w:r>
          </w:p>
        </w:tc>
      </w:tr>
    </w:tbl>
    <w:p w14:paraId="2759FFB6" w14:textId="77777777" w:rsidR="00B2786E" w:rsidRDefault="00B2786E" w:rsidP="00B2786E">
      <w:pPr>
        <w:rPr>
          <w:rFonts w:cs="Arial"/>
          <w:color w:val="1D1D1B" w:themeColor="text1"/>
          <w:sz w:val="22"/>
        </w:rPr>
      </w:pPr>
    </w:p>
    <w:p w14:paraId="42B3A18A" w14:textId="77777777" w:rsidR="00B2786E" w:rsidRDefault="00B2786E" w:rsidP="00B2786E">
      <w:pPr>
        <w:rPr>
          <w:rFonts w:cs="Arial"/>
          <w:color w:val="1D1D1B" w:themeColor="text1"/>
        </w:rPr>
      </w:pPr>
      <w:r>
        <w:rPr>
          <w:rFonts w:cs="Arial"/>
          <w:color w:val="FF0000"/>
        </w:rPr>
        <w:t>ASK ALL FRESH CONTROL GROUPS WHO HAVE APPLIED FOR EXTERNAL FINANCE AND/OR PERSONAL FUNDS AT A2 (A2 = 1 AND/OR 2)</w:t>
      </w:r>
    </w:p>
    <w:p w14:paraId="0048FC5C" w14:textId="77777777" w:rsidR="00B2786E" w:rsidRDefault="00B2786E" w:rsidP="00B2786E">
      <w:pPr>
        <w:rPr>
          <w:rFonts w:cs="Arial"/>
          <w:b/>
          <w:bCs/>
          <w:color w:val="1D1D1B" w:themeColor="text1"/>
        </w:rPr>
      </w:pPr>
      <w:r>
        <w:rPr>
          <w:rFonts w:cs="Arial"/>
          <w:b/>
          <w:bCs/>
          <w:color w:val="1D1D1B" w:themeColor="text1"/>
        </w:rPr>
        <w:t>A2b. And was the need to apply for external finance or use of personal funds for your business prompted by the Covid-19 pandemic?</w:t>
      </w:r>
    </w:p>
    <w:p w14:paraId="0B060501" w14:textId="77777777" w:rsidR="00B2786E" w:rsidRPr="006F30CC" w:rsidRDefault="00B2786E" w:rsidP="00B2786E">
      <w:pPr>
        <w:rPr>
          <w:rFonts w:eastAsia="SimSun" w:cs="Arial"/>
          <w:color w:val="FF0000"/>
        </w:rPr>
      </w:pPr>
      <w:r>
        <w:rPr>
          <w:rFonts w:eastAsia="SimSun" w:cs="Arial"/>
          <w:color w:val="FF0000"/>
        </w:rPr>
        <w:t xml:space="preserve">SINGLE CODE ONLY.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gridCol w:w="899"/>
      </w:tblGrid>
      <w:tr w:rsidR="00B2786E" w14:paraId="387858BC" w14:textId="77777777">
        <w:tc>
          <w:tcPr>
            <w:tcW w:w="4557" w:type="pct"/>
            <w:tcBorders>
              <w:top w:val="single" w:sz="4" w:space="0" w:color="000000"/>
              <w:left w:val="single" w:sz="4" w:space="0" w:color="000000"/>
              <w:bottom w:val="single" w:sz="4" w:space="0" w:color="000000"/>
              <w:right w:val="single" w:sz="4" w:space="0" w:color="000000"/>
            </w:tcBorders>
            <w:hideMark/>
          </w:tcPr>
          <w:p w14:paraId="00FAB7F5" w14:textId="77777777" w:rsidR="00B2786E" w:rsidRDefault="00B2786E">
            <w:pPr>
              <w:spacing w:before="60"/>
              <w:rPr>
                <w:rFonts w:eastAsia="SimSun" w:cs="Arial"/>
                <w:color w:val="1D1D1B" w:themeColor="text1"/>
              </w:rPr>
            </w:pPr>
            <w:r>
              <w:rPr>
                <w:rFonts w:eastAsia="SimSun" w:cs="Arial"/>
                <w:color w:val="1D1D1B" w:themeColor="text1"/>
              </w:rPr>
              <w:t>Yes</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2D6FE386" w14:textId="77777777" w:rsidR="00B2786E" w:rsidRDefault="00B2786E">
            <w:pPr>
              <w:spacing w:before="60"/>
              <w:jc w:val="center"/>
              <w:rPr>
                <w:rFonts w:eastAsia="SimSun" w:cs="Arial"/>
                <w:color w:val="1D1D1B" w:themeColor="text1"/>
              </w:rPr>
            </w:pPr>
            <w:r>
              <w:rPr>
                <w:rFonts w:eastAsia="SimSun" w:cs="Arial"/>
                <w:color w:val="1D1D1B" w:themeColor="text1"/>
              </w:rPr>
              <w:t>1</w:t>
            </w:r>
          </w:p>
        </w:tc>
      </w:tr>
      <w:tr w:rsidR="00B2786E" w14:paraId="52B9061E" w14:textId="77777777">
        <w:tc>
          <w:tcPr>
            <w:tcW w:w="4557" w:type="pct"/>
            <w:tcBorders>
              <w:top w:val="single" w:sz="4" w:space="0" w:color="000000"/>
              <w:left w:val="single" w:sz="4" w:space="0" w:color="000000"/>
              <w:bottom w:val="single" w:sz="4" w:space="0" w:color="000000"/>
              <w:right w:val="single" w:sz="4" w:space="0" w:color="000000"/>
            </w:tcBorders>
            <w:hideMark/>
          </w:tcPr>
          <w:p w14:paraId="7BF10690" w14:textId="77777777" w:rsidR="00B2786E" w:rsidRDefault="00B2786E">
            <w:pPr>
              <w:spacing w:before="60"/>
              <w:rPr>
                <w:rFonts w:eastAsia="SimSun" w:cs="Arial"/>
                <w:color w:val="1D1D1B" w:themeColor="text1"/>
              </w:rPr>
            </w:pPr>
            <w:r>
              <w:rPr>
                <w:rFonts w:eastAsia="SimSun" w:cs="Arial"/>
                <w:color w:val="1D1D1B" w:themeColor="text1"/>
              </w:rPr>
              <w:t>No</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6895B7CC" w14:textId="77777777" w:rsidR="00B2786E" w:rsidRDefault="00B2786E">
            <w:pPr>
              <w:spacing w:before="60"/>
              <w:jc w:val="center"/>
              <w:rPr>
                <w:rFonts w:eastAsia="SimSun" w:cs="Arial"/>
                <w:color w:val="1D1D1B" w:themeColor="text1"/>
              </w:rPr>
            </w:pPr>
            <w:r>
              <w:rPr>
                <w:rFonts w:eastAsia="SimSun" w:cs="Arial"/>
                <w:color w:val="1D1D1B" w:themeColor="text1"/>
              </w:rPr>
              <w:t>2</w:t>
            </w:r>
          </w:p>
        </w:tc>
      </w:tr>
      <w:tr w:rsidR="00B2786E" w14:paraId="0282EAB3" w14:textId="77777777">
        <w:tc>
          <w:tcPr>
            <w:tcW w:w="4557" w:type="pct"/>
            <w:tcBorders>
              <w:top w:val="single" w:sz="4" w:space="0" w:color="000000"/>
              <w:left w:val="single" w:sz="4" w:space="0" w:color="000000"/>
              <w:bottom w:val="single" w:sz="4" w:space="0" w:color="000000"/>
              <w:right w:val="single" w:sz="4" w:space="0" w:color="000000"/>
            </w:tcBorders>
            <w:hideMark/>
          </w:tcPr>
          <w:p w14:paraId="1F2C9427" w14:textId="77777777" w:rsidR="00B2786E" w:rsidRDefault="00B2786E">
            <w:pPr>
              <w:spacing w:before="60"/>
              <w:rPr>
                <w:rFonts w:eastAsia="SimSun" w:cs="Arial"/>
                <w:color w:val="1D1D1B" w:themeColor="text1"/>
              </w:rPr>
            </w:pPr>
            <w:r>
              <w:rPr>
                <w:rFonts w:eastAsia="SimSun" w:cs="Arial"/>
                <w:color w:val="1D1D1B" w:themeColor="text1"/>
              </w:rPr>
              <w:t>Don’t know</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0C3C5B30" w14:textId="77777777" w:rsidR="00B2786E" w:rsidRDefault="00B2786E">
            <w:pPr>
              <w:spacing w:before="60"/>
              <w:jc w:val="center"/>
              <w:rPr>
                <w:rFonts w:eastAsia="SimSun" w:cs="Arial"/>
                <w:color w:val="1D1D1B" w:themeColor="text1"/>
              </w:rPr>
            </w:pPr>
            <w:r>
              <w:rPr>
                <w:rFonts w:eastAsia="SimSun" w:cs="Arial"/>
                <w:color w:val="1D1D1B" w:themeColor="text1"/>
              </w:rPr>
              <w:t>98</w:t>
            </w:r>
          </w:p>
        </w:tc>
      </w:tr>
      <w:tr w:rsidR="00B2786E" w14:paraId="1D7E5D4F" w14:textId="77777777">
        <w:tc>
          <w:tcPr>
            <w:tcW w:w="4557" w:type="pct"/>
            <w:tcBorders>
              <w:top w:val="single" w:sz="4" w:space="0" w:color="000000"/>
              <w:left w:val="single" w:sz="4" w:space="0" w:color="000000"/>
              <w:bottom w:val="single" w:sz="4" w:space="0" w:color="000000"/>
              <w:right w:val="single" w:sz="4" w:space="0" w:color="000000"/>
            </w:tcBorders>
            <w:hideMark/>
          </w:tcPr>
          <w:p w14:paraId="73729995" w14:textId="77777777" w:rsidR="00B2786E" w:rsidRDefault="00B2786E">
            <w:pPr>
              <w:spacing w:before="60"/>
              <w:rPr>
                <w:rFonts w:eastAsia="SimSun" w:cs="Arial"/>
                <w:color w:val="1D1D1B" w:themeColor="text1"/>
              </w:rPr>
            </w:pPr>
            <w:r>
              <w:rPr>
                <w:rFonts w:eastAsia="SimSun" w:cs="Arial"/>
                <w:color w:val="1D1D1B" w:themeColor="text1"/>
              </w:rPr>
              <w:t>Refused</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0E7AF10E" w14:textId="77777777" w:rsidR="00B2786E" w:rsidRDefault="00B2786E">
            <w:pPr>
              <w:spacing w:before="60"/>
              <w:jc w:val="center"/>
              <w:rPr>
                <w:rFonts w:eastAsia="SimSun" w:cs="Arial"/>
                <w:color w:val="1D1D1B" w:themeColor="text1"/>
              </w:rPr>
            </w:pPr>
            <w:r>
              <w:rPr>
                <w:rFonts w:eastAsia="SimSun" w:cs="Arial"/>
                <w:color w:val="1D1D1B" w:themeColor="text1"/>
              </w:rPr>
              <w:t>99</w:t>
            </w:r>
          </w:p>
        </w:tc>
      </w:tr>
    </w:tbl>
    <w:p w14:paraId="13CE7485" w14:textId="77777777" w:rsidR="00B2786E" w:rsidRDefault="00B2786E" w:rsidP="00B2786E">
      <w:pPr>
        <w:rPr>
          <w:rFonts w:cs="Arial"/>
          <w:b/>
          <w:bCs/>
          <w:color w:val="1D1D1B" w:themeColor="text1"/>
          <w:sz w:val="22"/>
        </w:rPr>
      </w:pPr>
    </w:p>
    <w:p w14:paraId="7258DD77" w14:textId="77777777" w:rsidR="00B2786E" w:rsidRDefault="00B2786E" w:rsidP="00B2786E">
      <w:pPr>
        <w:rPr>
          <w:rFonts w:cs="Arial"/>
          <w:color w:val="FF0000"/>
        </w:rPr>
      </w:pPr>
      <w:r>
        <w:rPr>
          <w:rFonts w:cs="Arial"/>
          <w:color w:val="FF0000"/>
        </w:rPr>
        <w:t>ASK ALL FRESH CONTROL GROUPS WHO HAVE APPLIED FOR EXTERNAL FINANCE AT A2 (code 1)</w:t>
      </w:r>
    </w:p>
    <w:p w14:paraId="5635258D" w14:textId="77777777" w:rsidR="00B2786E" w:rsidRDefault="00B2786E" w:rsidP="00B2786E">
      <w:pPr>
        <w:rPr>
          <w:rFonts w:cs="Arial"/>
          <w:b/>
          <w:bCs/>
          <w:color w:val="1D1D1B" w:themeColor="text1"/>
        </w:rPr>
      </w:pPr>
      <w:r>
        <w:rPr>
          <w:rFonts w:cs="Arial"/>
          <w:b/>
          <w:bCs/>
          <w:color w:val="1D1D1B" w:themeColor="text1"/>
        </w:rPr>
        <w:t>A3. Were you successful in your application for external finance?</w:t>
      </w:r>
    </w:p>
    <w:p w14:paraId="4FEE6DDC" w14:textId="77777777" w:rsidR="00B2786E" w:rsidRDefault="00B2786E" w:rsidP="00B2786E">
      <w:pPr>
        <w:rPr>
          <w:rFonts w:cs="Arial"/>
          <w:b/>
          <w:bCs/>
          <w:color w:val="1D1D1B" w:themeColor="text1"/>
        </w:rPr>
      </w:pPr>
      <w:r>
        <w:rPr>
          <w:rFonts w:cs="Arial"/>
          <w:color w:val="FF0000"/>
        </w:rPr>
        <w:t xml:space="preserve">IF YES </w:t>
      </w:r>
      <w:r>
        <w:rPr>
          <w:rFonts w:cs="Arial"/>
          <w:b/>
          <w:bCs/>
          <w:color w:val="1D1D1B" w:themeColor="text1"/>
        </w:rPr>
        <w:t>Was this fully or partially sufficient for your business needs?</w:t>
      </w:r>
    </w:p>
    <w:p w14:paraId="08F97062" w14:textId="77777777" w:rsidR="00B2786E" w:rsidRPr="006F30CC" w:rsidRDefault="00B2786E" w:rsidP="00B2786E">
      <w:pPr>
        <w:rPr>
          <w:rFonts w:eastAsia="SimSun" w:cs="Arial"/>
          <w:color w:val="FF0000"/>
        </w:rPr>
      </w:pPr>
      <w:r>
        <w:rPr>
          <w:rFonts w:eastAsia="SimSun" w:cs="Arial"/>
          <w:color w:val="FF0000"/>
        </w:rPr>
        <w:lastRenderedPageBreak/>
        <w:t xml:space="preserve">READ OUT. SINGLE CODE ONLY.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gridCol w:w="899"/>
      </w:tblGrid>
      <w:tr w:rsidR="00B2786E" w14:paraId="7889289D" w14:textId="77777777">
        <w:tc>
          <w:tcPr>
            <w:tcW w:w="4557" w:type="pct"/>
            <w:tcBorders>
              <w:top w:val="single" w:sz="4" w:space="0" w:color="000000"/>
              <w:left w:val="single" w:sz="4" w:space="0" w:color="000000"/>
              <w:bottom w:val="single" w:sz="4" w:space="0" w:color="000000"/>
              <w:right w:val="single" w:sz="4" w:space="0" w:color="000000"/>
            </w:tcBorders>
            <w:hideMark/>
          </w:tcPr>
          <w:p w14:paraId="645922CF" w14:textId="77777777" w:rsidR="00B2786E" w:rsidRDefault="00B2786E">
            <w:pPr>
              <w:spacing w:before="60"/>
              <w:rPr>
                <w:rFonts w:eastAsia="SimSun" w:cs="Arial"/>
                <w:color w:val="1D1D1B" w:themeColor="text1"/>
              </w:rPr>
            </w:pPr>
            <w:r>
              <w:rPr>
                <w:rFonts w:eastAsia="SimSun" w:cs="Arial"/>
                <w:color w:val="1D1D1B" w:themeColor="text1"/>
              </w:rPr>
              <w:t>Yes, I obtained finance fully sufficient for all my business’ needs</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4A995CC7" w14:textId="77777777" w:rsidR="00B2786E" w:rsidRDefault="00B2786E">
            <w:pPr>
              <w:spacing w:before="60"/>
              <w:jc w:val="center"/>
              <w:rPr>
                <w:rFonts w:eastAsia="SimSun" w:cs="Arial"/>
                <w:color w:val="1D1D1B" w:themeColor="text1"/>
              </w:rPr>
            </w:pPr>
            <w:r>
              <w:rPr>
                <w:rFonts w:eastAsia="SimSun" w:cs="Arial"/>
                <w:color w:val="1D1D1B" w:themeColor="text1"/>
              </w:rPr>
              <w:t>1</w:t>
            </w:r>
          </w:p>
        </w:tc>
      </w:tr>
      <w:tr w:rsidR="00B2786E" w14:paraId="1D55F09E" w14:textId="77777777">
        <w:tc>
          <w:tcPr>
            <w:tcW w:w="4557" w:type="pct"/>
            <w:tcBorders>
              <w:top w:val="single" w:sz="4" w:space="0" w:color="000000"/>
              <w:left w:val="single" w:sz="4" w:space="0" w:color="000000"/>
              <w:bottom w:val="single" w:sz="4" w:space="0" w:color="000000"/>
              <w:right w:val="single" w:sz="4" w:space="0" w:color="000000"/>
            </w:tcBorders>
            <w:hideMark/>
          </w:tcPr>
          <w:p w14:paraId="40E80592" w14:textId="77777777" w:rsidR="00B2786E" w:rsidRDefault="00B2786E">
            <w:pPr>
              <w:spacing w:before="60"/>
              <w:rPr>
                <w:rFonts w:eastAsia="SimSun" w:cs="Arial"/>
                <w:color w:val="1D1D1B" w:themeColor="text1"/>
              </w:rPr>
            </w:pPr>
            <w:r>
              <w:rPr>
                <w:rFonts w:eastAsia="SimSun" w:cs="Arial"/>
                <w:color w:val="1D1D1B" w:themeColor="text1"/>
              </w:rPr>
              <w:t>Yes, I obtained finance partially sufficient for my business’s needs</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202A99AB" w14:textId="77777777" w:rsidR="00B2786E" w:rsidRDefault="00B2786E">
            <w:pPr>
              <w:spacing w:before="60"/>
              <w:jc w:val="center"/>
              <w:rPr>
                <w:rFonts w:eastAsia="SimSun" w:cs="Arial"/>
                <w:color w:val="1D1D1B" w:themeColor="text1"/>
              </w:rPr>
            </w:pPr>
            <w:r>
              <w:rPr>
                <w:rFonts w:eastAsia="SimSun" w:cs="Arial"/>
                <w:color w:val="1D1D1B" w:themeColor="text1"/>
              </w:rPr>
              <w:t>2</w:t>
            </w:r>
          </w:p>
        </w:tc>
      </w:tr>
      <w:tr w:rsidR="00B2786E" w14:paraId="4992D449" w14:textId="77777777">
        <w:tc>
          <w:tcPr>
            <w:tcW w:w="4557" w:type="pct"/>
            <w:tcBorders>
              <w:top w:val="single" w:sz="4" w:space="0" w:color="000000"/>
              <w:left w:val="single" w:sz="4" w:space="0" w:color="000000"/>
              <w:bottom w:val="single" w:sz="4" w:space="0" w:color="000000"/>
              <w:right w:val="single" w:sz="4" w:space="0" w:color="000000"/>
            </w:tcBorders>
            <w:hideMark/>
          </w:tcPr>
          <w:p w14:paraId="04FC996C" w14:textId="77777777" w:rsidR="00B2786E" w:rsidRDefault="00B2786E">
            <w:pPr>
              <w:spacing w:before="60"/>
              <w:rPr>
                <w:rFonts w:eastAsia="SimSun" w:cs="Arial"/>
                <w:color w:val="1D1D1B" w:themeColor="text1"/>
              </w:rPr>
            </w:pPr>
            <w:r>
              <w:rPr>
                <w:rFonts w:eastAsia="SimSun" w:cs="Arial"/>
                <w:color w:val="1D1D1B" w:themeColor="text1"/>
              </w:rPr>
              <w:t>No, I was not successful in the application</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6996644D" w14:textId="77777777" w:rsidR="00B2786E" w:rsidRDefault="00B2786E">
            <w:pPr>
              <w:spacing w:before="60"/>
              <w:jc w:val="center"/>
              <w:rPr>
                <w:rFonts w:eastAsia="SimSun" w:cs="Arial"/>
                <w:color w:val="1D1D1B" w:themeColor="text1"/>
              </w:rPr>
            </w:pPr>
            <w:r>
              <w:rPr>
                <w:rFonts w:eastAsia="SimSun" w:cs="Arial"/>
                <w:color w:val="1D1D1B" w:themeColor="text1"/>
              </w:rPr>
              <w:t>3</w:t>
            </w:r>
          </w:p>
        </w:tc>
      </w:tr>
      <w:tr w:rsidR="00B2786E" w14:paraId="0B5C5FB8" w14:textId="77777777">
        <w:tc>
          <w:tcPr>
            <w:tcW w:w="4557" w:type="pct"/>
            <w:tcBorders>
              <w:top w:val="single" w:sz="4" w:space="0" w:color="000000"/>
              <w:left w:val="single" w:sz="4" w:space="0" w:color="000000"/>
              <w:bottom w:val="single" w:sz="4" w:space="0" w:color="000000"/>
              <w:right w:val="single" w:sz="4" w:space="0" w:color="000000"/>
            </w:tcBorders>
            <w:hideMark/>
          </w:tcPr>
          <w:p w14:paraId="20E6C718" w14:textId="77777777" w:rsidR="00B2786E" w:rsidRDefault="00B2786E">
            <w:pPr>
              <w:spacing w:before="60"/>
              <w:rPr>
                <w:rFonts w:eastAsia="SimSun" w:cs="Arial"/>
                <w:color w:val="1D1D1B" w:themeColor="text1"/>
              </w:rPr>
            </w:pPr>
            <w:r>
              <w:rPr>
                <w:rFonts w:eastAsia="SimSun" w:cs="Arial"/>
                <w:color w:val="1D1D1B" w:themeColor="text1"/>
              </w:rPr>
              <w:t>Don’t know</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50709DA3" w14:textId="77777777" w:rsidR="00B2786E" w:rsidRDefault="00B2786E">
            <w:pPr>
              <w:spacing w:before="60"/>
              <w:jc w:val="center"/>
              <w:rPr>
                <w:rFonts w:eastAsia="SimSun" w:cs="Arial"/>
                <w:color w:val="1D1D1B" w:themeColor="text1"/>
              </w:rPr>
            </w:pPr>
            <w:r>
              <w:rPr>
                <w:rFonts w:eastAsia="SimSun" w:cs="Arial"/>
                <w:color w:val="1D1D1B" w:themeColor="text1"/>
              </w:rPr>
              <w:t>98</w:t>
            </w:r>
          </w:p>
        </w:tc>
      </w:tr>
      <w:tr w:rsidR="00B2786E" w14:paraId="025D3668" w14:textId="77777777">
        <w:tc>
          <w:tcPr>
            <w:tcW w:w="4557" w:type="pct"/>
            <w:tcBorders>
              <w:top w:val="single" w:sz="4" w:space="0" w:color="000000"/>
              <w:left w:val="single" w:sz="4" w:space="0" w:color="000000"/>
              <w:bottom w:val="single" w:sz="4" w:space="0" w:color="000000"/>
              <w:right w:val="single" w:sz="4" w:space="0" w:color="000000"/>
            </w:tcBorders>
            <w:hideMark/>
          </w:tcPr>
          <w:p w14:paraId="71D0BFBA" w14:textId="77777777" w:rsidR="00B2786E" w:rsidRDefault="00B2786E">
            <w:pPr>
              <w:spacing w:before="60"/>
              <w:rPr>
                <w:rFonts w:eastAsia="SimSun" w:cs="Arial"/>
                <w:color w:val="1D1D1B" w:themeColor="text1"/>
              </w:rPr>
            </w:pPr>
            <w:r>
              <w:rPr>
                <w:rFonts w:eastAsia="SimSun" w:cs="Arial"/>
                <w:color w:val="1D1D1B" w:themeColor="text1"/>
              </w:rPr>
              <w:t>Refused</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70583103" w14:textId="77777777" w:rsidR="00B2786E" w:rsidRDefault="00B2786E">
            <w:pPr>
              <w:spacing w:before="60"/>
              <w:jc w:val="center"/>
              <w:rPr>
                <w:rFonts w:eastAsia="SimSun" w:cs="Arial"/>
                <w:color w:val="1D1D1B" w:themeColor="text1"/>
              </w:rPr>
            </w:pPr>
            <w:r>
              <w:rPr>
                <w:rFonts w:eastAsia="SimSun" w:cs="Arial"/>
                <w:color w:val="1D1D1B" w:themeColor="text1"/>
              </w:rPr>
              <w:t>99</w:t>
            </w:r>
          </w:p>
        </w:tc>
      </w:tr>
    </w:tbl>
    <w:p w14:paraId="4CFCE010" w14:textId="77777777" w:rsidR="00B2786E" w:rsidRDefault="00B2786E" w:rsidP="00B2786E">
      <w:pPr>
        <w:rPr>
          <w:rFonts w:cs="Arial"/>
          <w:b/>
          <w:bCs/>
          <w:color w:val="1D1D1B" w:themeColor="text1"/>
          <w:sz w:val="22"/>
        </w:rPr>
      </w:pPr>
    </w:p>
    <w:p w14:paraId="1C2CAD12" w14:textId="77777777" w:rsidR="00B2786E" w:rsidRDefault="00B2786E" w:rsidP="00B2786E">
      <w:pPr>
        <w:rPr>
          <w:rFonts w:cs="Arial"/>
          <w:color w:val="FF0000"/>
        </w:rPr>
      </w:pPr>
      <w:bookmarkStart w:id="232" w:name="_Hlk109743650"/>
      <w:r>
        <w:rPr>
          <w:rFonts w:cs="Arial"/>
          <w:color w:val="FF0000"/>
        </w:rPr>
        <w:t>ASK FRESH CONTROL GROUP IF A3=1 OR 2</w:t>
      </w:r>
    </w:p>
    <w:p w14:paraId="78F83B31" w14:textId="77777777" w:rsidR="00B2786E" w:rsidRDefault="00B2786E" w:rsidP="00B2786E">
      <w:pPr>
        <w:rPr>
          <w:rFonts w:cs="Arial"/>
          <w:color w:val="FF0000"/>
        </w:rPr>
      </w:pPr>
      <w:r>
        <w:rPr>
          <w:rFonts w:cs="Arial"/>
          <w:color w:val="FF0000"/>
        </w:rPr>
        <w:t xml:space="preserve">OR FRESH RECIPIENTS FOR WHOM INFO IS NOT AVAILABLE IN THE SAMPLE </w:t>
      </w:r>
    </w:p>
    <w:bookmarkEnd w:id="232"/>
    <w:p w14:paraId="6603B4B8" w14:textId="77777777" w:rsidR="00B2786E" w:rsidRDefault="00B2786E" w:rsidP="00B2786E">
      <w:pPr>
        <w:rPr>
          <w:rFonts w:cs="Arial"/>
          <w:color w:val="FF0000"/>
        </w:rPr>
      </w:pPr>
      <w:r>
        <w:rPr>
          <w:rFonts w:cs="Arial"/>
          <w:b/>
          <w:bCs/>
        </w:rPr>
        <w:t>A7</w:t>
      </w:r>
      <w:r>
        <w:rPr>
          <w:rFonts w:cs="Arial"/>
          <w:b/>
        </w:rPr>
        <w:t xml:space="preserve"> Can [</w:t>
      </w:r>
      <w:r>
        <w:rPr>
          <w:rFonts w:cs="Arial"/>
          <w:bCs/>
          <w:color w:val="FF0000"/>
        </w:rPr>
        <w:t xml:space="preserve">CATI: </w:t>
      </w:r>
      <w:r>
        <w:rPr>
          <w:rFonts w:cs="Arial"/>
          <w:b/>
        </w:rPr>
        <w:t>I] [</w:t>
      </w:r>
      <w:r>
        <w:rPr>
          <w:rFonts w:cs="Arial"/>
          <w:bCs/>
          <w:color w:val="FF0000"/>
        </w:rPr>
        <w:t xml:space="preserve">WEB: </w:t>
      </w:r>
      <w:r>
        <w:rPr>
          <w:rFonts w:cs="Arial"/>
          <w:b/>
        </w:rPr>
        <w:t xml:space="preserve">you] confirm in which month and year you </w:t>
      </w:r>
      <w:r>
        <w:rPr>
          <w:rFonts w:cs="Arial"/>
          <w:b/>
          <w:color w:val="1D1D1B" w:themeColor="text1"/>
        </w:rPr>
        <w:t xml:space="preserve">obtained </w:t>
      </w:r>
      <w:r>
        <w:rPr>
          <w:rFonts w:cs="Arial"/>
          <w:b/>
        </w:rPr>
        <w:t xml:space="preserve">the external finance </w:t>
      </w:r>
      <w:r>
        <w:rPr>
          <w:rFonts w:cs="Arial"/>
          <w:color w:val="FF0000"/>
        </w:rPr>
        <w:t>you accessed between March 2020 and autumn 2021. Please think about the source of finance that provided you with the most funding.</w:t>
      </w:r>
    </w:p>
    <w:p w14:paraId="3738E2AB" w14:textId="77777777" w:rsidR="00B2786E" w:rsidRDefault="00B2786E" w:rsidP="00B2786E">
      <w:pPr>
        <w:rPr>
          <w:rFonts w:cs="Arial"/>
          <w:b/>
        </w:rPr>
      </w:pPr>
      <w:r>
        <w:rPr>
          <w:rFonts w:cs="Arial"/>
          <w:color w:val="FF0000"/>
        </w:rPr>
        <w:t xml:space="preserve">[IF RECIPIENT </w:t>
      </w:r>
      <w:r>
        <w:rPr>
          <w:rFonts w:cs="Arial"/>
          <w:bCs/>
          <w:iCs/>
          <w:color w:val="FF0000"/>
        </w:rPr>
        <w:t>[INSERT FROM SAMPLE:</w:t>
      </w:r>
      <w:r>
        <w:rPr>
          <w:rFonts w:cs="Arial"/>
          <w:b/>
          <w:bCs/>
          <w:iCs/>
          <w:color w:val="FF0000"/>
        </w:rPr>
        <w:t xml:space="preserve"> </w:t>
      </w:r>
      <w:r>
        <w:rPr>
          <w:rFonts w:cs="Arial"/>
          <w:b/>
          <w:bCs/>
          <w:iCs/>
        </w:rPr>
        <w:t>Bounce Back Loan Scheme/Coronavirus Business Interruption Loan Scheme/Coronavirus Large Business Interruption Loan Scheme]</w:t>
      </w:r>
      <w:r>
        <w:rPr>
          <w:rFonts w:cs="Arial"/>
          <w:b/>
        </w:rPr>
        <w:t xml:space="preserve">. </w:t>
      </w:r>
    </w:p>
    <w:p w14:paraId="1C5C7C36" w14:textId="77777777" w:rsidR="00B2786E" w:rsidRDefault="00B2786E" w:rsidP="00B2786E">
      <w:pPr>
        <w:rPr>
          <w:rFonts w:cs="Arial"/>
        </w:rPr>
      </w:pPr>
      <w:r>
        <w:rPr>
          <w:rFonts w:cs="Arial"/>
          <w:b/>
          <w:color w:val="F06603" w:themeColor="accent6"/>
        </w:rPr>
        <w:t xml:space="preserve">READ OUT TO ALL </w:t>
      </w:r>
      <w:r>
        <w:rPr>
          <w:rFonts w:cs="Arial"/>
          <w:b/>
          <w:color w:val="FF0000"/>
        </w:rPr>
        <w:t xml:space="preserve">/ </w:t>
      </w:r>
      <w:r>
        <w:rPr>
          <w:rFonts w:cs="Arial"/>
          <w:bCs/>
          <w:color w:val="FF0000"/>
        </w:rPr>
        <w:t>LEAVE AS NOTE IN WEB</w:t>
      </w:r>
      <w:r>
        <w:rPr>
          <w:rFonts w:cs="Arial"/>
          <w:bCs/>
          <w:color w:val="F06603" w:themeColor="accent6"/>
        </w:rPr>
        <w:t>:</w:t>
      </w:r>
      <w:r>
        <w:rPr>
          <w:rFonts w:cs="Arial"/>
          <w:b/>
          <w:color w:val="F06603" w:themeColor="accent6"/>
        </w:rPr>
        <w:t xml:space="preserve"> </w:t>
      </w:r>
      <w:r>
        <w:rPr>
          <w:rFonts w:cs="Arial"/>
          <w:b/>
        </w:rPr>
        <w:t xml:space="preserve">‘Obtained’ refers to when the facility was approved. </w:t>
      </w:r>
    </w:p>
    <w:p w14:paraId="2315DF0A" w14:textId="77777777" w:rsidR="00B2786E" w:rsidRDefault="00B2786E" w:rsidP="00B2786E">
      <w:pPr>
        <w:pStyle w:val="norm"/>
        <w:spacing w:before="0" w:after="0" w:line="240" w:lineRule="auto"/>
        <w:ind w:left="284"/>
        <w:rPr>
          <w:rFonts w:ascii="Arial" w:hAnsi="Arial" w:cs="Arial"/>
          <w:color w:val="FF0000"/>
          <w:sz w:val="20"/>
        </w:rPr>
      </w:pPr>
      <w:r>
        <w:rPr>
          <w:rFonts w:ascii="Arial" w:hAnsi="Arial" w:cs="Arial"/>
          <w:color w:val="FF0000"/>
          <w:sz w:val="20"/>
        </w:rPr>
        <w:t xml:space="preserve">SINGLE CODE </w:t>
      </w:r>
      <w:r>
        <w:rPr>
          <w:rFonts w:ascii="Arial" w:eastAsia="SimSun" w:hAnsi="Arial" w:cs="Arial"/>
          <w:color w:val="FF0000"/>
        </w:rPr>
        <w:t>ONLY</w:t>
      </w:r>
      <w:r>
        <w:rPr>
          <w:rFonts w:ascii="Arial" w:hAnsi="Arial" w:cs="Arial"/>
          <w:color w:val="FF0000"/>
          <w:sz w:val="20"/>
        </w:rPr>
        <w:t xml:space="preserve"> MONTH</w:t>
      </w:r>
    </w:p>
    <w:p w14:paraId="191A37AF"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January</w:t>
      </w:r>
    </w:p>
    <w:p w14:paraId="1DD6FF21"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February</w:t>
      </w:r>
    </w:p>
    <w:p w14:paraId="5C066490"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March</w:t>
      </w:r>
    </w:p>
    <w:p w14:paraId="7C4CBE67"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April</w:t>
      </w:r>
    </w:p>
    <w:p w14:paraId="27316A4F"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May</w:t>
      </w:r>
    </w:p>
    <w:p w14:paraId="2DC819F7"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June</w:t>
      </w:r>
    </w:p>
    <w:p w14:paraId="7098D439"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July</w:t>
      </w:r>
    </w:p>
    <w:p w14:paraId="32127117"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August</w:t>
      </w:r>
    </w:p>
    <w:p w14:paraId="088945DE"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September</w:t>
      </w:r>
    </w:p>
    <w:p w14:paraId="154A0634"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October</w:t>
      </w:r>
    </w:p>
    <w:p w14:paraId="53DCC757"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November</w:t>
      </w:r>
    </w:p>
    <w:p w14:paraId="57D83543" w14:textId="77777777" w:rsidR="00B2786E" w:rsidRDefault="00B2786E" w:rsidP="00B2786E">
      <w:pPr>
        <w:pStyle w:val="norm"/>
        <w:numPr>
          <w:ilvl w:val="0"/>
          <w:numId w:val="73"/>
        </w:numPr>
        <w:spacing w:before="0" w:after="0" w:line="240" w:lineRule="auto"/>
        <w:rPr>
          <w:rFonts w:ascii="Arial" w:hAnsi="Arial" w:cs="Arial"/>
          <w:sz w:val="20"/>
        </w:rPr>
      </w:pPr>
      <w:r>
        <w:rPr>
          <w:rFonts w:ascii="Arial" w:hAnsi="Arial" w:cs="Arial"/>
          <w:sz w:val="20"/>
        </w:rPr>
        <w:t>December</w:t>
      </w:r>
    </w:p>
    <w:p w14:paraId="1C803152" w14:textId="77777777" w:rsidR="00B2786E" w:rsidRDefault="00B2786E" w:rsidP="00B2786E">
      <w:pPr>
        <w:pStyle w:val="norm"/>
        <w:numPr>
          <w:ilvl w:val="0"/>
          <w:numId w:val="74"/>
        </w:numPr>
        <w:spacing w:before="0" w:after="0" w:line="240" w:lineRule="auto"/>
        <w:rPr>
          <w:rFonts w:ascii="Arial" w:hAnsi="Arial" w:cs="Arial"/>
          <w:sz w:val="20"/>
        </w:rPr>
      </w:pPr>
      <w:r>
        <w:rPr>
          <w:rFonts w:ascii="Arial" w:hAnsi="Arial" w:cs="Arial"/>
          <w:sz w:val="20"/>
        </w:rPr>
        <w:t>Don’t know</w:t>
      </w:r>
    </w:p>
    <w:p w14:paraId="7CF0D26E" w14:textId="77777777" w:rsidR="00B2786E" w:rsidRDefault="00B2786E" w:rsidP="00B2786E">
      <w:pPr>
        <w:pStyle w:val="norm"/>
        <w:numPr>
          <w:ilvl w:val="0"/>
          <w:numId w:val="74"/>
        </w:numPr>
        <w:spacing w:before="0" w:after="0" w:line="240" w:lineRule="auto"/>
        <w:jc w:val="left"/>
        <w:rPr>
          <w:rFonts w:ascii="Arial" w:hAnsi="Arial" w:cs="Arial"/>
          <w:sz w:val="20"/>
        </w:rPr>
      </w:pPr>
      <w:r>
        <w:rPr>
          <w:rFonts w:ascii="Arial" w:hAnsi="Arial" w:cs="Arial"/>
          <w:sz w:val="20"/>
        </w:rPr>
        <w:t>Refused</w:t>
      </w:r>
    </w:p>
    <w:p w14:paraId="3DC5B647" w14:textId="77777777" w:rsidR="00B2786E" w:rsidRDefault="00B2786E" w:rsidP="00B2786E">
      <w:pPr>
        <w:pStyle w:val="norm"/>
        <w:spacing w:before="0" w:after="0" w:line="240" w:lineRule="auto"/>
        <w:ind w:left="1004"/>
        <w:jc w:val="left"/>
        <w:rPr>
          <w:rFonts w:ascii="Arial" w:hAnsi="Arial" w:cs="Arial"/>
          <w:sz w:val="20"/>
        </w:rPr>
      </w:pPr>
    </w:p>
    <w:p w14:paraId="64EEA66B" w14:textId="77777777" w:rsidR="00B2786E" w:rsidRDefault="00B2786E" w:rsidP="00B2786E">
      <w:pPr>
        <w:pStyle w:val="norm"/>
        <w:spacing w:before="0" w:after="0" w:line="240" w:lineRule="auto"/>
        <w:ind w:left="284"/>
        <w:rPr>
          <w:rFonts w:ascii="Arial" w:hAnsi="Arial" w:cs="Arial"/>
          <w:color w:val="FF0000"/>
          <w:sz w:val="20"/>
        </w:rPr>
      </w:pPr>
      <w:r>
        <w:rPr>
          <w:rFonts w:ascii="Arial" w:hAnsi="Arial" w:cs="Arial"/>
          <w:color w:val="FF0000"/>
          <w:sz w:val="20"/>
        </w:rPr>
        <w:lastRenderedPageBreak/>
        <w:t xml:space="preserve">SINGLE CODE </w:t>
      </w:r>
      <w:proofErr w:type="gramStart"/>
      <w:r>
        <w:rPr>
          <w:rFonts w:ascii="Arial" w:eastAsia="SimSun" w:hAnsi="Arial" w:cs="Arial"/>
          <w:color w:val="FF0000"/>
        </w:rPr>
        <w:t>ONLY</w:t>
      </w:r>
      <w:r>
        <w:rPr>
          <w:rFonts w:ascii="Arial" w:hAnsi="Arial" w:cs="Arial"/>
          <w:color w:val="FF0000"/>
          <w:sz w:val="20"/>
        </w:rPr>
        <w:t xml:space="preserve">  YEAR</w:t>
      </w:r>
      <w:proofErr w:type="gramEnd"/>
    </w:p>
    <w:p w14:paraId="327354E7" w14:textId="77777777" w:rsidR="00B2786E" w:rsidRDefault="00B2786E" w:rsidP="00B2786E">
      <w:pPr>
        <w:pStyle w:val="norm"/>
        <w:numPr>
          <w:ilvl w:val="0"/>
          <w:numId w:val="75"/>
        </w:numPr>
        <w:spacing w:before="0" w:after="0" w:line="240" w:lineRule="auto"/>
        <w:rPr>
          <w:rFonts w:ascii="Arial" w:hAnsi="Arial" w:cs="Arial"/>
          <w:sz w:val="20"/>
        </w:rPr>
      </w:pPr>
      <w:r>
        <w:rPr>
          <w:rFonts w:ascii="Arial" w:hAnsi="Arial" w:cs="Arial"/>
          <w:sz w:val="20"/>
        </w:rPr>
        <w:t>2020</w:t>
      </w:r>
    </w:p>
    <w:p w14:paraId="0D8CE954" w14:textId="77777777" w:rsidR="00B2786E" w:rsidRDefault="00B2786E" w:rsidP="00B2786E">
      <w:pPr>
        <w:pStyle w:val="norm"/>
        <w:numPr>
          <w:ilvl w:val="0"/>
          <w:numId w:val="75"/>
        </w:numPr>
        <w:spacing w:before="0" w:after="0" w:line="240" w:lineRule="auto"/>
        <w:rPr>
          <w:rFonts w:ascii="Arial" w:hAnsi="Arial" w:cs="Arial"/>
          <w:sz w:val="20"/>
        </w:rPr>
      </w:pPr>
      <w:r>
        <w:rPr>
          <w:rFonts w:ascii="Arial" w:hAnsi="Arial" w:cs="Arial"/>
          <w:sz w:val="20"/>
        </w:rPr>
        <w:t>2021</w:t>
      </w:r>
    </w:p>
    <w:p w14:paraId="71DFF2F6" w14:textId="77777777" w:rsidR="00B2786E" w:rsidRDefault="00B2786E" w:rsidP="00B2786E">
      <w:pPr>
        <w:pStyle w:val="norm"/>
        <w:spacing w:before="0" w:after="0" w:line="240" w:lineRule="auto"/>
        <w:ind w:left="644"/>
        <w:rPr>
          <w:rFonts w:ascii="Arial" w:hAnsi="Arial" w:cs="Arial"/>
          <w:sz w:val="20"/>
        </w:rPr>
      </w:pPr>
      <w:r>
        <w:rPr>
          <w:rFonts w:ascii="Arial" w:hAnsi="Arial" w:cs="Arial"/>
          <w:sz w:val="20"/>
        </w:rPr>
        <w:t>98. Don’t know</w:t>
      </w:r>
    </w:p>
    <w:p w14:paraId="3778B118" w14:textId="77777777" w:rsidR="00B2786E" w:rsidRDefault="00B2786E" w:rsidP="00B2786E">
      <w:pPr>
        <w:pStyle w:val="norm"/>
        <w:spacing w:before="0" w:after="0" w:line="240" w:lineRule="auto"/>
        <w:ind w:left="644"/>
        <w:rPr>
          <w:rFonts w:ascii="Arial" w:hAnsi="Arial" w:cs="Arial"/>
        </w:rPr>
      </w:pPr>
      <w:r>
        <w:rPr>
          <w:rFonts w:ascii="Arial" w:hAnsi="Arial" w:cs="Arial"/>
          <w:sz w:val="20"/>
        </w:rPr>
        <w:t>99. Refused</w:t>
      </w:r>
    </w:p>
    <w:p w14:paraId="2C2EA496" w14:textId="77777777" w:rsidR="00B2786E" w:rsidRDefault="00B2786E" w:rsidP="00B2786E">
      <w:pPr>
        <w:rPr>
          <w:rFonts w:cs="Arial"/>
          <w:color w:val="1D1D1B" w:themeColor="text1"/>
        </w:rPr>
      </w:pPr>
      <w:bookmarkStart w:id="233" w:name="_Hlk74176736"/>
    </w:p>
    <w:p w14:paraId="146CD12E" w14:textId="77777777" w:rsidR="00B2786E" w:rsidRDefault="00B2786E" w:rsidP="00B2786E">
      <w:pPr>
        <w:rPr>
          <w:rFonts w:cs="Arial"/>
          <w:color w:val="FF0000"/>
        </w:rPr>
      </w:pPr>
      <w:bookmarkStart w:id="234" w:name="_Hlk109744134"/>
      <w:bookmarkStart w:id="235" w:name="_Hlk74176940"/>
      <w:bookmarkEnd w:id="233"/>
      <w:r>
        <w:rPr>
          <w:rFonts w:ascii="Segoe UI" w:hAnsi="Segoe UI" w:cs="Segoe UI"/>
          <w:color w:val="242424"/>
          <w:sz w:val="21"/>
          <w:szCs w:val="21"/>
          <w:shd w:val="clear" w:color="auto" w:fill="FFFFFF"/>
        </w:rPr>
        <w:t xml:space="preserve">ASK ALL FRESH CONTROLS WHO ACCESSED FINANCE [A2=1] </w:t>
      </w:r>
      <w:bookmarkEnd w:id="234"/>
      <w:r>
        <w:rPr>
          <w:rFonts w:ascii="Segoe UI" w:hAnsi="Segoe UI" w:cs="Segoe UI"/>
          <w:color w:val="242424"/>
          <w:sz w:val="21"/>
          <w:szCs w:val="21"/>
          <w:shd w:val="clear" w:color="auto" w:fill="FFFFFF"/>
        </w:rPr>
        <w:t>OR FRESH RECIPIENTS WHERE THERE IS NO DATE IN THE SAMPLE.</w:t>
      </w:r>
    </w:p>
    <w:p w14:paraId="2DA19E84" w14:textId="77777777" w:rsidR="00B2786E" w:rsidRDefault="00B2786E" w:rsidP="00B2786E">
      <w:pPr>
        <w:rPr>
          <w:rFonts w:cs="Arial"/>
          <w:color w:val="FF0000"/>
        </w:rPr>
      </w:pPr>
    </w:p>
    <w:p w14:paraId="2C4AE866" w14:textId="77777777" w:rsidR="00B2786E" w:rsidRDefault="00B2786E" w:rsidP="00B2786E">
      <w:pPr>
        <w:ind w:left="567" w:right="261" w:hanging="567"/>
        <w:rPr>
          <w:rFonts w:cs="Arial"/>
          <w:color w:val="1D1D1B" w:themeColor="text1"/>
        </w:rPr>
      </w:pPr>
      <w:r>
        <w:rPr>
          <w:rFonts w:cs="Arial"/>
          <w:color w:val="1D1D1B" w:themeColor="text1"/>
        </w:rPr>
        <w:t>A8</w:t>
      </w:r>
      <w:r>
        <w:rPr>
          <w:rFonts w:cs="Arial"/>
          <w:color w:val="1D1D1B" w:themeColor="text1"/>
        </w:rPr>
        <w:tab/>
      </w:r>
      <w:r>
        <w:rPr>
          <w:rFonts w:cs="Arial"/>
          <w:b/>
          <w:color w:val="1D1D1B" w:themeColor="text1"/>
        </w:rPr>
        <w:t xml:space="preserve">And much money did you apply for? </w:t>
      </w:r>
      <w:r>
        <w:rPr>
          <w:rFonts w:cs="Arial"/>
          <w:b/>
          <w:bCs/>
          <w:lang w:eastAsia="en-GB"/>
        </w:rPr>
        <w:t>If you don’t know the exact amount, please estimate it as best as you can.</w:t>
      </w:r>
      <w:r>
        <w:rPr>
          <w:rFonts w:cs="Arial"/>
          <w:color w:val="1D1D1B" w:themeColor="text1"/>
        </w:rPr>
        <w:t xml:space="preserve"> TYPE IN AMOUNT IN POUNDS</w:t>
      </w:r>
    </w:p>
    <w:p w14:paraId="50C25E9B" w14:textId="77777777" w:rsidR="00B2786E" w:rsidRPr="006F30CC" w:rsidRDefault="00B2786E" w:rsidP="00B2786E">
      <w:pPr>
        <w:rPr>
          <w:lang w:eastAsia="en-GB"/>
        </w:rPr>
      </w:pPr>
      <w:r>
        <w:rPr>
          <w:lang w:eastAsia="en-GB"/>
        </w:rPr>
        <w:tab/>
        <w:t>ALLOWED RANGE £0-£999,999,999</w:t>
      </w:r>
    </w:p>
    <w:p w14:paraId="4BB43A13" w14:textId="77777777" w:rsidR="00B2786E" w:rsidRPr="006F30CC" w:rsidRDefault="00B2786E" w:rsidP="00B2786E">
      <w:pPr>
        <w:rPr>
          <w:lang w:eastAsia="en-GB"/>
        </w:rPr>
      </w:pPr>
      <w:r>
        <w:rPr>
          <w:lang w:eastAsia="en-GB"/>
        </w:rPr>
        <w:t>INTERVIEWER NOTE: PLEASE READ BACK FIGURE TO RESPONDENT AND DOUBLE CHECK CORRECT NUMBER OF ZEROS</w:t>
      </w:r>
      <w:r>
        <w:rPr>
          <w:rFonts w:cs="Arial"/>
          <w:b/>
          <w:color w:val="1D1D1B" w:themeColor="text1"/>
          <w:lang w:eastAsia="en-GB"/>
        </w:rPr>
        <w:tab/>
      </w: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3"/>
        <w:gridCol w:w="903"/>
        <w:gridCol w:w="903"/>
        <w:gridCol w:w="904"/>
        <w:gridCol w:w="904"/>
        <w:gridCol w:w="904"/>
        <w:gridCol w:w="904"/>
        <w:gridCol w:w="904"/>
        <w:gridCol w:w="904"/>
        <w:gridCol w:w="904"/>
      </w:tblGrid>
      <w:tr w:rsidR="00B2786E" w14:paraId="736B36C5" w14:textId="77777777">
        <w:trPr>
          <w:trHeight w:val="728"/>
        </w:trPr>
        <w:tc>
          <w:tcPr>
            <w:tcW w:w="903" w:type="dxa"/>
            <w:tcBorders>
              <w:top w:val="single" w:sz="4" w:space="0" w:color="auto"/>
              <w:left w:val="single" w:sz="4" w:space="0" w:color="auto"/>
              <w:bottom w:val="single" w:sz="4" w:space="0" w:color="auto"/>
              <w:right w:val="single" w:sz="4" w:space="0" w:color="auto"/>
            </w:tcBorders>
            <w:vAlign w:val="center"/>
            <w:hideMark/>
          </w:tcPr>
          <w:p w14:paraId="5C24B59B" w14:textId="77777777" w:rsidR="00B2786E" w:rsidRDefault="00B2786E" w:rsidP="00A416C5">
            <w:pPr>
              <w:rPr>
                <w:lang w:eastAsia="en-GB"/>
              </w:rPr>
            </w:pPr>
            <w:r>
              <w:rPr>
                <w:lang w:eastAsia="en-GB"/>
              </w:rPr>
              <w:t>£</w:t>
            </w:r>
          </w:p>
        </w:tc>
        <w:tc>
          <w:tcPr>
            <w:tcW w:w="903" w:type="dxa"/>
            <w:tcBorders>
              <w:top w:val="single" w:sz="4" w:space="0" w:color="auto"/>
              <w:left w:val="single" w:sz="4" w:space="0" w:color="auto"/>
              <w:bottom w:val="single" w:sz="4" w:space="0" w:color="auto"/>
              <w:right w:val="single" w:sz="4" w:space="0" w:color="auto"/>
            </w:tcBorders>
          </w:tcPr>
          <w:p w14:paraId="0757D8D3" w14:textId="77777777" w:rsidR="00B2786E" w:rsidRDefault="00B2786E">
            <w:pPr>
              <w:tabs>
                <w:tab w:val="left" w:pos="879"/>
              </w:tabs>
              <w:spacing w:line="260" w:lineRule="exact"/>
              <w:ind w:right="-1272"/>
              <w:outlineLvl w:val="1"/>
              <w:rPr>
                <w:rFonts w:cs="Arial"/>
                <w:b/>
                <w:color w:val="1D1D1B" w:themeColor="text1"/>
                <w:lang w:eastAsia="en-GB"/>
              </w:rPr>
            </w:pPr>
          </w:p>
        </w:tc>
        <w:tc>
          <w:tcPr>
            <w:tcW w:w="903" w:type="dxa"/>
            <w:tcBorders>
              <w:top w:val="single" w:sz="4" w:space="0" w:color="auto"/>
              <w:left w:val="single" w:sz="4" w:space="0" w:color="auto"/>
              <w:bottom w:val="single" w:sz="4" w:space="0" w:color="auto"/>
              <w:right w:val="single" w:sz="4" w:space="0" w:color="auto"/>
            </w:tcBorders>
          </w:tcPr>
          <w:p w14:paraId="5025BE24" w14:textId="77777777" w:rsidR="00B2786E" w:rsidRDefault="00B2786E">
            <w:pPr>
              <w:tabs>
                <w:tab w:val="left" w:pos="879"/>
              </w:tabs>
              <w:spacing w:line="260" w:lineRule="exact"/>
              <w:ind w:right="-1272"/>
              <w:outlineLvl w:val="1"/>
              <w:rPr>
                <w:rFonts w:cs="Arial"/>
                <w:b/>
                <w:color w:val="1D1D1B" w:themeColor="text1"/>
                <w:lang w:eastAsia="en-GB"/>
              </w:rPr>
            </w:pPr>
          </w:p>
        </w:tc>
        <w:tc>
          <w:tcPr>
            <w:tcW w:w="904" w:type="dxa"/>
            <w:tcBorders>
              <w:top w:val="single" w:sz="4" w:space="0" w:color="auto"/>
              <w:left w:val="single" w:sz="4" w:space="0" w:color="auto"/>
              <w:bottom w:val="single" w:sz="4" w:space="0" w:color="auto"/>
              <w:right w:val="single" w:sz="4" w:space="0" w:color="auto"/>
            </w:tcBorders>
          </w:tcPr>
          <w:p w14:paraId="52FC3A5A" w14:textId="77777777" w:rsidR="00B2786E" w:rsidRDefault="00B2786E">
            <w:pPr>
              <w:tabs>
                <w:tab w:val="left" w:pos="879"/>
              </w:tabs>
              <w:spacing w:line="260" w:lineRule="exact"/>
              <w:ind w:right="-1272"/>
              <w:outlineLvl w:val="1"/>
              <w:rPr>
                <w:rFonts w:cs="Arial"/>
                <w:b/>
                <w:color w:val="1D1D1B" w:themeColor="text1"/>
                <w:lang w:eastAsia="en-GB"/>
              </w:rPr>
            </w:pPr>
          </w:p>
        </w:tc>
        <w:tc>
          <w:tcPr>
            <w:tcW w:w="904" w:type="dxa"/>
            <w:tcBorders>
              <w:top w:val="single" w:sz="4" w:space="0" w:color="auto"/>
              <w:left w:val="single" w:sz="4" w:space="0" w:color="auto"/>
              <w:bottom w:val="single" w:sz="4" w:space="0" w:color="auto"/>
              <w:right w:val="single" w:sz="4" w:space="0" w:color="auto"/>
            </w:tcBorders>
          </w:tcPr>
          <w:p w14:paraId="31576F47" w14:textId="77777777" w:rsidR="00B2786E" w:rsidRDefault="00B2786E">
            <w:pPr>
              <w:tabs>
                <w:tab w:val="left" w:pos="879"/>
              </w:tabs>
              <w:spacing w:line="260" w:lineRule="exact"/>
              <w:ind w:right="-1272"/>
              <w:outlineLvl w:val="1"/>
              <w:rPr>
                <w:rFonts w:cs="Arial"/>
                <w:b/>
                <w:color w:val="1D1D1B" w:themeColor="text1"/>
                <w:lang w:eastAsia="en-GB"/>
              </w:rPr>
            </w:pPr>
          </w:p>
        </w:tc>
        <w:tc>
          <w:tcPr>
            <w:tcW w:w="904" w:type="dxa"/>
            <w:tcBorders>
              <w:top w:val="single" w:sz="4" w:space="0" w:color="auto"/>
              <w:left w:val="single" w:sz="4" w:space="0" w:color="auto"/>
              <w:bottom w:val="single" w:sz="4" w:space="0" w:color="auto"/>
              <w:right w:val="single" w:sz="4" w:space="0" w:color="auto"/>
            </w:tcBorders>
          </w:tcPr>
          <w:p w14:paraId="0254D5CE" w14:textId="77777777" w:rsidR="00B2786E" w:rsidRDefault="00B2786E">
            <w:pPr>
              <w:tabs>
                <w:tab w:val="left" w:pos="879"/>
              </w:tabs>
              <w:spacing w:line="260" w:lineRule="exact"/>
              <w:ind w:right="-1272"/>
              <w:outlineLvl w:val="1"/>
              <w:rPr>
                <w:rFonts w:cs="Arial"/>
                <w:b/>
                <w:color w:val="1D1D1B" w:themeColor="text1"/>
                <w:lang w:eastAsia="en-GB"/>
              </w:rPr>
            </w:pPr>
          </w:p>
        </w:tc>
        <w:tc>
          <w:tcPr>
            <w:tcW w:w="904" w:type="dxa"/>
            <w:tcBorders>
              <w:top w:val="single" w:sz="4" w:space="0" w:color="auto"/>
              <w:left w:val="single" w:sz="4" w:space="0" w:color="auto"/>
              <w:bottom w:val="single" w:sz="4" w:space="0" w:color="auto"/>
              <w:right w:val="single" w:sz="4" w:space="0" w:color="auto"/>
            </w:tcBorders>
          </w:tcPr>
          <w:p w14:paraId="0B9AFF9A" w14:textId="77777777" w:rsidR="00B2786E" w:rsidRDefault="00B2786E">
            <w:pPr>
              <w:tabs>
                <w:tab w:val="left" w:pos="879"/>
              </w:tabs>
              <w:spacing w:line="260" w:lineRule="exact"/>
              <w:ind w:right="-1272"/>
              <w:outlineLvl w:val="1"/>
              <w:rPr>
                <w:rFonts w:cs="Arial"/>
                <w:b/>
                <w:color w:val="1D1D1B" w:themeColor="text1"/>
                <w:lang w:eastAsia="en-GB"/>
              </w:rPr>
            </w:pPr>
          </w:p>
        </w:tc>
        <w:tc>
          <w:tcPr>
            <w:tcW w:w="904" w:type="dxa"/>
            <w:tcBorders>
              <w:top w:val="single" w:sz="4" w:space="0" w:color="auto"/>
              <w:left w:val="single" w:sz="4" w:space="0" w:color="auto"/>
              <w:bottom w:val="single" w:sz="4" w:space="0" w:color="auto"/>
              <w:right w:val="single" w:sz="4" w:space="0" w:color="auto"/>
            </w:tcBorders>
          </w:tcPr>
          <w:p w14:paraId="544C8087" w14:textId="77777777" w:rsidR="00B2786E" w:rsidRDefault="00B2786E">
            <w:pPr>
              <w:tabs>
                <w:tab w:val="left" w:pos="879"/>
              </w:tabs>
              <w:spacing w:line="260" w:lineRule="exact"/>
              <w:ind w:right="-1272"/>
              <w:outlineLvl w:val="1"/>
              <w:rPr>
                <w:rFonts w:cs="Arial"/>
                <w:b/>
                <w:color w:val="1D1D1B" w:themeColor="text1"/>
                <w:lang w:eastAsia="en-GB"/>
              </w:rPr>
            </w:pPr>
          </w:p>
        </w:tc>
        <w:tc>
          <w:tcPr>
            <w:tcW w:w="904" w:type="dxa"/>
            <w:tcBorders>
              <w:top w:val="single" w:sz="4" w:space="0" w:color="auto"/>
              <w:left w:val="single" w:sz="4" w:space="0" w:color="auto"/>
              <w:bottom w:val="single" w:sz="4" w:space="0" w:color="auto"/>
              <w:right w:val="single" w:sz="4" w:space="0" w:color="auto"/>
            </w:tcBorders>
          </w:tcPr>
          <w:p w14:paraId="15EB93C0" w14:textId="77777777" w:rsidR="00B2786E" w:rsidRDefault="00B2786E">
            <w:pPr>
              <w:tabs>
                <w:tab w:val="left" w:pos="879"/>
              </w:tabs>
              <w:spacing w:line="260" w:lineRule="exact"/>
              <w:ind w:right="-1272"/>
              <w:outlineLvl w:val="1"/>
              <w:rPr>
                <w:rFonts w:cs="Arial"/>
                <w:b/>
                <w:color w:val="1D1D1B" w:themeColor="text1"/>
                <w:lang w:eastAsia="en-GB"/>
              </w:rPr>
            </w:pPr>
          </w:p>
        </w:tc>
        <w:tc>
          <w:tcPr>
            <w:tcW w:w="904" w:type="dxa"/>
            <w:tcBorders>
              <w:top w:val="single" w:sz="4" w:space="0" w:color="auto"/>
              <w:left w:val="single" w:sz="4" w:space="0" w:color="auto"/>
              <w:bottom w:val="single" w:sz="4" w:space="0" w:color="auto"/>
              <w:right w:val="single" w:sz="4" w:space="0" w:color="auto"/>
            </w:tcBorders>
          </w:tcPr>
          <w:p w14:paraId="098FF9B4" w14:textId="77777777" w:rsidR="00B2786E" w:rsidRDefault="00B2786E">
            <w:pPr>
              <w:tabs>
                <w:tab w:val="left" w:pos="879"/>
              </w:tabs>
              <w:spacing w:line="260" w:lineRule="exact"/>
              <w:ind w:right="-1272"/>
              <w:outlineLvl w:val="1"/>
              <w:rPr>
                <w:rFonts w:cs="Arial"/>
                <w:b/>
                <w:color w:val="1D1D1B" w:themeColor="text1"/>
                <w:lang w:eastAsia="en-GB"/>
              </w:rPr>
            </w:pPr>
          </w:p>
        </w:tc>
      </w:tr>
    </w:tbl>
    <w:p w14:paraId="73210F3C" w14:textId="77777777" w:rsidR="00B2786E" w:rsidRPr="006F30CC" w:rsidRDefault="00B2786E" w:rsidP="00B2786E">
      <w:pPr>
        <w:rPr>
          <w:lang w:eastAsia="en-GB"/>
        </w:rPr>
      </w:pPr>
      <w:r>
        <w:rPr>
          <w:lang w:eastAsia="en-GB"/>
        </w:rPr>
        <w:tab/>
        <w:t>Don’t know</w:t>
      </w:r>
      <w:r>
        <w:rPr>
          <w:lang w:eastAsia="en-GB"/>
        </w:rPr>
        <w:tab/>
        <w:t xml:space="preserve">98 </w:t>
      </w:r>
      <w:r>
        <w:rPr>
          <w:lang w:eastAsia="en-GB"/>
        </w:rPr>
        <w:tab/>
      </w:r>
      <w:r>
        <w:rPr>
          <w:lang w:eastAsia="en-GB"/>
        </w:rPr>
        <w:tab/>
        <w:t>Refused</w:t>
      </w:r>
      <w:r>
        <w:rPr>
          <w:lang w:eastAsia="en-GB"/>
        </w:rPr>
        <w:tab/>
        <w:t>99</w:t>
      </w:r>
    </w:p>
    <w:p w14:paraId="565271BF" w14:textId="77777777" w:rsidR="00B2786E" w:rsidRDefault="00B2786E" w:rsidP="00B2786E">
      <w:r>
        <w:t>ASK IF DON’T KNOW OR REFUSED (CODE 2 OR 3) AT A8</w:t>
      </w:r>
    </w:p>
    <w:p w14:paraId="33E29D74" w14:textId="77777777" w:rsidR="00B2786E" w:rsidRDefault="00B2786E" w:rsidP="00B2786E">
      <w:proofErr w:type="gramStart"/>
      <w:r w:rsidRPr="006F30CC">
        <w:rPr>
          <w:b/>
          <w:bCs/>
        </w:rPr>
        <w:t>A8b</w:t>
      </w:r>
      <w:proofErr w:type="gramEnd"/>
      <w:r w:rsidRPr="006F30CC">
        <w:rPr>
          <w:b/>
          <w:bCs/>
        </w:rPr>
        <w:tab/>
        <w:t>Would you say it was?</w:t>
      </w:r>
      <w:r>
        <w:t xml:space="preserve"> PROMPT FROM BANDS. SINGLE CODE ONLY</w:t>
      </w:r>
    </w:p>
    <w:p w14:paraId="17BF48A7" w14:textId="77777777" w:rsidR="00B2786E" w:rsidRDefault="00B2786E" w:rsidP="00B2786E">
      <w:pPr>
        <w:pStyle w:val="BodyText"/>
        <w:rPr>
          <w:rFonts w:cs="Times New Roman"/>
          <w:color w:val="1D1D1B"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6531"/>
        <w:gridCol w:w="1134"/>
      </w:tblGrid>
      <w:tr w:rsidR="00B2786E" w14:paraId="7B4A066F"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hideMark/>
          </w:tcPr>
          <w:p w14:paraId="2052FC85" w14:textId="77777777" w:rsidR="00B2786E" w:rsidRDefault="00B2786E">
            <w:pPr>
              <w:pStyle w:val="responsecodes"/>
              <w:tabs>
                <w:tab w:val="left" w:pos="0"/>
                <w:tab w:val="left" w:leader="dot" w:pos="8280"/>
              </w:tabs>
              <w:spacing w:before="60" w:after="60" w:line="256" w:lineRule="auto"/>
              <w:ind w:left="0"/>
              <w:rPr>
                <w:b/>
                <w:bCs w:val="0"/>
                <w:color w:val="1D1D1B" w:themeColor="text1"/>
                <w:sz w:val="20"/>
                <w:szCs w:val="20"/>
              </w:rPr>
            </w:pPr>
            <w:r>
              <w:rPr>
                <w:b/>
                <w:bCs w:val="0"/>
                <w:color w:val="1D1D1B" w:themeColor="text1"/>
                <w:sz w:val="20"/>
                <w:szCs w:val="20"/>
              </w:rPr>
              <w:t>Less than £5,000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AE4998" w14:textId="77777777" w:rsidR="00B2786E" w:rsidRDefault="00B2786E">
            <w:pPr>
              <w:jc w:val="center"/>
              <w:rPr>
                <w:rFonts w:cs="Arial"/>
                <w:color w:val="1D1D1B" w:themeColor="text1"/>
              </w:rPr>
            </w:pPr>
            <w:r>
              <w:rPr>
                <w:rFonts w:cs="Arial"/>
                <w:color w:val="1D1D1B" w:themeColor="text1"/>
              </w:rPr>
              <w:t>1</w:t>
            </w:r>
          </w:p>
        </w:tc>
      </w:tr>
      <w:tr w:rsidR="00B2786E" w14:paraId="4EEC7C53"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hideMark/>
          </w:tcPr>
          <w:p w14:paraId="61E5D5B2" w14:textId="77777777" w:rsidR="00B2786E" w:rsidRDefault="00B2786E">
            <w:pPr>
              <w:pStyle w:val="responsecodes"/>
              <w:tabs>
                <w:tab w:val="left" w:pos="0"/>
                <w:tab w:val="left" w:leader="dot" w:pos="8280"/>
              </w:tabs>
              <w:spacing w:before="60" w:after="60" w:line="256" w:lineRule="auto"/>
              <w:ind w:left="0"/>
              <w:rPr>
                <w:b/>
                <w:bCs w:val="0"/>
                <w:color w:val="1D1D1B" w:themeColor="text1"/>
                <w:sz w:val="20"/>
                <w:szCs w:val="20"/>
              </w:rPr>
            </w:pPr>
            <w:r>
              <w:rPr>
                <w:b/>
                <w:bCs w:val="0"/>
                <w:color w:val="1D1D1B" w:themeColor="text1"/>
                <w:sz w:val="20"/>
                <w:szCs w:val="20"/>
              </w:rPr>
              <w:t>£5,000 to £9,999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43F3CB" w14:textId="77777777" w:rsidR="00B2786E" w:rsidRDefault="00B2786E">
            <w:pPr>
              <w:jc w:val="center"/>
              <w:rPr>
                <w:rFonts w:cs="Arial"/>
                <w:color w:val="1D1D1B" w:themeColor="text1"/>
              </w:rPr>
            </w:pPr>
            <w:r>
              <w:rPr>
                <w:rFonts w:cs="Arial"/>
                <w:color w:val="1D1D1B" w:themeColor="text1"/>
              </w:rPr>
              <w:t>2</w:t>
            </w:r>
          </w:p>
        </w:tc>
      </w:tr>
      <w:tr w:rsidR="00B2786E" w14:paraId="4A932E87"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hideMark/>
          </w:tcPr>
          <w:p w14:paraId="616A643A" w14:textId="77777777" w:rsidR="00B2786E" w:rsidRDefault="00B2786E">
            <w:pPr>
              <w:pStyle w:val="responsecodes"/>
              <w:tabs>
                <w:tab w:val="left" w:pos="0"/>
                <w:tab w:val="left" w:leader="dot" w:pos="8280"/>
              </w:tabs>
              <w:spacing w:before="60" w:after="60" w:line="256" w:lineRule="auto"/>
              <w:ind w:left="0"/>
              <w:rPr>
                <w:b/>
                <w:bCs w:val="0"/>
                <w:color w:val="1D1D1B" w:themeColor="text1"/>
                <w:sz w:val="20"/>
                <w:szCs w:val="20"/>
              </w:rPr>
            </w:pPr>
            <w:r>
              <w:rPr>
                <w:b/>
                <w:bCs w:val="0"/>
                <w:color w:val="1D1D1B" w:themeColor="text1"/>
                <w:sz w:val="20"/>
                <w:szCs w:val="20"/>
              </w:rPr>
              <w:t>£10,000 to £24,999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93EA60" w14:textId="77777777" w:rsidR="00B2786E" w:rsidRDefault="00B2786E">
            <w:pPr>
              <w:jc w:val="center"/>
              <w:rPr>
                <w:rFonts w:cs="Arial"/>
                <w:color w:val="1D1D1B" w:themeColor="text1"/>
              </w:rPr>
            </w:pPr>
            <w:r>
              <w:rPr>
                <w:rFonts w:cs="Arial"/>
                <w:color w:val="1D1D1B" w:themeColor="text1"/>
              </w:rPr>
              <w:t>3</w:t>
            </w:r>
          </w:p>
        </w:tc>
      </w:tr>
      <w:tr w:rsidR="00B2786E" w14:paraId="507DC160"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hideMark/>
          </w:tcPr>
          <w:p w14:paraId="0B6CE017" w14:textId="77777777" w:rsidR="00B2786E" w:rsidRDefault="00B2786E">
            <w:pPr>
              <w:pStyle w:val="responsecodes"/>
              <w:tabs>
                <w:tab w:val="left" w:pos="0"/>
                <w:tab w:val="left" w:leader="dot" w:pos="8280"/>
              </w:tabs>
              <w:spacing w:before="60" w:after="60" w:line="256" w:lineRule="auto"/>
              <w:ind w:left="0"/>
              <w:rPr>
                <w:b/>
                <w:color w:val="1D1D1B" w:themeColor="text1"/>
                <w:sz w:val="20"/>
                <w:szCs w:val="20"/>
              </w:rPr>
            </w:pPr>
            <w:r>
              <w:rPr>
                <w:b/>
                <w:color w:val="1D1D1B" w:themeColor="text1"/>
                <w:sz w:val="20"/>
                <w:szCs w:val="20"/>
              </w:rPr>
              <w:t>£25,000 to £49,999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DD8D2C" w14:textId="77777777" w:rsidR="00B2786E" w:rsidRDefault="00B2786E">
            <w:pPr>
              <w:jc w:val="center"/>
              <w:rPr>
                <w:rFonts w:cs="Arial"/>
                <w:color w:val="1D1D1B" w:themeColor="text1"/>
              </w:rPr>
            </w:pPr>
            <w:r>
              <w:rPr>
                <w:rFonts w:cs="Arial"/>
                <w:color w:val="1D1D1B" w:themeColor="text1"/>
              </w:rPr>
              <w:t>4</w:t>
            </w:r>
          </w:p>
        </w:tc>
      </w:tr>
      <w:tr w:rsidR="00B2786E" w14:paraId="26B9B6C1"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hideMark/>
          </w:tcPr>
          <w:p w14:paraId="03706B67" w14:textId="77777777" w:rsidR="00B2786E" w:rsidRDefault="00B2786E">
            <w:pPr>
              <w:pStyle w:val="responsecodes"/>
              <w:tabs>
                <w:tab w:val="left" w:pos="0"/>
                <w:tab w:val="left" w:leader="dot" w:pos="8280"/>
              </w:tabs>
              <w:spacing w:before="60" w:after="60" w:line="256" w:lineRule="auto"/>
              <w:ind w:left="0"/>
              <w:rPr>
                <w:b/>
                <w:bCs w:val="0"/>
                <w:iCs/>
                <w:color w:val="1D1D1B" w:themeColor="text1"/>
                <w:sz w:val="20"/>
                <w:szCs w:val="20"/>
              </w:rPr>
            </w:pPr>
            <w:r>
              <w:rPr>
                <w:b/>
                <w:bCs w:val="0"/>
                <w:iCs/>
                <w:color w:val="1D1D1B" w:themeColor="text1"/>
                <w:sz w:val="20"/>
                <w:szCs w:val="20"/>
              </w:rPr>
              <w:t>£50,000 to £99,999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D4F4A3" w14:textId="77777777" w:rsidR="00B2786E" w:rsidRDefault="00B2786E">
            <w:pPr>
              <w:jc w:val="center"/>
              <w:rPr>
                <w:rFonts w:cs="Arial"/>
                <w:color w:val="1D1D1B" w:themeColor="text1"/>
              </w:rPr>
            </w:pPr>
            <w:r>
              <w:rPr>
                <w:rFonts w:cs="Arial"/>
                <w:color w:val="1D1D1B" w:themeColor="text1"/>
              </w:rPr>
              <w:t>5</w:t>
            </w:r>
          </w:p>
        </w:tc>
      </w:tr>
      <w:tr w:rsidR="00B2786E" w14:paraId="3DE91558"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3DA4E407" w14:textId="77777777" w:rsidR="00B2786E" w:rsidRDefault="00B2786E">
            <w:pPr>
              <w:pStyle w:val="responsecodes"/>
              <w:tabs>
                <w:tab w:val="left" w:pos="0"/>
                <w:tab w:val="left" w:leader="dot" w:pos="8280"/>
              </w:tabs>
              <w:spacing w:before="60" w:after="60" w:line="256" w:lineRule="auto"/>
              <w:ind w:left="0"/>
              <w:rPr>
                <w:b/>
                <w:bCs w:val="0"/>
                <w:color w:val="1D1D1B" w:themeColor="text1"/>
                <w:sz w:val="20"/>
                <w:szCs w:val="20"/>
              </w:rPr>
            </w:pPr>
            <w:r>
              <w:rPr>
                <w:b/>
                <w:bCs w:val="0"/>
                <w:color w:val="1D1D1B" w:themeColor="text1"/>
                <w:sz w:val="20"/>
                <w:szCs w:val="20"/>
              </w:rPr>
              <w:t>£100,000 to £499,999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CCB92E" w14:textId="77777777" w:rsidR="00B2786E" w:rsidRDefault="00B2786E">
            <w:pPr>
              <w:jc w:val="center"/>
              <w:rPr>
                <w:rFonts w:cs="Arial"/>
                <w:color w:val="1D1D1B" w:themeColor="text1"/>
              </w:rPr>
            </w:pPr>
            <w:r>
              <w:rPr>
                <w:rFonts w:cs="Arial"/>
                <w:color w:val="1D1D1B" w:themeColor="text1"/>
              </w:rPr>
              <w:t>6</w:t>
            </w:r>
          </w:p>
        </w:tc>
      </w:tr>
      <w:tr w:rsidR="00B2786E" w14:paraId="0F354496"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31E49FB8" w14:textId="77777777" w:rsidR="00B2786E" w:rsidRDefault="00B2786E">
            <w:pPr>
              <w:rPr>
                <w:rFonts w:cs="Arial"/>
                <w:b/>
                <w:color w:val="1D1D1B" w:themeColor="text1"/>
              </w:rPr>
            </w:pPr>
            <w:r>
              <w:rPr>
                <w:rFonts w:cs="Arial"/>
                <w:b/>
                <w:color w:val="1D1D1B" w:themeColor="text1"/>
              </w:rPr>
              <w:t>£500,000 to £999,999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D02C03" w14:textId="77777777" w:rsidR="00B2786E" w:rsidRDefault="00B2786E">
            <w:pPr>
              <w:jc w:val="center"/>
              <w:rPr>
                <w:rFonts w:cs="Arial"/>
                <w:color w:val="1D1D1B" w:themeColor="text1"/>
              </w:rPr>
            </w:pPr>
            <w:r>
              <w:rPr>
                <w:rFonts w:cs="Arial"/>
                <w:color w:val="1D1D1B" w:themeColor="text1"/>
              </w:rPr>
              <w:t>7</w:t>
            </w:r>
          </w:p>
        </w:tc>
      </w:tr>
      <w:tr w:rsidR="00B2786E" w14:paraId="48116C7D"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0994EBA3" w14:textId="77777777" w:rsidR="00B2786E" w:rsidRDefault="00B2786E">
            <w:pPr>
              <w:rPr>
                <w:rFonts w:cs="Arial"/>
                <w:b/>
                <w:color w:val="1D1D1B" w:themeColor="text1"/>
              </w:rPr>
            </w:pPr>
            <w:r>
              <w:rPr>
                <w:rFonts w:cs="Arial"/>
                <w:b/>
                <w:color w:val="1D1D1B" w:themeColor="text1"/>
              </w:rPr>
              <w:lastRenderedPageBreak/>
              <w:t>£1 million to less than £5 million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208815" w14:textId="77777777" w:rsidR="00B2786E" w:rsidRDefault="00B2786E">
            <w:pPr>
              <w:jc w:val="center"/>
              <w:rPr>
                <w:rFonts w:cs="Arial"/>
                <w:color w:val="1D1D1B" w:themeColor="text1"/>
              </w:rPr>
            </w:pPr>
            <w:r>
              <w:rPr>
                <w:rFonts w:cs="Arial"/>
                <w:color w:val="1D1D1B" w:themeColor="text1"/>
              </w:rPr>
              <w:t>8</w:t>
            </w:r>
          </w:p>
        </w:tc>
      </w:tr>
      <w:tr w:rsidR="00B2786E" w14:paraId="1C3AFE88"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5F7BCF99" w14:textId="77777777" w:rsidR="00B2786E" w:rsidRDefault="00B2786E">
            <w:pPr>
              <w:rPr>
                <w:rFonts w:cs="Arial"/>
                <w:b/>
                <w:color w:val="1D1D1B" w:themeColor="text1"/>
              </w:rPr>
            </w:pPr>
            <w:r>
              <w:rPr>
                <w:rFonts w:cs="Arial"/>
                <w:b/>
                <w:color w:val="1D1D1B" w:themeColor="text1"/>
              </w:rPr>
              <w:t>£5 million to less than £10 million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D818C5" w14:textId="77777777" w:rsidR="00B2786E" w:rsidRDefault="00B2786E">
            <w:pPr>
              <w:jc w:val="center"/>
              <w:rPr>
                <w:rFonts w:cs="Arial"/>
                <w:color w:val="1D1D1B" w:themeColor="text1"/>
              </w:rPr>
            </w:pPr>
            <w:r>
              <w:rPr>
                <w:rFonts w:cs="Arial"/>
                <w:color w:val="1D1D1B" w:themeColor="text1"/>
              </w:rPr>
              <w:t>9</w:t>
            </w:r>
          </w:p>
        </w:tc>
      </w:tr>
      <w:tr w:rsidR="00B2786E" w14:paraId="715DED4F"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1E436D64" w14:textId="77777777" w:rsidR="00B2786E" w:rsidRDefault="00B2786E">
            <w:pPr>
              <w:rPr>
                <w:rFonts w:cs="Arial"/>
                <w:b/>
                <w:color w:val="1D1D1B" w:themeColor="text1"/>
              </w:rPr>
            </w:pPr>
            <w:r>
              <w:rPr>
                <w:rFonts w:cs="Arial"/>
                <w:b/>
                <w:color w:val="1D1D1B" w:themeColor="text1"/>
              </w:rPr>
              <w:t>£10 million to less than £25 million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C861D5" w14:textId="77777777" w:rsidR="00B2786E" w:rsidRDefault="00B2786E">
            <w:pPr>
              <w:jc w:val="center"/>
              <w:rPr>
                <w:rFonts w:cs="Arial"/>
                <w:color w:val="1D1D1B" w:themeColor="text1"/>
              </w:rPr>
            </w:pPr>
            <w:r>
              <w:rPr>
                <w:rFonts w:cs="Arial"/>
                <w:color w:val="1D1D1B" w:themeColor="text1"/>
              </w:rPr>
              <w:t>10</w:t>
            </w:r>
          </w:p>
        </w:tc>
      </w:tr>
      <w:tr w:rsidR="00B2786E" w14:paraId="5ABE7DFE"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3B65F419" w14:textId="77777777" w:rsidR="00B2786E" w:rsidRDefault="00B2786E">
            <w:pPr>
              <w:rPr>
                <w:rFonts w:cs="Arial"/>
                <w:b/>
                <w:color w:val="1D1D1B" w:themeColor="text1"/>
              </w:rPr>
            </w:pPr>
            <w:r>
              <w:rPr>
                <w:rFonts w:cs="Arial"/>
                <w:b/>
                <w:color w:val="1D1D1B" w:themeColor="text1"/>
              </w:rPr>
              <w:t>£25 million to less than £50 million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523B6C" w14:textId="77777777" w:rsidR="00B2786E" w:rsidRDefault="00B2786E">
            <w:pPr>
              <w:jc w:val="center"/>
              <w:rPr>
                <w:rFonts w:cs="Arial"/>
                <w:color w:val="1D1D1B" w:themeColor="text1"/>
              </w:rPr>
            </w:pPr>
            <w:r>
              <w:rPr>
                <w:rFonts w:cs="Arial"/>
                <w:color w:val="1D1D1B" w:themeColor="text1"/>
              </w:rPr>
              <w:t>11</w:t>
            </w:r>
          </w:p>
        </w:tc>
      </w:tr>
      <w:tr w:rsidR="00B2786E" w14:paraId="49EA2BFD"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58F4585B" w14:textId="77777777" w:rsidR="00B2786E" w:rsidRDefault="00B2786E">
            <w:pPr>
              <w:rPr>
                <w:rFonts w:cs="Arial"/>
                <w:b/>
                <w:color w:val="1D1D1B" w:themeColor="text1"/>
              </w:rPr>
            </w:pPr>
            <w:r>
              <w:rPr>
                <w:rFonts w:cs="Arial"/>
                <w:b/>
                <w:color w:val="1D1D1B" w:themeColor="text1"/>
              </w:rPr>
              <w:t>£50 million to less than £100 million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EE8828" w14:textId="77777777" w:rsidR="00B2786E" w:rsidRDefault="00B2786E">
            <w:pPr>
              <w:jc w:val="center"/>
              <w:rPr>
                <w:rFonts w:cs="Arial"/>
                <w:color w:val="1D1D1B" w:themeColor="text1"/>
              </w:rPr>
            </w:pPr>
            <w:r>
              <w:rPr>
                <w:rFonts w:cs="Arial"/>
                <w:color w:val="1D1D1B" w:themeColor="text1"/>
              </w:rPr>
              <w:t>12</w:t>
            </w:r>
          </w:p>
        </w:tc>
      </w:tr>
      <w:tr w:rsidR="00B2786E" w14:paraId="4B427E4E"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37A6715C" w14:textId="77777777" w:rsidR="00B2786E" w:rsidRDefault="00B2786E">
            <w:pPr>
              <w:rPr>
                <w:rFonts w:cs="Arial"/>
                <w:b/>
                <w:color w:val="1D1D1B" w:themeColor="text1"/>
              </w:rPr>
            </w:pPr>
            <w:r>
              <w:rPr>
                <w:rFonts w:cs="Arial"/>
                <w:b/>
                <w:color w:val="1D1D1B" w:themeColor="text1"/>
              </w:rPr>
              <w:t>£100 million to less than £200 million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57B835" w14:textId="77777777" w:rsidR="00B2786E" w:rsidRDefault="00B2786E">
            <w:pPr>
              <w:jc w:val="center"/>
              <w:rPr>
                <w:rFonts w:cs="Arial"/>
                <w:color w:val="1D1D1B" w:themeColor="text1"/>
              </w:rPr>
            </w:pPr>
            <w:r>
              <w:rPr>
                <w:rFonts w:cs="Arial"/>
                <w:color w:val="1D1D1B" w:themeColor="text1"/>
              </w:rPr>
              <w:t>13</w:t>
            </w:r>
          </w:p>
        </w:tc>
      </w:tr>
      <w:tr w:rsidR="00B2786E" w14:paraId="174F5783"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50F440E4" w14:textId="77777777" w:rsidR="00B2786E" w:rsidRDefault="00B2786E">
            <w:pPr>
              <w:rPr>
                <w:rFonts w:cs="Arial"/>
                <w:b/>
                <w:color w:val="1D1D1B" w:themeColor="text1"/>
              </w:rPr>
            </w:pPr>
            <w:r>
              <w:rPr>
                <w:rFonts w:cs="Arial"/>
                <w:b/>
                <w:color w:val="1D1D1B" w:themeColor="text1"/>
              </w:rPr>
              <w:t>£200 million or more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6A3A67" w14:textId="77777777" w:rsidR="00B2786E" w:rsidRDefault="00B2786E">
            <w:pPr>
              <w:jc w:val="center"/>
              <w:rPr>
                <w:rFonts w:cs="Arial"/>
                <w:color w:val="1D1D1B" w:themeColor="text1"/>
              </w:rPr>
            </w:pPr>
            <w:r>
              <w:rPr>
                <w:rFonts w:cs="Arial"/>
                <w:color w:val="1D1D1B" w:themeColor="text1"/>
              </w:rPr>
              <w:t>14</w:t>
            </w:r>
          </w:p>
        </w:tc>
      </w:tr>
      <w:tr w:rsidR="00B2786E" w14:paraId="7483E9BF"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59DD0B1D" w14:textId="77777777" w:rsidR="00B2786E" w:rsidRDefault="00B2786E">
            <w:pPr>
              <w:rPr>
                <w:rFonts w:cs="Arial"/>
                <w:b/>
                <w:color w:val="1D1D1B" w:themeColor="text1"/>
              </w:rPr>
            </w:pPr>
            <w:r>
              <w:rPr>
                <w:rFonts w:cs="Arial"/>
                <w:color w:val="1D1D1B" w:themeColor="text1"/>
              </w:rPr>
              <w:t>Don’t know</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003F2A" w14:textId="77777777" w:rsidR="00B2786E" w:rsidRDefault="00B2786E">
            <w:pPr>
              <w:jc w:val="center"/>
              <w:rPr>
                <w:rFonts w:cs="Arial"/>
                <w:color w:val="1D1D1B" w:themeColor="text1"/>
              </w:rPr>
            </w:pPr>
            <w:r>
              <w:rPr>
                <w:rFonts w:cs="Arial"/>
                <w:color w:val="1D1D1B" w:themeColor="text1"/>
              </w:rPr>
              <w:t>98</w:t>
            </w:r>
          </w:p>
        </w:tc>
      </w:tr>
      <w:tr w:rsidR="00B2786E" w14:paraId="63F7E9D6" w14:textId="77777777">
        <w:trPr>
          <w:cantSplit/>
          <w:trHeight w:val="320"/>
        </w:trPr>
        <w:tc>
          <w:tcPr>
            <w:tcW w:w="6531" w:type="dxa"/>
            <w:tcBorders>
              <w:top w:val="single" w:sz="4" w:space="0" w:color="auto"/>
              <w:left w:val="single" w:sz="4" w:space="0" w:color="auto"/>
              <w:bottom w:val="single" w:sz="4" w:space="0" w:color="auto"/>
              <w:right w:val="single" w:sz="4" w:space="0" w:color="auto"/>
            </w:tcBorders>
            <w:vAlign w:val="center"/>
            <w:hideMark/>
          </w:tcPr>
          <w:p w14:paraId="03AB4D23" w14:textId="77777777" w:rsidR="00B2786E" w:rsidRDefault="00B2786E">
            <w:pPr>
              <w:rPr>
                <w:rFonts w:cs="Arial"/>
                <w:b/>
                <w:color w:val="1D1D1B" w:themeColor="text1"/>
              </w:rPr>
            </w:pPr>
            <w:r>
              <w:rPr>
                <w:rFonts w:cs="Arial"/>
                <w:color w:val="1D1D1B" w:themeColor="text1"/>
              </w:rPr>
              <w:t>Refused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BAD7DC" w14:textId="77777777" w:rsidR="00B2786E" w:rsidRDefault="00B2786E">
            <w:pPr>
              <w:jc w:val="center"/>
              <w:rPr>
                <w:rFonts w:cs="Arial"/>
                <w:color w:val="1D1D1B" w:themeColor="text1"/>
              </w:rPr>
            </w:pPr>
            <w:r>
              <w:rPr>
                <w:rFonts w:cs="Arial"/>
                <w:color w:val="1D1D1B" w:themeColor="text1"/>
              </w:rPr>
              <w:t>99</w:t>
            </w:r>
          </w:p>
        </w:tc>
      </w:tr>
      <w:bookmarkEnd w:id="235"/>
    </w:tbl>
    <w:p w14:paraId="38D2AB8E" w14:textId="77777777" w:rsidR="00B2786E" w:rsidRDefault="00B2786E" w:rsidP="00B2786E">
      <w:pPr>
        <w:rPr>
          <w:rFonts w:cs="Arial"/>
          <w:color w:val="1D1D1B" w:themeColor="text1"/>
          <w:sz w:val="22"/>
        </w:rPr>
      </w:pPr>
    </w:p>
    <w:p w14:paraId="050C473F" w14:textId="77777777" w:rsidR="00B2786E" w:rsidRDefault="00B2786E" w:rsidP="00B2786E">
      <w:pPr>
        <w:rPr>
          <w:rFonts w:cs="Arial"/>
          <w:color w:val="FF0000"/>
        </w:rPr>
      </w:pPr>
      <w:r>
        <w:rPr>
          <w:rFonts w:cs="Arial"/>
          <w:bCs/>
          <w:color w:val="FF0000"/>
          <w:lang w:eastAsia="en-GB"/>
        </w:rPr>
        <w:t xml:space="preserve">SHOW ALL </w:t>
      </w:r>
      <w:r>
        <w:rPr>
          <w:rFonts w:cs="Arial"/>
          <w:color w:val="FF0000"/>
        </w:rPr>
        <w:t xml:space="preserve">LOAN </w:t>
      </w:r>
      <w:r>
        <w:rPr>
          <w:rFonts w:cs="Arial"/>
          <w:bCs/>
          <w:color w:val="FF0000"/>
        </w:rPr>
        <w:t xml:space="preserve">RECIPIENTS </w:t>
      </w:r>
      <w:bookmarkStart w:id="236" w:name="_Hlk77781216"/>
      <w:r>
        <w:rPr>
          <w:rFonts w:cs="Arial"/>
          <w:color w:val="FF0000"/>
        </w:rPr>
        <w:t>FRESHNEW</w:t>
      </w:r>
      <w:bookmarkEnd w:id="236"/>
    </w:p>
    <w:p w14:paraId="4315FB80" w14:textId="77777777" w:rsidR="00B2786E" w:rsidRDefault="00B2786E" w:rsidP="00B2786E">
      <w:pPr>
        <w:rPr>
          <w:b/>
          <w:bCs/>
          <w:lang w:eastAsia="en-GB"/>
        </w:rPr>
      </w:pPr>
      <w:r>
        <w:rPr>
          <w:rFonts w:cs="Arial"/>
          <w:b/>
          <w:bCs/>
          <w:lang w:eastAsia="en-GB"/>
        </w:rPr>
        <w:t xml:space="preserve">CATI: I now want to ask you about the external finance you </w:t>
      </w:r>
      <w:r>
        <w:rPr>
          <w:rFonts w:cs="Arial"/>
          <w:b/>
          <w:color w:val="1D1D1B" w:themeColor="text1"/>
        </w:rPr>
        <w:t xml:space="preserve">obtained </w:t>
      </w:r>
      <w:r>
        <w:rPr>
          <w:rFonts w:cs="Arial"/>
          <w:b/>
          <w:bCs/>
          <w:lang w:eastAsia="en-GB"/>
        </w:rPr>
        <w:t xml:space="preserve">through the </w:t>
      </w:r>
      <w:r>
        <w:rPr>
          <w:rFonts w:cs="Arial"/>
          <w:color w:val="FF0000"/>
        </w:rPr>
        <w:t>[INSERT FROM SAMPLEFRESHNEW</w:t>
      </w:r>
      <w:r>
        <w:rPr>
          <w:color w:val="FF0000"/>
        </w:rPr>
        <w:t xml:space="preserve">: </w:t>
      </w:r>
      <w:r>
        <w:rPr>
          <w:b/>
          <w:iCs/>
        </w:rPr>
        <w:t>Bounce Back Loan Scheme/Coronavirus Business Interruption Loan Scheme/Coronavirus Large Business Interruption Loan Scheme</w:t>
      </w:r>
      <w:r>
        <w:rPr>
          <w:iCs/>
        </w:rPr>
        <w:t>]</w:t>
      </w:r>
      <w:r>
        <w:rPr>
          <w:b/>
          <w:bCs/>
          <w:lang w:eastAsia="en-GB"/>
        </w:rPr>
        <w:t xml:space="preserve">. </w:t>
      </w:r>
    </w:p>
    <w:p w14:paraId="3D5E3F82" w14:textId="77777777" w:rsidR="00B2786E" w:rsidRDefault="00B2786E" w:rsidP="00B2786E">
      <w:pPr>
        <w:rPr>
          <w:lang w:eastAsia="en-GB"/>
        </w:rPr>
      </w:pPr>
      <w:r>
        <w:rPr>
          <w:b/>
          <w:bCs/>
          <w:lang w:eastAsia="en-GB"/>
        </w:rPr>
        <w:t xml:space="preserve">WEB: </w:t>
      </w:r>
      <w:r>
        <w:rPr>
          <w:rFonts w:cs="Arial"/>
          <w:b/>
          <w:bCs/>
          <w:lang w:eastAsia="en-GB"/>
        </w:rPr>
        <w:t xml:space="preserve">You will now be asked about the external finance you </w:t>
      </w:r>
      <w:r>
        <w:rPr>
          <w:rFonts w:cs="Arial"/>
          <w:b/>
          <w:color w:val="1D1D1B" w:themeColor="text1"/>
        </w:rPr>
        <w:t xml:space="preserve">obtained </w:t>
      </w:r>
      <w:r>
        <w:rPr>
          <w:rFonts w:cs="Arial"/>
          <w:b/>
          <w:bCs/>
          <w:lang w:eastAsia="en-GB"/>
        </w:rPr>
        <w:t xml:space="preserve">through the </w:t>
      </w:r>
      <w:r>
        <w:rPr>
          <w:rFonts w:cs="Arial"/>
          <w:color w:val="FF0000"/>
        </w:rPr>
        <w:t>[INSERT FROM SAMPLEFRESHNEW</w:t>
      </w:r>
      <w:r>
        <w:rPr>
          <w:color w:val="FF0000"/>
        </w:rPr>
        <w:t xml:space="preserve">: </w:t>
      </w:r>
      <w:r>
        <w:rPr>
          <w:b/>
          <w:iCs/>
        </w:rPr>
        <w:t>Bounce Back Loan Scheme/Coronavirus Business Interruption Loan Scheme/Coronavirus Large Business Interruption Loan Scheme</w:t>
      </w:r>
      <w:r>
        <w:rPr>
          <w:iCs/>
        </w:rPr>
        <w:t>]</w:t>
      </w:r>
      <w:r>
        <w:rPr>
          <w:b/>
          <w:bCs/>
          <w:lang w:eastAsia="en-GB"/>
        </w:rPr>
        <w:t>.</w:t>
      </w:r>
    </w:p>
    <w:p w14:paraId="63B7282E" w14:textId="77777777" w:rsidR="00B2786E" w:rsidRDefault="00B2786E" w:rsidP="00B2786E">
      <w:pPr>
        <w:pStyle w:val="qtextc"/>
        <w:tabs>
          <w:tab w:val="left" w:pos="0"/>
        </w:tabs>
        <w:ind w:left="0" w:firstLine="0"/>
        <w:rPr>
          <w:b/>
          <w:bCs/>
          <w:lang w:eastAsia="en-GB"/>
        </w:rPr>
      </w:pPr>
    </w:p>
    <w:p w14:paraId="048D5145" w14:textId="77777777" w:rsidR="00B2786E" w:rsidRDefault="00B2786E" w:rsidP="00B2786E">
      <w:pPr>
        <w:rPr>
          <w:rFonts w:cs="Arial"/>
        </w:rPr>
      </w:pPr>
      <w:r>
        <w:rPr>
          <w:rFonts w:cs="Arial"/>
          <w:bCs/>
          <w:color w:val="FF0000"/>
          <w:lang w:eastAsia="en-GB"/>
        </w:rPr>
        <w:t xml:space="preserve">ASK ALL </w:t>
      </w:r>
      <w:r>
        <w:rPr>
          <w:rFonts w:cs="Arial"/>
          <w:color w:val="FF0000"/>
        </w:rPr>
        <w:t>FRESHNEW</w:t>
      </w:r>
    </w:p>
    <w:p w14:paraId="3C736E67" w14:textId="77777777" w:rsidR="00B2786E" w:rsidRDefault="00B2786E" w:rsidP="00B2786E">
      <w:pPr>
        <w:rPr>
          <w:rFonts w:cs="Arial"/>
          <w:color w:val="F06603" w:themeColor="accent6"/>
        </w:rPr>
      </w:pPr>
      <w:r>
        <w:rPr>
          <w:rFonts w:cs="Arial"/>
          <w:b/>
          <w:bCs/>
        </w:rPr>
        <w:t xml:space="preserve">A18 </w:t>
      </w:r>
      <w:r>
        <w:rPr>
          <w:rFonts w:cs="Arial"/>
          <w:b/>
        </w:rPr>
        <w:t>How did your business use the external finance obtained from the</w:t>
      </w:r>
      <w:r>
        <w:rPr>
          <w:rFonts w:cs="Arial"/>
        </w:rPr>
        <w:t xml:space="preserve"> </w:t>
      </w:r>
      <w:r>
        <w:rPr>
          <w:rFonts w:cs="Arial"/>
          <w:color w:val="FF0000"/>
        </w:rPr>
        <w:t xml:space="preserve">[INSERT FROM SAMPLE: </w:t>
      </w:r>
      <w:r>
        <w:rPr>
          <w:rFonts w:cs="Arial"/>
          <w:b/>
          <w:bCs/>
          <w:iCs/>
        </w:rPr>
        <w:t>Bounce Back Loan Scheme/Coronavirus Business Interruption Loan Scheme/Coronavirus Large Business Interruption Loan Scheme]</w:t>
      </w:r>
      <w:r>
        <w:rPr>
          <w:rFonts w:cs="Arial"/>
        </w:rPr>
        <w:t xml:space="preserve">?  </w:t>
      </w:r>
      <w:r>
        <w:rPr>
          <w:rFonts w:cs="Arial"/>
          <w:color w:val="FF0000"/>
        </w:rPr>
        <w:t xml:space="preserve">ROTATE A TO L MULTICODE OK. </w:t>
      </w:r>
    </w:p>
    <w:p w14:paraId="335F30F2" w14:textId="77777777" w:rsidR="00B2786E" w:rsidRDefault="00B2786E" w:rsidP="00B2786E">
      <w:pPr>
        <w:rPr>
          <w:rFonts w:cs="Arial"/>
          <w:color w:val="FF0000"/>
        </w:rPr>
      </w:pPr>
    </w:p>
    <w:p w14:paraId="65E59159" w14:textId="77777777" w:rsidR="00B2786E" w:rsidRDefault="00B2786E" w:rsidP="00B2786E">
      <w:pPr>
        <w:rPr>
          <w:rFonts w:cs="Arial"/>
          <w:color w:val="FF0000"/>
        </w:rPr>
      </w:pPr>
      <w:r>
        <w:rPr>
          <w:rFonts w:cs="Arial"/>
          <w:color w:val="FF0000"/>
        </w:rPr>
        <w:lastRenderedPageBreak/>
        <w:t xml:space="preserve">ASK ALL WHO SELECT MORE THAN ONE (CODE 1 TO 13) AT A18 AA or A18_BB. If One code at A18 then </w:t>
      </w:r>
      <w:proofErr w:type="spellStart"/>
      <w:r>
        <w:rPr>
          <w:rFonts w:cs="Arial"/>
          <w:color w:val="FF0000"/>
        </w:rPr>
        <w:t>autopunch</w:t>
      </w:r>
      <w:proofErr w:type="spellEnd"/>
      <w:r>
        <w:rPr>
          <w:rFonts w:cs="Arial"/>
          <w:color w:val="FF0000"/>
        </w:rPr>
        <w:t xml:space="preserve"> A19</w:t>
      </w:r>
    </w:p>
    <w:p w14:paraId="3305F094" w14:textId="77777777" w:rsidR="00B2786E" w:rsidRDefault="00B2786E" w:rsidP="00B2786E">
      <w:pPr>
        <w:rPr>
          <w:rFonts w:cs="Arial"/>
          <w:color w:val="FF0000"/>
        </w:rPr>
      </w:pPr>
      <w:r>
        <w:rPr>
          <w:rFonts w:cs="Arial"/>
          <w:b/>
          <w:bCs/>
        </w:rPr>
        <w:t>A19</w:t>
      </w:r>
      <w:r>
        <w:rPr>
          <w:rFonts w:cs="Arial"/>
        </w:rPr>
        <w:t xml:space="preserve"> </w:t>
      </w:r>
      <w:r>
        <w:rPr>
          <w:rFonts w:cs="Arial"/>
          <w:b/>
        </w:rPr>
        <w:t>Which was the main use of the finance?</w:t>
      </w:r>
      <w:r>
        <w:rPr>
          <w:rFonts w:cs="Arial"/>
        </w:rPr>
        <w:t xml:space="preserve">  </w:t>
      </w:r>
      <w:r>
        <w:rPr>
          <w:rFonts w:cs="Arial"/>
          <w:color w:val="FF0000"/>
        </w:rPr>
        <w:t xml:space="preserve">ONLY SHOW THOSE SELECTED AT A19. </w:t>
      </w:r>
    </w:p>
    <w:p w14:paraId="05EB312A" w14:textId="77777777" w:rsidR="00B2786E" w:rsidRDefault="00B2786E" w:rsidP="00B2786E">
      <w:pPr>
        <w:rPr>
          <w:rFonts w:cs="Arial"/>
        </w:rPr>
      </w:pPr>
      <w:r>
        <w:rPr>
          <w:rFonts w:cs="Arial"/>
          <w:color w:val="FF0000"/>
        </w:rPr>
        <w:t xml:space="preserve">SINGLE CODE ONLY. ROTATE 1-12. FOR ONLINE, SHOW AS YES/NO QUESTION </w:t>
      </w:r>
      <w:r>
        <w:rPr>
          <w:rFonts w:cs="Arial"/>
          <w:color w:val="F06603" w:themeColor="accent6"/>
        </w:rPr>
        <w:t>PROMPT IF NECESSARY.</w:t>
      </w:r>
    </w:p>
    <w:p w14:paraId="2AC9D21B" w14:textId="77777777" w:rsidR="00B2786E" w:rsidRDefault="00B2786E" w:rsidP="00B2786E">
      <w:pPr>
        <w:rPr>
          <w:rFonts w:cs="Arial"/>
          <w:color w:val="FF0000"/>
        </w:rPr>
      </w:pPr>
    </w:p>
    <w:p w14:paraId="1B8E11FB" w14:textId="77777777" w:rsidR="00B2786E" w:rsidRDefault="00B2786E" w:rsidP="00B2786E">
      <w:pPr>
        <w:rPr>
          <w:rFonts w:cs="Arial"/>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
        <w:gridCol w:w="8294"/>
        <w:gridCol w:w="958"/>
      </w:tblGrid>
      <w:tr w:rsidR="00B2786E" w14:paraId="6B87D919" w14:textId="77777777">
        <w:tc>
          <w:tcPr>
            <w:tcW w:w="394" w:type="pct"/>
            <w:tcBorders>
              <w:top w:val="single" w:sz="4" w:space="0" w:color="auto"/>
              <w:left w:val="single" w:sz="4" w:space="0" w:color="auto"/>
              <w:bottom w:val="single" w:sz="4" w:space="0" w:color="auto"/>
              <w:right w:val="single" w:sz="4" w:space="0" w:color="auto"/>
            </w:tcBorders>
            <w:hideMark/>
          </w:tcPr>
          <w:p w14:paraId="34547831" w14:textId="77777777" w:rsidR="00B2786E" w:rsidRDefault="00B2786E">
            <w:pPr>
              <w:pStyle w:val="resptext"/>
              <w:tabs>
                <w:tab w:val="left" w:pos="720"/>
              </w:tabs>
              <w:spacing w:before="60" w:line="256" w:lineRule="auto"/>
              <w:ind w:left="0"/>
            </w:pPr>
            <w:r>
              <w:t>A</w:t>
            </w:r>
          </w:p>
        </w:tc>
        <w:tc>
          <w:tcPr>
            <w:tcW w:w="4129" w:type="pct"/>
            <w:tcBorders>
              <w:top w:val="single" w:sz="4" w:space="0" w:color="auto"/>
              <w:left w:val="single" w:sz="4" w:space="0" w:color="auto"/>
              <w:bottom w:val="single" w:sz="4" w:space="0" w:color="auto"/>
              <w:right w:val="single" w:sz="4" w:space="0" w:color="auto"/>
            </w:tcBorders>
            <w:hideMark/>
          </w:tcPr>
          <w:p w14:paraId="2793B782" w14:textId="77777777" w:rsidR="00B2786E" w:rsidRDefault="00B2786E">
            <w:pPr>
              <w:pStyle w:val="resptext"/>
              <w:tabs>
                <w:tab w:val="left" w:pos="720"/>
              </w:tabs>
              <w:spacing w:before="60" w:line="256" w:lineRule="auto"/>
              <w:ind w:left="0"/>
            </w:pPr>
            <w:r>
              <w:rPr>
                <w:bCs/>
                <w:color w:val="1D1D1B" w:themeColor="text1"/>
              </w:rPr>
              <w:t>Pay staff salaries</w:t>
            </w:r>
          </w:p>
        </w:tc>
        <w:tc>
          <w:tcPr>
            <w:tcW w:w="477" w:type="pct"/>
            <w:tcBorders>
              <w:top w:val="single" w:sz="4" w:space="0" w:color="auto"/>
              <w:left w:val="single" w:sz="4" w:space="0" w:color="auto"/>
              <w:bottom w:val="single" w:sz="4" w:space="0" w:color="auto"/>
              <w:right w:val="single" w:sz="4" w:space="0" w:color="auto"/>
            </w:tcBorders>
            <w:hideMark/>
          </w:tcPr>
          <w:p w14:paraId="68F3C98B" w14:textId="77777777" w:rsidR="00B2786E" w:rsidRDefault="00B2786E">
            <w:pPr>
              <w:pStyle w:val="resptext"/>
              <w:tabs>
                <w:tab w:val="left" w:pos="720"/>
              </w:tabs>
              <w:spacing w:before="60" w:line="256" w:lineRule="auto"/>
              <w:ind w:left="0"/>
              <w:jc w:val="center"/>
            </w:pPr>
            <w:r>
              <w:t>1</w:t>
            </w:r>
          </w:p>
        </w:tc>
      </w:tr>
      <w:tr w:rsidR="00B2786E" w14:paraId="123A27AB" w14:textId="77777777">
        <w:tc>
          <w:tcPr>
            <w:tcW w:w="394" w:type="pct"/>
            <w:tcBorders>
              <w:top w:val="single" w:sz="4" w:space="0" w:color="auto"/>
              <w:left w:val="single" w:sz="4" w:space="0" w:color="auto"/>
              <w:bottom w:val="single" w:sz="4" w:space="0" w:color="auto"/>
              <w:right w:val="single" w:sz="4" w:space="0" w:color="auto"/>
            </w:tcBorders>
          </w:tcPr>
          <w:p w14:paraId="55A07ABC" w14:textId="77777777" w:rsidR="00B2786E" w:rsidRDefault="00B2786E">
            <w:pPr>
              <w:pStyle w:val="resptext"/>
              <w:tabs>
                <w:tab w:val="left" w:pos="720"/>
              </w:tabs>
              <w:spacing w:before="60" w:line="256" w:lineRule="auto"/>
              <w:ind w:left="0"/>
            </w:pPr>
          </w:p>
        </w:tc>
        <w:tc>
          <w:tcPr>
            <w:tcW w:w="4129" w:type="pct"/>
            <w:tcBorders>
              <w:top w:val="single" w:sz="4" w:space="0" w:color="auto"/>
              <w:left w:val="single" w:sz="4" w:space="0" w:color="auto"/>
              <w:bottom w:val="single" w:sz="4" w:space="0" w:color="auto"/>
              <w:right w:val="single" w:sz="4" w:space="0" w:color="auto"/>
            </w:tcBorders>
          </w:tcPr>
          <w:p w14:paraId="08915272" w14:textId="77777777" w:rsidR="00B2786E" w:rsidRDefault="00B2786E">
            <w:pPr>
              <w:pStyle w:val="resptext"/>
              <w:tabs>
                <w:tab w:val="left" w:pos="720"/>
              </w:tabs>
              <w:spacing w:before="60" w:line="256" w:lineRule="auto"/>
              <w:ind w:left="0"/>
            </w:pPr>
          </w:p>
        </w:tc>
        <w:tc>
          <w:tcPr>
            <w:tcW w:w="477" w:type="pct"/>
            <w:tcBorders>
              <w:top w:val="single" w:sz="4" w:space="0" w:color="auto"/>
              <w:left w:val="single" w:sz="4" w:space="0" w:color="auto"/>
              <w:bottom w:val="single" w:sz="4" w:space="0" w:color="auto"/>
              <w:right w:val="single" w:sz="4" w:space="0" w:color="auto"/>
            </w:tcBorders>
          </w:tcPr>
          <w:p w14:paraId="4A149237" w14:textId="77777777" w:rsidR="00B2786E" w:rsidRDefault="00B2786E">
            <w:pPr>
              <w:pStyle w:val="resptext"/>
              <w:tabs>
                <w:tab w:val="left" w:pos="720"/>
              </w:tabs>
              <w:spacing w:before="60" w:line="256" w:lineRule="auto"/>
              <w:ind w:left="0"/>
              <w:jc w:val="center"/>
            </w:pPr>
          </w:p>
        </w:tc>
      </w:tr>
      <w:tr w:rsidR="00B2786E" w14:paraId="3DA70813" w14:textId="77777777">
        <w:tc>
          <w:tcPr>
            <w:tcW w:w="394" w:type="pct"/>
            <w:tcBorders>
              <w:top w:val="single" w:sz="4" w:space="0" w:color="auto"/>
              <w:left w:val="single" w:sz="4" w:space="0" w:color="auto"/>
              <w:bottom w:val="single" w:sz="4" w:space="0" w:color="auto"/>
              <w:right w:val="single" w:sz="4" w:space="0" w:color="auto"/>
            </w:tcBorders>
          </w:tcPr>
          <w:p w14:paraId="5C107CDF" w14:textId="77777777" w:rsidR="00B2786E" w:rsidRDefault="00B2786E">
            <w:pPr>
              <w:pStyle w:val="resptext"/>
              <w:tabs>
                <w:tab w:val="left" w:pos="720"/>
              </w:tabs>
              <w:spacing w:before="60" w:line="256" w:lineRule="auto"/>
              <w:ind w:left="0"/>
            </w:pPr>
          </w:p>
        </w:tc>
        <w:tc>
          <w:tcPr>
            <w:tcW w:w="4129" w:type="pct"/>
            <w:tcBorders>
              <w:top w:val="single" w:sz="4" w:space="0" w:color="auto"/>
              <w:left w:val="single" w:sz="4" w:space="0" w:color="auto"/>
              <w:bottom w:val="single" w:sz="4" w:space="0" w:color="auto"/>
              <w:right w:val="single" w:sz="4" w:space="0" w:color="auto"/>
            </w:tcBorders>
          </w:tcPr>
          <w:p w14:paraId="7F93683A" w14:textId="77777777" w:rsidR="00B2786E" w:rsidRDefault="00B2786E">
            <w:pPr>
              <w:pStyle w:val="resptext"/>
              <w:tabs>
                <w:tab w:val="left" w:pos="720"/>
              </w:tabs>
              <w:spacing w:before="60" w:line="256" w:lineRule="auto"/>
              <w:ind w:left="0"/>
            </w:pPr>
          </w:p>
        </w:tc>
        <w:tc>
          <w:tcPr>
            <w:tcW w:w="477" w:type="pct"/>
            <w:tcBorders>
              <w:top w:val="single" w:sz="4" w:space="0" w:color="auto"/>
              <w:left w:val="single" w:sz="4" w:space="0" w:color="auto"/>
              <w:bottom w:val="single" w:sz="4" w:space="0" w:color="auto"/>
              <w:right w:val="single" w:sz="4" w:space="0" w:color="auto"/>
            </w:tcBorders>
          </w:tcPr>
          <w:p w14:paraId="55126484" w14:textId="77777777" w:rsidR="00B2786E" w:rsidRDefault="00B2786E">
            <w:pPr>
              <w:pStyle w:val="resptext"/>
              <w:tabs>
                <w:tab w:val="left" w:pos="720"/>
              </w:tabs>
              <w:spacing w:before="60" w:line="256" w:lineRule="auto"/>
              <w:ind w:left="0"/>
              <w:jc w:val="center"/>
            </w:pPr>
          </w:p>
        </w:tc>
      </w:tr>
      <w:tr w:rsidR="00B2786E" w14:paraId="1AB4EC77" w14:textId="77777777">
        <w:tc>
          <w:tcPr>
            <w:tcW w:w="394" w:type="pct"/>
            <w:tcBorders>
              <w:top w:val="single" w:sz="4" w:space="0" w:color="auto"/>
              <w:left w:val="single" w:sz="4" w:space="0" w:color="auto"/>
              <w:bottom w:val="single" w:sz="4" w:space="0" w:color="auto"/>
              <w:right w:val="single" w:sz="4" w:space="0" w:color="auto"/>
            </w:tcBorders>
            <w:hideMark/>
          </w:tcPr>
          <w:p w14:paraId="4BED9EDD" w14:textId="77777777" w:rsidR="00B2786E" w:rsidRDefault="00B2786E">
            <w:pPr>
              <w:pStyle w:val="resptext"/>
              <w:tabs>
                <w:tab w:val="left" w:pos="720"/>
              </w:tabs>
              <w:spacing w:before="60" w:line="256" w:lineRule="auto"/>
              <w:ind w:left="0"/>
            </w:pPr>
            <w:r>
              <w:t>D</w:t>
            </w:r>
          </w:p>
        </w:tc>
        <w:tc>
          <w:tcPr>
            <w:tcW w:w="4129" w:type="pct"/>
            <w:tcBorders>
              <w:top w:val="single" w:sz="4" w:space="0" w:color="auto"/>
              <w:left w:val="single" w:sz="4" w:space="0" w:color="auto"/>
              <w:bottom w:val="single" w:sz="4" w:space="0" w:color="auto"/>
              <w:right w:val="single" w:sz="4" w:space="0" w:color="auto"/>
            </w:tcBorders>
            <w:hideMark/>
          </w:tcPr>
          <w:p w14:paraId="75F45594" w14:textId="77777777" w:rsidR="00B2786E" w:rsidRDefault="00B2786E">
            <w:pPr>
              <w:pStyle w:val="resptext"/>
              <w:tabs>
                <w:tab w:val="left" w:pos="720"/>
              </w:tabs>
              <w:spacing w:before="60" w:line="256" w:lineRule="auto"/>
              <w:ind w:left="0"/>
              <w:rPr>
                <w:bCs/>
                <w:color w:val="1D1D1B" w:themeColor="text1"/>
              </w:rPr>
            </w:pPr>
            <w:r>
              <w:rPr>
                <w:color w:val="1D1D1B" w:themeColor="text1"/>
              </w:rPr>
              <w:t>Working capital/cash flow/day to day costs/expenses</w:t>
            </w:r>
          </w:p>
        </w:tc>
        <w:tc>
          <w:tcPr>
            <w:tcW w:w="477" w:type="pct"/>
            <w:tcBorders>
              <w:top w:val="single" w:sz="4" w:space="0" w:color="auto"/>
              <w:left w:val="single" w:sz="4" w:space="0" w:color="auto"/>
              <w:bottom w:val="single" w:sz="4" w:space="0" w:color="auto"/>
              <w:right w:val="single" w:sz="4" w:space="0" w:color="auto"/>
            </w:tcBorders>
            <w:hideMark/>
          </w:tcPr>
          <w:p w14:paraId="3984120A" w14:textId="77777777" w:rsidR="00B2786E" w:rsidRDefault="00B2786E">
            <w:pPr>
              <w:pStyle w:val="resptext"/>
              <w:tabs>
                <w:tab w:val="left" w:pos="720"/>
              </w:tabs>
              <w:spacing w:before="60" w:line="256" w:lineRule="auto"/>
              <w:ind w:left="0"/>
              <w:jc w:val="center"/>
            </w:pPr>
            <w:r>
              <w:t>3</w:t>
            </w:r>
          </w:p>
        </w:tc>
      </w:tr>
      <w:tr w:rsidR="00B2786E" w14:paraId="548CA7C3" w14:textId="77777777">
        <w:tc>
          <w:tcPr>
            <w:tcW w:w="394" w:type="pct"/>
            <w:tcBorders>
              <w:top w:val="single" w:sz="4" w:space="0" w:color="auto"/>
              <w:left w:val="single" w:sz="4" w:space="0" w:color="auto"/>
              <w:bottom w:val="single" w:sz="4" w:space="0" w:color="auto"/>
              <w:right w:val="single" w:sz="4" w:space="0" w:color="auto"/>
            </w:tcBorders>
            <w:hideMark/>
          </w:tcPr>
          <w:p w14:paraId="29E05B1D" w14:textId="77777777" w:rsidR="00B2786E" w:rsidRDefault="00B2786E">
            <w:pPr>
              <w:pStyle w:val="resptext"/>
              <w:tabs>
                <w:tab w:val="left" w:pos="720"/>
              </w:tabs>
              <w:spacing w:before="60" w:line="256" w:lineRule="auto"/>
              <w:ind w:left="0"/>
            </w:pPr>
            <w:r>
              <w:t>E</w:t>
            </w:r>
          </w:p>
        </w:tc>
        <w:tc>
          <w:tcPr>
            <w:tcW w:w="4129" w:type="pct"/>
            <w:tcBorders>
              <w:top w:val="single" w:sz="4" w:space="0" w:color="auto"/>
              <w:left w:val="single" w:sz="4" w:space="0" w:color="auto"/>
              <w:bottom w:val="single" w:sz="4" w:space="0" w:color="auto"/>
              <w:right w:val="single" w:sz="4" w:space="0" w:color="auto"/>
            </w:tcBorders>
            <w:hideMark/>
          </w:tcPr>
          <w:p w14:paraId="1F141EC2" w14:textId="77777777" w:rsidR="00B2786E" w:rsidRDefault="00B2786E">
            <w:pPr>
              <w:pStyle w:val="resptext"/>
              <w:tabs>
                <w:tab w:val="left" w:pos="720"/>
              </w:tabs>
              <w:spacing w:before="60" w:line="256" w:lineRule="auto"/>
              <w:ind w:left="0"/>
            </w:pPr>
            <w:r>
              <w:rPr>
                <w:bCs/>
                <w:color w:val="1D1D1B" w:themeColor="text1"/>
              </w:rPr>
              <w:t xml:space="preserve">Change business model, </w:t>
            </w:r>
            <w:proofErr w:type="gramStart"/>
            <w:r>
              <w:rPr>
                <w:bCs/>
                <w:color w:val="1D1D1B" w:themeColor="text1"/>
              </w:rPr>
              <w:t>e.g.</w:t>
            </w:r>
            <w:proofErr w:type="gramEnd"/>
            <w:r>
              <w:rPr>
                <w:bCs/>
                <w:color w:val="1D1D1B" w:themeColor="text1"/>
              </w:rPr>
              <w:t xml:space="preserve"> moving to online service provision</w:t>
            </w:r>
          </w:p>
        </w:tc>
        <w:tc>
          <w:tcPr>
            <w:tcW w:w="477" w:type="pct"/>
            <w:tcBorders>
              <w:top w:val="single" w:sz="4" w:space="0" w:color="auto"/>
              <w:left w:val="single" w:sz="4" w:space="0" w:color="auto"/>
              <w:bottom w:val="single" w:sz="4" w:space="0" w:color="auto"/>
              <w:right w:val="single" w:sz="4" w:space="0" w:color="auto"/>
            </w:tcBorders>
            <w:hideMark/>
          </w:tcPr>
          <w:p w14:paraId="61ECCD4B" w14:textId="77777777" w:rsidR="00B2786E" w:rsidRDefault="00B2786E">
            <w:pPr>
              <w:pStyle w:val="resptext"/>
              <w:tabs>
                <w:tab w:val="left" w:pos="720"/>
              </w:tabs>
              <w:spacing w:before="60" w:line="256" w:lineRule="auto"/>
              <w:ind w:left="0"/>
              <w:jc w:val="center"/>
            </w:pPr>
            <w:r>
              <w:t>4</w:t>
            </w:r>
          </w:p>
        </w:tc>
      </w:tr>
      <w:tr w:rsidR="00B2786E" w14:paraId="0158A344" w14:textId="77777777">
        <w:tc>
          <w:tcPr>
            <w:tcW w:w="394" w:type="pct"/>
            <w:tcBorders>
              <w:top w:val="single" w:sz="4" w:space="0" w:color="auto"/>
              <w:left w:val="single" w:sz="4" w:space="0" w:color="auto"/>
              <w:bottom w:val="single" w:sz="4" w:space="0" w:color="auto"/>
              <w:right w:val="single" w:sz="4" w:space="0" w:color="auto"/>
            </w:tcBorders>
            <w:hideMark/>
          </w:tcPr>
          <w:p w14:paraId="330CC4CC" w14:textId="77777777" w:rsidR="00B2786E" w:rsidRDefault="00B2786E">
            <w:pPr>
              <w:pStyle w:val="resptext"/>
              <w:tabs>
                <w:tab w:val="left" w:pos="720"/>
              </w:tabs>
              <w:spacing w:before="60" w:line="256" w:lineRule="auto"/>
              <w:ind w:left="0"/>
            </w:pPr>
            <w:r>
              <w:t>F</w:t>
            </w:r>
          </w:p>
        </w:tc>
        <w:tc>
          <w:tcPr>
            <w:tcW w:w="4129" w:type="pct"/>
            <w:tcBorders>
              <w:top w:val="single" w:sz="4" w:space="0" w:color="auto"/>
              <w:left w:val="single" w:sz="4" w:space="0" w:color="auto"/>
              <w:bottom w:val="single" w:sz="4" w:space="0" w:color="auto"/>
              <w:right w:val="single" w:sz="4" w:space="0" w:color="auto"/>
            </w:tcBorders>
            <w:hideMark/>
          </w:tcPr>
          <w:p w14:paraId="0BE6A19A"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 xml:space="preserve">Introduce new or different goods and services </w:t>
            </w:r>
            <w:proofErr w:type="gramStart"/>
            <w:r>
              <w:rPr>
                <w:bCs/>
                <w:color w:val="1D1D1B" w:themeColor="text1"/>
              </w:rPr>
              <w:t>as a result of</w:t>
            </w:r>
            <w:proofErr w:type="gramEnd"/>
            <w:r>
              <w:rPr>
                <w:bCs/>
                <w:color w:val="1D1D1B" w:themeColor="text1"/>
              </w:rPr>
              <w:t xml:space="preserve"> new demand created by the </w:t>
            </w:r>
            <w:r>
              <w:t xml:space="preserve">Covid-19 </w:t>
            </w:r>
            <w:r>
              <w:rPr>
                <w:bCs/>
                <w:color w:val="1D1D1B" w:themeColor="text1"/>
              </w:rPr>
              <w:t>pandemic</w:t>
            </w:r>
          </w:p>
        </w:tc>
        <w:tc>
          <w:tcPr>
            <w:tcW w:w="477" w:type="pct"/>
            <w:tcBorders>
              <w:top w:val="single" w:sz="4" w:space="0" w:color="auto"/>
              <w:left w:val="single" w:sz="4" w:space="0" w:color="auto"/>
              <w:bottom w:val="single" w:sz="4" w:space="0" w:color="auto"/>
              <w:right w:val="single" w:sz="4" w:space="0" w:color="auto"/>
            </w:tcBorders>
            <w:hideMark/>
          </w:tcPr>
          <w:p w14:paraId="29D23C1B" w14:textId="77777777" w:rsidR="00B2786E" w:rsidRDefault="00B2786E">
            <w:pPr>
              <w:pStyle w:val="resptext"/>
              <w:tabs>
                <w:tab w:val="left" w:pos="720"/>
              </w:tabs>
              <w:spacing w:before="60" w:line="256" w:lineRule="auto"/>
              <w:ind w:left="0"/>
              <w:jc w:val="center"/>
            </w:pPr>
            <w:r>
              <w:t>5</w:t>
            </w:r>
          </w:p>
        </w:tc>
      </w:tr>
      <w:tr w:rsidR="00B2786E" w14:paraId="0A0D66AA" w14:textId="77777777">
        <w:tc>
          <w:tcPr>
            <w:tcW w:w="394" w:type="pct"/>
            <w:tcBorders>
              <w:top w:val="single" w:sz="4" w:space="0" w:color="auto"/>
              <w:left w:val="single" w:sz="4" w:space="0" w:color="auto"/>
              <w:bottom w:val="single" w:sz="4" w:space="0" w:color="auto"/>
              <w:right w:val="single" w:sz="4" w:space="0" w:color="auto"/>
            </w:tcBorders>
            <w:hideMark/>
          </w:tcPr>
          <w:p w14:paraId="407C17CF" w14:textId="77777777" w:rsidR="00B2786E" w:rsidRDefault="00B2786E">
            <w:pPr>
              <w:pStyle w:val="resptext"/>
              <w:tabs>
                <w:tab w:val="left" w:pos="720"/>
              </w:tabs>
              <w:spacing w:before="60" w:line="256" w:lineRule="auto"/>
              <w:ind w:left="0"/>
            </w:pPr>
            <w:r>
              <w:t>G</w:t>
            </w:r>
          </w:p>
        </w:tc>
        <w:tc>
          <w:tcPr>
            <w:tcW w:w="4129" w:type="pct"/>
            <w:tcBorders>
              <w:top w:val="single" w:sz="4" w:space="0" w:color="auto"/>
              <w:left w:val="single" w:sz="4" w:space="0" w:color="auto"/>
              <w:bottom w:val="single" w:sz="4" w:space="0" w:color="auto"/>
              <w:right w:val="single" w:sz="4" w:space="0" w:color="auto"/>
            </w:tcBorders>
            <w:hideMark/>
          </w:tcPr>
          <w:p w14:paraId="73AA2B33"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Invest in digital capability, such as digital platforms or communications, or to develop new products or services</w:t>
            </w:r>
          </w:p>
        </w:tc>
        <w:tc>
          <w:tcPr>
            <w:tcW w:w="477" w:type="pct"/>
            <w:tcBorders>
              <w:top w:val="single" w:sz="4" w:space="0" w:color="auto"/>
              <w:left w:val="single" w:sz="4" w:space="0" w:color="auto"/>
              <w:bottom w:val="single" w:sz="4" w:space="0" w:color="auto"/>
              <w:right w:val="single" w:sz="4" w:space="0" w:color="auto"/>
            </w:tcBorders>
            <w:hideMark/>
          </w:tcPr>
          <w:p w14:paraId="62484860" w14:textId="77777777" w:rsidR="00B2786E" w:rsidRDefault="00B2786E">
            <w:pPr>
              <w:pStyle w:val="resptext"/>
              <w:tabs>
                <w:tab w:val="left" w:pos="720"/>
              </w:tabs>
              <w:spacing w:before="60" w:line="256" w:lineRule="auto"/>
              <w:ind w:left="0"/>
              <w:jc w:val="center"/>
            </w:pPr>
            <w:r>
              <w:t>6</w:t>
            </w:r>
          </w:p>
        </w:tc>
      </w:tr>
      <w:tr w:rsidR="00B2786E" w14:paraId="7F7F08B1" w14:textId="77777777">
        <w:tc>
          <w:tcPr>
            <w:tcW w:w="394" w:type="pct"/>
            <w:tcBorders>
              <w:top w:val="single" w:sz="4" w:space="0" w:color="auto"/>
              <w:left w:val="single" w:sz="4" w:space="0" w:color="auto"/>
              <w:bottom w:val="single" w:sz="4" w:space="0" w:color="auto"/>
              <w:right w:val="single" w:sz="4" w:space="0" w:color="auto"/>
            </w:tcBorders>
            <w:hideMark/>
          </w:tcPr>
          <w:p w14:paraId="3F284ECA" w14:textId="77777777" w:rsidR="00B2786E" w:rsidRDefault="00B2786E">
            <w:pPr>
              <w:pStyle w:val="resptext"/>
              <w:tabs>
                <w:tab w:val="left" w:pos="720"/>
              </w:tabs>
              <w:spacing w:before="60" w:line="256" w:lineRule="auto"/>
              <w:ind w:left="0"/>
            </w:pPr>
            <w:r>
              <w:t>H</w:t>
            </w:r>
          </w:p>
        </w:tc>
        <w:tc>
          <w:tcPr>
            <w:tcW w:w="4129" w:type="pct"/>
            <w:tcBorders>
              <w:top w:val="single" w:sz="4" w:space="0" w:color="auto"/>
              <w:left w:val="single" w:sz="4" w:space="0" w:color="auto"/>
              <w:bottom w:val="single" w:sz="4" w:space="0" w:color="auto"/>
              <w:right w:val="single" w:sz="4" w:space="0" w:color="auto"/>
            </w:tcBorders>
            <w:hideMark/>
          </w:tcPr>
          <w:p w14:paraId="08637CB8" w14:textId="77777777" w:rsidR="00B2786E" w:rsidRDefault="00B2786E">
            <w:pPr>
              <w:pStyle w:val="resptext"/>
              <w:tabs>
                <w:tab w:val="left" w:pos="720"/>
              </w:tabs>
              <w:spacing w:before="60" w:line="256" w:lineRule="auto"/>
              <w:ind w:left="0"/>
            </w:pPr>
            <w:r>
              <w:rPr>
                <w:bCs/>
                <w:color w:val="1D1D1B" w:themeColor="text1"/>
              </w:rPr>
              <w:t>Other adjustments to working practices (</w:t>
            </w:r>
            <w:proofErr w:type="gramStart"/>
            <w:r>
              <w:rPr>
                <w:bCs/>
                <w:color w:val="1D1D1B" w:themeColor="text1"/>
              </w:rPr>
              <w:t>e.g.</w:t>
            </w:r>
            <w:proofErr w:type="gramEnd"/>
            <w:r>
              <w:rPr>
                <w:bCs/>
                <w:color w:val="1D1D1B" w:themeColor="text1"/>
              </w:rPr>
              <w:t xml:space="preserve"> ensure workplace is </w:t>
            </w:r>
            <w:r>
              <w:rPr>
                <w:color w:val="1D1D1B" w:themeColor="text1"/>
              </w:rPr>
              <w:t>Covid-19</w:t>
            </w:r>
            <w:r>
              <w:rPr>
                <w:b/>
                <w:bCs/>
                <w:color w:val="1D1D1B" w:themeColor="text1"/>
              </w:rPr>
              <w:t xml:space="preserve"> </w:t>
            </w:r>
            <w:r>
              <w:rPr>
                <w:bCs/>
                <w:color w:val="1D1D1B" w:themeColor="text1"/>
              </w:rPr>
              <w:t>safe)</w:t>
            </w:r>
          </w:p>
        </w:tc>
        <w:tc>
          <w:tcPr>
            <w:tcW w:w="477" w:type="pct"/>
            <w:tcBorders>
              <w:top w:val="single" w:sz="4" w:space="0" w:color="auto"/>
              <w:left w:val="single" w:sz="4" w:space="0" w:color="auto"/>
              <w:bottom w:val="single" w:sz="4" w:space="0" w:color="auto"/>
              <w:right w:val="single" w:sz="4" w:space="0" w:color="auto"/>
            </w:tcBorders>
            <w:hideMark/>
          </w:tcPr>
          <w:p w14:paraId="6BB45072" w14:textId="77777777" w:rsidR="00B2786E" w:rsidRDefault="00B2786E">
            <w:pPr>
              <w:pStyle w:val="resptext"/>
              <w:tabs>
                <w:tab w:val="left" w:pos="720"/>
              </w:tabs>
              <w:spacing w:before="60" w:line="256" w:lineRule="auto"/>
              <w:ind w:left="0"/>
              <w:jc w:val="center"/>
            </w:pPr>
            <w:r>
              <w:t>7</w:t>
            </w:r>
          </w:p>
        </w:tc>
      </w:tr>
      <w:tr w:rsidR="00B2786E" w14:paraId="2512945A" w14:textId="77777777">
        <w:tc>
          <w:tcPr>
            <w:tcW w:w="394" w:type="pct"/>
            <w:tcBorders>
              <w:top w:val="single" w:sz="4" w:space="0" w:color="auto"/>
              <w:left w:val="single" w:sz="4" w:space="0" w:color="auto"/>
              <w:bottom w:val="single" w:sz="4" w:space="0" w:color="auto"/>
              <w:right w:val="single" w:sz="4" w:space="0" w:color="auto"/>
            </w:tcBorders>
            <w:hideMark/>
          </w:tcPr>
          <w:p w14:paraId="477D6211" w14:textId="77777777" w:rsidR="00B2786E" w:rsidRDefault="00B2786E">
            <w:pPr>
              <w:pStyle w:val="resptext"/>
              <w:tabs>
                <w:tab w:val="left" w:pos="720"/>
              </w:tabs>
              <w:spacing w:before="60" w:line="256" w:lineRule="auto"/>
              <w:ind w:left="0"/>
            </w:pPr>
            <w:r>
              <w:t>I</w:t>
            </w:r>
          </w:p>
        </w:tc>
        <w:tc>
          <w:tcPr>
            <w:tcW w:w="4129" w:type="pct"/>
            <w:tcBorders>
              <w:top w:val="single" w:sz="4" w:space="0" w:color="auto"/>
              <w:left w:val="single" w:sz="4" w:space="0" w:color="auto"/>
              <w:bottom w:val="single" w:sz="4" w:space="0" w:color="auto"/>
              <w:right w:val="single" w:sz="4" w:space="0" w:color="auto"/>
            </w:tcBorders>
            <w:hideMark/>
          </w:tcPr>
          <w:p w14:paraId="3027F214" w14:textId="77777777" w:rsidR="00B2786E" w:rsidRDefault="00B2786E">
            <w:pPr>
              <w:pStyle w:val="resptext"/>
              <w:tabs>
                <w:tab w:val="left" w:pos="720"/>
              </w:tabs>
              <w:spacing w:before="60" w:line="256" w:lineRule="auto"/>
              <w:ind w:left="0"/>
            </w:pPr>
            <w:r>
              <w:rPr>
                <w:bCs/>
                <w:color w:val="1D1D1B" w:themeColor="text1"/>
              </w:rPr>
              <w:t xml:space="preserve">Provide financial security and/or headroom, </w:t>
            </w:r>
            <w:proofErr w:type="gramStart"/>
            <w:r>
              <w:rPr>
                <w:bCs/>
                <w:color w:val="1D1D1B" w:themeColor="text1"/>
              </w:rPr>
              <w:t>e.g.</w:t>
            </w:r>
            <w:proofErr w:type="gramEnd"/>
            <w:r>
              <w:rPr>
                <w:bCs/>
                <w:color w:val="1D1D1B" w:themeColor="text1"/>
              </w:rPr>
              <w:t xml:space="preserve"> in case more funds are needed</w:t>
            </w:r>
          </w:p>
        </w:tc>
        <w:tc>
          <w:tcPr>
            <w:tcW w:w="477" w:type="pct"/>
            <w:tcBorders>
              <w:top w:val="single" w:sz="4" w:space="0" w:color="auto"/>
              <w:left w:val="single" w:sz="4" w:space="0" w:color="auto"/>
              <w:bottom w:val="single" w:sz="4" w:space="0" w:color="auto"/>
              <w:right w:val="single" w:sz="4" w:space="0" w:color="auto"/>
            </w:tcBorders>
            <w:hideMark/>
          </w:tcPr>
          <w:p w14:paraId="077EC32F" w14:textId="77777777" w:rsidR="00B2786E" w:rsidRDefault="00B2786E">
            <w:pPr>
              <w:pStyle w:val="resptext"/>
              <w:tabs>
                <w:tab w:val="left" w:pos="720"/>
              </w:tabs>
              <w:spacing w:before="60" w:line="256" w:lineRule="auto"/>
              <w:ind w:left="0"/>
              <w:jc w:val="center"/>
            </w:pPr>
            <w:r>
              <w:t>8</w:t>
            </w:r>
          </w:p>
        </w:tc>
      </w:tr>
      <w:tr w:rsidR="00B2786E" w14:paraId="24BEABE9" w14:textId="77777777">
        <w:tc>
          <w:tcPr>
            <w:tcW w:w="394" w:type="pct"/>
            <w:tcBorders>
              <w:top w:val="single" w:sz="4" w:space="0" w:color="auto"/>
              <w:left w:val="single" w:sz="4" w:space="0" w:color="auto"/>
              <w:bottom w:val="single" w:sz="4" w:space="0" w:color="auto"/>
              <w:right w:val="single" w:sz="4" w:space="0" w:color="auto"/>
            </w:tcBorders>
            <w:hideMark/>
          </w:tcPr>
          <w:p w14:paraId="54D215F6" w14:textId="77777777" w:rsidR="00B2786E" w:rsidRDefault="00B2786E">
            <w:pPr>
              <w:pStyle w:val="resptext"/>
              <w:tabs>
                <w:tab w:val="left" w:pos="720"/>
              </w:tabs>
              <w:spacing w:before="60" w:line="256" w:lineRule="auto"/>
              <w:ind w:left="0"/>
            </w:pPr>
            <w:r>
              <w:t>J</w:t>
            </w:r>
          </w:p>
        </w:tc>
        <w:tc>
          <w:tcPr>
            <w:tcW w:w="4129" w:type="pct"/>
            <w:tcBorders>
              <w:top w:val="single" w:sz="4" w:space="0" w:color="auto"/>
              <w:left w:val="single" w:sz="4" w:space="0" w:color="auto"/>
              <w:bottom w:val="single" w:sz="4" w:space="0" w:color="auto"/>
              <w:right w:val="single" w:sz="4" w:space="0" w:color="auto"/>
            </w:tcBorders>
            <w:hideMark/>
          </w:tcPr>
          <w:p w14:paraId="1AA17355" w14:textId="77777777" w:rsidR="00B2786E" w:rsidRDefault="00B2786E">
            <w:pPr>
              <w:pStyle w:val="resptext"/>
              <w:tabs>
                <w:tab w:val="left" w:pos="720"/>
              </w:tabs>
              <w:spacing w:before="60" w:line="256" w:lineRule="auto"/>
              <w:ind w:left="0"/>
            </w:pPr>
            <w:r>
              <w:rPr>
                <w:bCs/>
                <w:color w:val="1D1D1B" w:themeColor="text1"/>
              </w:rPr>
              <w:t>Make any debt repayments</w:t>
            </w:r>
          </w:p>
        </w:tc>
        <w:tc>
          <w:tcPr>
            <w:tcW w:w="477" w:type="pct"/>
            <w:tcBorders>
              <w:top w:val="single" w:sz="4" w:space="0" w:color="auto"/>
              <w:left w:val="single" w:sz="4" w:space="0" w:color="auto"/>
              <w:bottom w:val="single" w:sz="4" w:space="0" w:color="auto"/>
              <w:right w:val="single" w:sz="4" w:space="0" w:color="auto"/>
            </w:tcBorders>
            <w:hideMark/>
          </w:tcPr>
          <w:p w14:paraId="3ED24C1C" w14:textId="77777777" w:rsidR="00B2786E" w:rsidRDefault="00B2786E">
            <w:pPr>
              <w:pStyle w:val="resptext"/>
              <w:tabs>
                <w:tab w:val="left" w:pos="720"/>
              </w:tabs>
              <w:spacing w:before="60" w:line="256" w:lineRule="auto"/>
              <w:ind w:left="0"/>
              <w:jc w:val="center"/>
            </w:pPr>
            <w:r>
              <w:t>9</w:t>
            </w:r>
          </w:p>
        </w:tc>
      </w:tr>
      <w:tr w:rsidR="00B2786E" w14:paraId="78206D55" w14:textId="77777777">
        <w:tc>
          <w:tcPr>
            <w:tcW w:w="394" w:type="pct"/>
            <w:tcBorders>
              <w:top w:val="single" w:sz="4" w:space="0" w:color="auto"/>
              <w:left w:val="single" w:sz="4" w:space="0" w:color="auto"/>
              <w:bottom w:val="single" w:sz="4" w:space="0" w:color="auto"/>
              <w:right w:val="single" w:sz="4" w:space="0" w:color="auto"/>
            </w:tcBorders>
            <w:hideMark/>
          </w:tcPr>
          <w:p w14:paraId="41D5C609" w14:textId="77777777" w:rsidR="00B2786E" w:rsidRDefault="00B2786E">
            <w:pPr>
              <w:pStyle w:val="resptext"/>
              <w:tabs>
                <w:tab w:val="left" w:pos="720"/>
              </w:tabs>
              <w:spacing w:before="60" w:line="256" w:lineRule="auto"/>
              <w:ind w:left="0"/>
            </w:pPr>
            <w:r>
              <w:t>K</w:t>
            </w:r>
          </w:p>
        </w:tc>
        <w:tc>
          <w:tcPr>
            <w:tcW w:w="4129" w:type="pct"/>
            <w:tcBorders>
              <w:top w:val="single" w:sz="4" w:space="0" w:color="auto"/>
              <w:left w:val="single" w:sz="4" w:space="0" w:color="auto"/>
              <w:bottom w:val="single" w:sz="4" w:space="0" w:color="auto"/>
              <w:right w:val="single" w:sz="4" w:space="0" w:color="auto"/>
            </w:tcBorders>
            <w:hideMark/>
          </w:tcPr>
          <w:p w14:paraId="411B308B" w14:textId="77777777" w:rsidR="00B2786E" w:rsidRDefault="00B2786E">
            <w:pPr>
              <w:pStyle w:val="resptext"/>
              <w:tabs>
                <w:tab w:val="left" w:pos="720"/>
              </w:tabs>
              <w:spacing w:before="60" w:line="256" w:lineRule="auto"/>
              <w:ind w:left="0"/>
            </w:pPr>
            <w:r>
              <w:rPr>
                <w:bCs/>
                <w:color w:val="1D1D1B" w:themeColor="text1"/>
              </w:rPr>
              <w:t>Purchase of materials and/or goods</w:t>
            </w:r>
          </w:p>
        </w:tc>
        <w:tc>
          <w:tcPr>
            <w:tcW w:w="477" w:type="pct"/>
            <w:tcBorders>
              <w:top w:val="single" w:sz="4" w:space="0" w:color="auto"/>
              <w:left w:val="single" w:sz="4" w:space="0" w:color="auto"/>
              <w:bottom w:val="single" w:sz="4" w:space="0" w:color="auto"/>
              <w:right w:val="single" w:sz="4" w:space="0" w:color="auto"/>
            </w:tcBorders>
            <w:hideMark/>
          </w:tcPr>
          <w:p w14:paraId="4B222634" w14:textId="77777777" w:rsidR="00B2786E" w:rsidRDefault="00B2786E">
            <w:pPr>
              <w:pStyle w:val="resptext"/>
              <w:tabs>
                <w:tab w:val="left" w:pos="720"/>
              </w:tabs>
              <w:spacing w:before="60" w:line="256" w:lineRule="auto"/>
              <w:ind w:left="0"/>
              <w:jc w:val="center"/>
            </w:pPr>
            <w:r>
              <w:t>10</w:t>
            </w:r>
          </w:p>
        </w:tc>
      </w:tr>
      <w:tr w:rsidR="00B2786E" w14:paraId="7D2B7793" w14:textId="77777777">
        <w:tc>
          <w:tcPr>
            <w:tcW w:w="394" w:type="pct"/>
            <w:tcBorders>
              <w:top w:val="single" w:sz="4" w:space="0" w:color="auto"/>
              <w:left w:val="single" w:sz="4" w:space="0" w:color="auto"/>
              <w:bottom w:val="single" w:sz="4" w:space="0" w:color="auto"/>
              <w:right w:val="single" w:sz="4" w:space="0" w:color="auto"/>
            </w:tcBorders>
            <w:hideMark/>
          </w:tcPr>
          <w:p w14:paraId="0F0F4AEC" w14:textId="77777777" w:rsidR="00B2786E" w:rsidRDefault="00B2786E">
            <w:pPr>
              <w:pStyle w:val="resptext"/>
              <w:tabs>
                <w:tab w:val="left" w:pos="720"/>
              </w:tabs>
              <w:spacing w:before="60" w:line="256" w:lineRule="auto"/>
              <w:ind w:left="0"/>
            </w:pPr>
            <w:r>
              <w:t>L</w:t>
            </w:r>
          </w:p>
        </w:tc>
        <w:tc>
          <w:tcPr>
            <w:tcW w:w="4129" w:type="pct"/>
            <w:tcBorders>
              <w:top w:val="single" w:sz="4" w:space="0" w:color="auto"/>
              <w:left w:val="single" w:sz="4" w:space="0" w:color="auto"/>
              <w:bottom w:val="single" w:sz="4" w:space="0" w:color="auto"/>
              <w:right w:val="single" w:sz="4" w:space="0" w:color="auto"/>
            </w:tcBorders>
            <w:hideMark/>
          </w:tcPr>
          <w:p w14:paraId="58B9E8B8"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 xml:space="preserve">Consolidation of existing debt – </w:t>
            </w:r>
            <w:proofErr w:type="gramStart"/>
            <w:r>
              <w:rPr>
                <w:bCs/>
                <w:color w:val="1D1D1B" w:themeColor="text1"/>
              </w:rPr>
              <w:t>i.e.</w:t>
            </w:r>
            <w:proofErr w:type="gramEnd"/>
            <w:r>
              <w:rPr>
                <w:bCs/>
                <w:color w:val="1D1D1B" w:themeColor="text1"/>
              </w:rPr>
              <w:t xml:space="preserve"> bringing existing debts together into one new dent </w:t>
            </w:r>
          </w:p>
        </w:tc>
        <w:tc>
          <w:tcPr>
            <w:tcW w:w="477" w:type="pct"/>
            <w:tcBorders>
              <w:top w:val="single" w:sz="4" w:space="0" w:color="auto"/>
              <w:left w:val="single" w:sz="4" w:space="0" w:color="auto"/>
              <w:bottom w:val="single" w:sz="4" w:space="0" w:color="auto"/>
              <w:right w:val="single" w:sz="4" w:space="0" w:color="auto"/>
            </w:tcBorders>
            <w:hideMark/>
          </w:tcPr>
          <w:p w14:paraId="6F21C264" w14:textId="77777777" w:rsidR="00B2786E" w:rsidRDefault="00B2786E">
            <w:pPr>
              <w:pStyle w:val="resptext"/>
              <w:tabs>
                <w:tab w:val="left" w:pos="720"/>
              </w:tabs>
              <w:spacing w:before="60" w:line="256" w:lineRule="auto"/>
              <w:ind w:left="0"/>
              <w:jc w:val="center"/>
            </w:pPr>
            <w:r>
              <w:t>11</w:t>
            </w:r>
          </w:p>
        </w:tc>
      </w:tr>
      <w:tr w:rsidR="00B2786E" w14:paraId="70DF4CFC" w14:textId="77777777">
        <w:tc>
          <w:tcPr>
            <w:tcW w:w="394" w:type="pct"/>
            <w:tcBorders>
              <w:top w:val="single" w:sz="4" w:space="0" w:color="auto"/>
              <w:left w:val="single" w:sz="4" w:space="0" w:color="auto"/>
              <w:bottom w:val="single" w:sz="4" w:space="0" w:color="auto"/>
              <w:right w:val="single" w:sz="4" w:space="0" w:color="auto"/>
            </w:tcBorders>
            <w:hideMark/>
          </w:tcPr>
          <w:p w14:paraId="07974F59" w14:textId="77777777" w:rsidR="00B2786E" w:rsidRDefault="00B2786E">
            <w:pPr>
              <w:pStyle w:val="resptext"/>
              <w:tabs>
                <w:tab w:val="left" w:pos="720"/>
              </w:tabs>
              <w:spacing w:before="60" w:line="256" w:lineRule="auto"/>
              <w:ind w:left="0"/>
            </w:pPr>
            <w:r>
              <w:t>M</w:t>
            </w:r>
          </w:p>
        </w:tc>
        <w:tc>
          <w:tcPr>
            <w:tcW w:w="4129" w:type="pct"/>
            <w:tcBorders>
              <w:top w:val="single" w:sz="4" w:space="0" w:color="auto"/>
              <w:left w:val="single" w:sz="4" w:space="0" w:color="auto"/>
              <w:bottom w:val="single" w:sz="4" w:space="0" w:color="auto"/>
              <w:right w:val="single" w:sz="4" w:space="0" w:color="auto"/>
            </w:tcBorders>
            <w:hideMark/>
          </w:tcPr>
          <w:p w14:paraId="52CBB012"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 xml:space="preserve">Something else </w:t>
            </w:r>
            <w:r>
              <w:rPr>
                <w:color w:val="1D1D1B" w:themeColor="text1"/>
              </w:rPr>
              <w:t>(PLEASE TYPE IN)</w:t>
            </w:r>
          </w:p>
        </w:tc>
        <w:tc>
          <w:tcPr>
            <w:tcW w:w="477" w:type="pct"/>
            <w:tcBorders>
              <w:top w:val="single" w:sz="4" w:space="0" w:color="auto"/>
              <w:left w:val="single" w:sz="4" w:space="0" w:color="auto"/>
              <w:bottom w:val="single" w:sz="4" w:space="0" w:color="auto"/>
              <w:right w:val="single" w:sz="4" w:space="0" w:color="auto"/>
            </w:tcBorders>
            <w:hideMark/>
          </w:tcPr>
          <w:p w14:paraId="6B2E78DB" w14:textId="77777777" w:rsidR="00B2786E" w:rsidRDefault="00B2786E">
            <w:pPr>
              <w:pStyle w:val="resptext"/>
              <w:tabs>
                <w:tab w:val="left" w:pos="720"/>
              </w:tabs>
              <w:spacing w:before="60" w:line="256" w:lineRule="auto"/>
              <w:ind w:left="0"/>
              <w:jc w:val="center"/>
            </w:pPr>
            <w:r>
              <w:t>12</w:t>
            </w:r>
          </w:p>
        </w:tc>
      </w:tr>
      <w:tr w:rsidR="00B2786E" w14:paraId="0C76C84D" w14:textId="77777777">
        <w:tc>
          <w:tcPr>
            <w:tcW w:w="394" w:type="pct"/>
            <w:tcBorders>
              <w:top w:val="single" w:sz="4" w:space="0" w:color="auto"/>
              <w:left w:val="single" w:sz="4" w:space="0" w:color="auto"/>
              <w:bottom w:val="single" w:sz="4" w:space="0" w:color="auto"/>
              <w:right w:val="single" w:sz="4" w:space="0" w:color="auto"/>
            </w:tcBorders>
          </w:tcPr>
          <w:p w14:paraId="4199613F" w14:textId="77777777" w:rsidR="00B2786E" w:rsidRDefault="00B2786E">
            <w:pPr>
              <w:pStyle w:val="resptext"/>
              <w:tabs>
                <w:tab w:val="left" w:pos="720"/>
              </w:tabs>
              <w:spacing w:before="60" w:line="256" w:lineRule="auto"/>
              <w:ind w:left="0"/>
            </w:pPr>
          </w:p>
        </w:tc>
        <w:tc>
          <w:tcPr>
            <w:tcW w:w="4129" w:type="pct"/>
            <w:tcBorders>
              <w:top w:val="single" w:sz="4" w:space="0" w:color="auto"/>
              <w:left w:val="single" w:sz="4" w:space="0" w:color="auto"/>
              <w:bottom w:val="single" w:sz="4" w:space="0" w:color="auto"/>
              <w:right w:val="single" w:sz="4" w:space="0" w:color="auto"/>
            </w:tcBorders>
            <w:hideMark/>
          </w:tcPr>
          <w:p w14:paraId="343497E9" w14:textId="77777777" w:rsidR="00B2786E" w:rsidRDefault="00B2786E">
            <w:pPr>
              <w:pStyle w:val="resptext"/>
              <w:tabs>
                <w:tab w:val="left" w:pos="720"/>
              </w:tabs>
              <w:spacing w:before="60" w:line="256" w:lineRule="auto"/>
              <w:ind w:left="0"/>
            </w:pPr>
            <w:r>
              <w:t>Don’t know</w:t>
            </w:r>
          </w:p>
        </w:tc>
        <w:tc>
          <w:tcPr>
            <w:tcW w:w="477" w:type="pct"/>
            <w:tcBorders>
              <w:top w:val="single" w:sz="4" w:space="0" w:color="auto"/>
              <w:left w:val="single" w:sz="4" w:space="0" w:color="auto"/>
              <w:bottom w:val="single" w:sz="4" w:space="0" w:color="auto"/>
              <w:right w:val="single" w:sz="4" w:space="0" w:color="auto"/>
            </w:tcBorders>
            <w:hideMark/>
          </w:tcPr>
          <w:p w14:paraId="60B4A04E" w14:textId="77777777" w:rsidR="00B2786E" w:rsidRDefault="00B2786E">
            <w:pPr>
              <w:pStyle w:val="resptext"/>
              <w:tabs>
                <w:tab w:val="left" w:pos="720"/>
              </w:tabs>
              <w:spacing w:before="60" w:line="256" w:lineRule="auto"/>
              <w:ind w:left="0"/>
              <w:jc w:val="center"/>
            </w:pPr>
            <w:r>
              <w:t>98</w:t>
            </w:r>
          </w:p>
        </w:tc>
      </w:tr>
      <w:tr w:rsidR="00B2786E" w14:paraId="085F8AC7" w14:textId="77777777">
        <w:tc>
          <w:tcPr>
            <w:tcW w:w="394" w:type="pct"/>
            <w:tcBorders>
              <w:top w:val="single" w:sz="4" w:space="0" w:color="auto"/>
              <w:left w:val="single" w:sz="4" w:space="0" w:color="auto"/>
              <w:bottom w:val="single" w:sz="4" w:space="0" w:color="auto"/>
              <w:right w:val="single" w:sz="4" w:space="0" w:color="auto"/>
            </w:tcBorders>
          </w:tcPr>
          <w:p w14:paraId="43EEDE08" w14:textId="77777777" w:rsidR="00B2786E" w:rsidRDefault="00B2786E">
            <w:pPr>
              <w:pStyle w:val="resptext"/>
              <w:tabs>
                <w:tab w:val="left" w:pos="720"/>
              </w:tabs>
              <w:spacing w:before="60" w:line="256" w:lineRule="auto"/>
              <w:ind w:left="0"/>
            </w:pPr>
          </w:p>
        </w:tc>
        <w:tc>
          <w:tcPr>
            <w:tcW w:w="4129" w:type="pct"/>
            <w:tcBorders>
              <w:top w:val="single" w:sz="4" w:space="0" w:color="auto"/>
              <w:left w:val="single" w:sz="4" w:space="0" w:color="auto"/>
              <w:bottom w:val="single" w:sz="4" w:space="0" w:color="auto"/>
              <w:right w:val="single" w:sz="4" w:space="0" w:color="auto"/>
            </w:tcBorders>
            <w:hideMark/>
          </w:tcPr>
          <w:p w14:paraId="3DC8AB41" w14:textId="77777777" w:rsidR="00B2786E" w:rsidRDefault="00B2786E">
            <w:pPr>
              <w:pStyle w:val="resptext"/>
              <w:tabs>
                <w:tab w:val="left" w:pos="720"/>
              </w:tabs>
              <w:spacing w:before="60" w:line="256" w:lineRule="auto"/>
              <w:ind w:left="0"/>
            </w:pPr>
            <w:r>
              <w:t>Refused</w:t>
            </w:r>
          </w:p>
        </w:tc>
        <w:tc>
          <w:tcPr>
            <w:tcW w:w="477" w:type="pct"/>
            <w:tcBorders>
              <w:top w:val="single" w:sz="4" w:space="0" w:color="auto"/>
              <w:left w:val="single" w:sz="4" w:space="0" w:color="auto"/>
              <w:bottom w:val="single" w:sz="4" w:space="0" w:color="auto"/>
              <w:right w:val="single" w:sz="4" w:space="0" w:color="auto"/>
            </w:tcBorders>
            <w:hideMark/>
          </w:tcPr>
          <w:p w14:paraId="565EA7FD" w14:textId="77777777" w:rsidR="00B2786E" w:rsidRDefault="00B2786E">
            <w:pPr>
              <w:pStyle w:val="resptext"/>
              <w:tabs>
                <w:tab w:val="left" w:pos="720"/>
              </w:tabs>
              <w:spacing w:before="60" w:line="256" w:lineRule="auto"/>
              <w:ind w:left="0"/>
              <w:jc w:val="center"/>
            </w:pPr>
            <w:r>
              <w:t>99</w:t>
            </w:r>
          </w:p>
        </w:tc>
      </w:tr>
    </w:tbl>
    <w:p w14:paraId="545B9D0E" w14:textId="77777777" w:rsidR="00B2786E" w:rsidRDefault="00B2786E" w:rsidP="00B2786E">
      <w:pPr>
        <w:rPr>
          <w:rFonts w:cs="Arial"/>
          <w:b/>
          <w:bCs/>
          <w:color w:val="1D1D1B" w:themeColor="text1"/>
          <w:sz w:val="22"/>
        </w:rPr>
      </w:pPr>
      <w:r>
        <w:rPr>
          <w:rFonts w:cs="Arial"/>
          <w:b/>
          <w:bCs/>
          <w:color w:val="1D1D1B" w:themeColor="text1"/>
        </w:rPr>
        <w:t>NOTE A20 DELETED IN W2</w:t>
      </w:r>
    </w:p>
    <w:p w14:paraId="59A4F4BB" w14:textId="77777777" w:rsidR="00B2786E" w:rsidRDefault="00B2786E" w:rsidP="00B2786E">
      <w:pPr>
        <w:rPr>
          <w:rFonts w:cs="Arial"/>
          <w:b/>
          <w:bCs/>
          <w:color w:val="1D1D1B" w:themeColor="text1"/>
        </w:rPr>
      </w:pPr>
      <w:r>
        <w:rPr>
          <w:rFonts w:cs="Arial"/>
          <w:b/>
          <w:bCs/>
          <w:color w:val="1D1D1B" w:themeColor="text1"/>
        </w:rPr>
        <w:t>NOTE A23 DELETED IN W2</w:t>
      </w:r>
    </w:p>
    <w:p w14:paraId="284D9130" w14:textId="77777777" w:rsidR="00B2786E" w:rsidRDefault="00B2786E" w:rsidP="00B2786E">
      <w:pPr>
        <w:rPr>
          <w:rFonts w:cs="Arial"/>
          <w:b/>
          <w:bCs/>
        </w:rPr>
      </w:pPr>
      <w:r>
        <w:rPr>
          <w:rFonts w:cs="Arial"/>
          <w:color w:val="1D1D1B" w:themeColor="text1"/>
        </w:rPr>
        <w:t>ASK IF FRESH</w:t>
      </w:r>
      <w:r>
        <w:rPr>
          <w:rFonts w:cs="Arial"/>
          <w:b/>
          <w:bCs/>
        </w:rPr>
        <w:t>A24. Between 23 March 2020 and March 2021, did your business use any of the following Government support for businesses and organisations?</w:t>
      </w:r>
    </w:p>
    <w:p w14:paraId="42C79D74" w14:textId="77777777" w:rsidR="00B2786E" w:rsidRDefault="00B2786E" w:rsidP="00B2786E">
      <w:pPr>
        <w:rPr>
          <w:rFonts w:cs="Arial"/>
          <w:color w:val="F06603" w:themeColor="accent6"/>
        </w:rPr>
      </w:pPr>
      <w:r>
        <w:rPr>
          <w:rFonts w:cs="Arial"/>
          <w:color w:val="FF0000"/>
        </w:rPr>
        <w:t>ROTATE ORDER 1 TO 9MULTICODE OK. FOR ONLINE, SHOW AS YES/NO QUESTION</w:t>
      </w:r>
      <w:r>
        <w:rPr>
          <w:rFonts w:cs="Arial"/>
          <w:color w:val="F06603" w:themeColor="accent6"/>
        </w:rPr>
        <w:t>.</w:t>
      </w:r>
    </w:p>
    <w:p w14:paraId="7EF03BC3" w14:textId="77777777" w:rsidR="00B2786E" w:rsidRDefault="00B2786E" w:rsidP="00B2786E">
      <w:pPr>
        <w:rPr>
          <w:rFonts w:cs="Arial"/>
          <w:color w:val="1D1D1B" w:themeColor="text1"/>
        </w:rPr>
      </w:pPr>
      <w:r>
        <w:rPr>
          <w:rFonts w:cs="Arial"/>
          <w:color w:val="F06603" w:themeColor="accent6"/>
        </w:rPr>
        <w:t>READ OUT 1 TO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5"/>
        <w:gridCol w:w="1059"/>
      </w:tblGrid>
      <w:tr w:rsidR="00B2786E" w14:paraId="0FFC0370" w14:textId="77777777">
        <w:tc>
          <w:tcPr>
            <w:tcW w:w="4478" w:type="pct"/>
            <w:tcBorders>
              <w:top w:val="single" w:sz="4" w:space="0" w:color="auto"/>
              <w:left w:val="single" w:sz="4" w:space="0" w:color="auto"/>
              <w:bottom w:val="single" w:sz="4" w:space="0" w:color="auto"/>
              <w:right w:val="single" w:sz="4" w:space="0" w:color="auto"/>
            </w:tcBorders>
            <w:hideMark/>
          </w:tcPr>
          <w:p w14:paraId="613192C3" w14:textId="77777777" w:rsidR="00B2786E" w:rsidRDefault="00B2786E">
            <w:pPr>
              <w:pStyle w:val="resptext"/>
              <w:tabs>
                <w:tab w:val="left" w:pos="720"/>
              </w:tabs>
              <w:spacing w:before="60" w:line="256" w:lineRule="auto"/>
              <w:ind w:left="0"/>
              <w:rPr>
                <w:bCs/>
                <w:color w:val="1D1D1B" w:themeColor="text1"/>
              </w:rPr>
            </w:pPr>
            <w:bookmarkStart w:id="237" w:name="_Hlk48551151"/>
            <w:r>
              <w:rPr>
                <w:bCs/>
                <w:color w:val="1D1D1B" w:themeColor="text1"/>
              </w:rPr>
              <w:lastRenderedPageBreak/>
              <w:t xml:space="preserve">Furloughing staff through the Coronavirus Job Retention Scheme </w:t>
            </w:r>
            <w:bookmarkEnd w:id="237"/>
            <w:r>
              <w:rPr>
                <w:bCs/>
                <w:color w:val="FF0000"/>
              </w:rPr>
              <w:t xml:space="preserve">[INTERVIEWER ADD IF REQUIRED / SHOW AS INFO BUTTON FOR ONLINE SURVEY: </w:t>
            </w:r>
            <w:r>
              <w:rPr>
                <w:bCs/>
                <w:color w:val="1D1D1B" w:themeColor="text1"/>
              </w:rPr>
              <w:t xml:space="preserve">Under this scheme, the Government pays part of the wages of any workers temporarily asked to stop working and placed on leave due to the impact of </w:t>
            </w:r>
            <w:r>
              <w:t>Covid-</w:t>
            </w:r>
            <w:proofErr w:type="gramStart"/>
            <w:r>
              <w:t xml:space="preserve">19 </w:t>
            </w:r>
            <w:r>
              <w:rPr>
                <w:bCs/>
                <w:color w:val="1D1D1B" w:themeColor="text1"/>
              </w:rPr>
              <w:t xml:space="preserve"> on</w:t>
            </w:r>
            <w:proofErr w:type="gramEnd"/>
            <w:r>
              <w:rPr>
                <w:bCs/>
                <w:color w:val="1D1D1B" w:themeColor="text1"/>
              </w:rPr>
              <w:t xml:space="preserve"> their employer. Furloughed workers are those whose employers cannot cover staff costs due to </w:t>
            </w:r>
            <w:r>
              <w:t>Covid-19</w:t>
            </w:r>
            <w:r>
              <w:rPr>
                <w:bCs/>
                <w:color w:val="1D1D1B" w:themeColor="text1"/>
              </w:rPr>
              <w:t>, and as such they have been asked to stop working, but have not been made redundant]</w:t>
            </w:r>
          </w:p>
        </w:tc>
        <w:tc>
          <w:tcPr>
            <w:tcW w:w="522" w:type="pct"/>
            <w:tcBorders>
              <w:top w:val="single" w:sz="4" w:space="0" w:color="auto"/>
              <w:left w:val="single" w:sz="4" w:space="0" w:color="auto"/>
              <w:bottom w:val="single" w:sz="4" w:space="0" w:color="auto"/>
              <w:right w:val="single" w:sz="4" w:space="0" w:color="auto"/>
            </w:tcBorders>
            <w:hideMark/>
          </w:tcPr>
          <w:p w14:paraId="45D82479" w14:textId="77777777" w:rsidR="00B2786E" w:rsidRDefault="00B2786E">
            <w:pPr>
              <w:pStyle w:val="resptext"/>
              <w:tabs>
                <w:tab w:val="left" w:pos="720"/>
              </w:tabs>
              <w:spacing w:before="60" w:line="256" w:lineRule="auto"/>
              <w:ind w:left="0"/>
              <w:jc w:val="center"/>
              <w:rPr>
                <w:bCs/>
                <w:color w:val="1D1D1B" w:themeColor="text1"/>
              </w:rPr>
            </w:pPr>
            <w:r>
              <w:rPr>
                <w:bCs/>
                <w:color w:val="1D1D1B" w:themeColor="text1"/>
              </w:rPr>
              <w:t>1</w:t>
            </w:r>
          </w:p>
        </w:tc>
      </w:tr>
      <w:tr w:rsidR="00B2786E" w14:paraId="07653922" w14:textId="77777777">
        <w:tc>
          <w:tcPr>
            <w:tcW w:w="4478" w:type="pct"/>
            <w:tcBorders>
              <w:top w:val="single" w:sz="4" w:space="0" w:color="auto"/>
              <w:left w:val="single" w:sz="4" w:space="0" w:color="auto"/>
              <w:bottom w:val="single" w:sz="4" w:space="0" w:color="auto"/>
              <w:right w:val="single" w:sz="4" w:space="0" w:color="auto"/>
            </w:tcBorders>
            <w:hideMark/>
          </w:tcPr>
          <w:p w14:paraId="521C8C1F" w14:textId="77777777" w:rsidR="00B2786E" w:rsidRDefault="00B2786E">
            <w:pPr>
              <w:pStyle w:val="resptext"/>
              <w:tabs>
                <w:tab w:val="left" w:pos="720"/>
              </w:tabs>
              <w:spacing w:before="60" w:line="256" w:lineRule="auto"/>
              <w:ind w:left="0"/>
              <w:rPr>
                <w:b/>
                <w:color w:val="1D1D1B" w:themeColor="text1"/>
              </w:rPr>
            </w:pPr>
            <w:r>
              <w:rPr>
                <w:bCs/>
                <w:color w:val="1D1D1B" w:themeColor="text1"/>
              </w:rPr>
              <w:t xml:space="preserve">Deferral of VAT payments </w:t>
            </w:r>
          </w:p>
        </w:tc>
        <w:tc>
          <w:tcPr>
            <w:tcW w:w="522" w:type="pct"/>
            <w:tcBorders>
              <w:top w:val="single" w:sz="4" w:space="0" w:color="auto"/>
              <w:left w:val="single" w:sz="4" w:space="0" w:color="auto"/>
              <w:bottom w:val="single" w:sz="4" w:space="0" w:color="auto"/>
              <w:right w:val="single" w:sz="4" w:space="0" w:color="auto"/>
            </w:tcBorders>
            <w:hideMark/>
          </w:tcPr>
          <w:p w14:paraId="2C385016" w14:textId="77777777" w:rsidR="00B2786E" w:rsidRDefault="00B2786E">
            <w:pPr>
              <w:pStyle w:val="resptext"/>
              <w:tabs>
                <w:tab w:val="left" w:pos="720"/>
              </w:tabs>
              <w:spacing w:before="60" w:line="256" w:lineRule="auto"/>
              <w:ind w:left="0"/>
              <w:jc w:val="center"/>
              <w:rPr>
                <w:b/>
                <w:color w:val="1D1D1B" w:themeColor="text1"/>
              </w:rPr>
            </w:pPr>
            <w:r>
              <w:rPr>
                <w:bCs/>
                <w:color w:val="1D1D1B" w:themeColor="text1"/>
              </w:rPr>
              <w:t>2</w:t>
            </w:r>
          </w:p>
        </w:tc>
      </w:tr>
      <w:tr w:rsidR="00B2786E" w14:paraId="78E279AE" w14:textId="77777777">
        <w:tc>
          <w:tcPr>
            <w:tcW w:w="4478" w:type="pct"/>
            <w:tcBorders>
              <w:top w:val="single" w:sz="4" w:space="0" w:color="auto"/>
              <w:left w:val="single" w:sz="4" w:space="0" w:color="auto"/>
              <w:bottom w:val="single" w:sz="4" w:space="0" w:color="auto"/>
              <w:right w:val="single" w:sz="4" w:space="0" w:color="auto"/>
            </w:tcBorders>
            <w:hideMark/>
          </w:tcPr>
          <w:p w14:paraId="514D785C" w14:textId="77777777" w:rsidR="00B2786E" w:rsidRDefault="00B2786E">
            <w:pPr>
              <w:pStyle w:val="resptext"/>
              <w:tabs>
                <w:tab w:val="left" w:pos="720"/>
              </w:tabs>
              <w:spacing w:before="60" w:line="256" w:lineRule="auto"/>
              <w:ind w:left="0"/>
              <w:rPr>
                <w:b/>
                <w:color w:val="1D1D1B" w:themeColor="text1"/>
              </w:rPr>
            </w:pPr>
            <w:r>
              <w:rPr>
                <w:bCs/>
                <w:color w:val="1D1D1B" w:themeColor="text1"/>
              </w:rPr>
              <w:t xml:space="preserve">Deferral of Self-Assessment payments </w:t>
            </w:r>
          </w:p>
        </w:tc>
        <w:tc>
          <w:tcPr>
            <w:tcW w:w="522" w:type="pct"/>
            <w:tcBorders>
              <w:top w:val="single" w:sz="4" w:space="0" w:color="auto"/>
              <w:left w:val="single" w:sz="4" w:space="0" w:color="auto"/>
              <w:bottom w:val="single" w:sz="4" w:space="0" w:color="auto"/>
              <w:right w:val="single" w:sz="4" w:space="0" w:color="auto"/>
            </w:tcBorders>
            <w:hideMark/>
          </w:tcPr>
          <w:p w14:paraId="240F454E" w14:textId="77777777" w:rsidR="00B2786E" w:rsidRDefault="00B2786E">
            <w:pPr>
              <w:pStyle w:val="resptext"/>
              <w:tabs>
                <w:tab w:val="left" w:pos="720"/>
              </w:tabs>
              <w:spacing w:before="60" w:line="256" w:lineRule="auto"/>
              <w:ind w:left="0"/>
              <w:jc w:val="center"/>
              <w:rPr>
                <w:b/>
                <w:color w:val="1D1D1B" w:themeColor="text1"/>
              </w:rPr>
            </w:pPr>
            <w:r>
              <w:rPr>
                <w:bCs/>
                <w:color w:val="1D1D1B" w:themeColor="text1"/>
              </w:rPr>
              <w:t>3</w:t>
            </w:r>
          </w:p>
        </w:tc>
      </w:tr>
      <w:tr w:rsidR="00B2786E" w14:paraId="7BAF40B6" w14:textId="77777777">
        <w:tc>
          <w:tcPr>
            <w:tcW w:w="4478" w:type="pct"/>
            <w:tcBorders>
              <w:top w:val="single" w:sz="4" w:space="0" w:color="auto"/>
              <w:left w:val="single" w:sz="4" w:space="0" w:color="auto"/>
              <w:bottom w:val="single" w:sz="4" w:space="0" w:color="auto"/>
              <w:right w:val="single" w:sz="4" w:space="0" w:color="auto"/>
            </w:tcBorders>
            <w:hideMark/>
          </w:tcPr>
          <w:p w14:paraId="2362F8D5" w14:textId="77777777" w:rsidR="00B2786E" w:rsidRDefault="00B2786E">
            <w:pPr>
              <w:pStyle w:val="resptext"/>
              <w:tabs>
                <w:tab w:val="left" w:pos="720"/>
              </w:tabs>
              <w:spacing w:before="60" w:line="256" w:lineRule="auto"/>
              <w:ind w:left="0"/>
              <w:rPr>
                <w:color w:val="1D1D1B" w:themeColor="text1"/>
              </w:rPr>
            </w:pPr>
            <w:r>
              <w:rPr>
                <w:bCs/>
                <w:color w:val="1D1D1B" w:themeColor="text1"/>
              </w:rPr>
              <w:t xml:space="preserve">HMRC Time to Pay </w:t>
            </w:r>
            <w:r>
              <w:rPr>
                <w:bCs/>
                <w:color w:val="FF0000"/>
              </w:rPr>
              <w:t>[INTERVIEWER ADD IF REQUIRED / SHOW AS INFO BUTTON FOR ONLINE SURVEY</w:t>
            </w:r>
            <w:r>
              <w:rPr>
                <w:bCs/>
                <w:color w:val="1D1D1B" w:themeColor="text1"/>
              </w:rPr>
              <w:t xml:space="preserve">: This allows payments for some taxes to be deferred] </w:t>
            </w:r>
          </w:p>
        </w:tc>
        <w:tc>
          <w:tcPr>
            <w:tcW w:w="522" w:type="pct"/>
            <w:tcBorders>
              <w:top w:val="single" w:sz="4" w:space="0" w:color="auto"/>
              <w:left w:val="single" w:sz="4" w:space="0" w:color="auto"/>
              <w:bottom w:val="single" w:sz="4" w:space="0" w:color="auto"/>
              <w:right w:val="single" w:sz="4" w:space="0" w:color="auto"/>
            </w:tcBorders>
            <w:hideMark/>
          </w:tcPr>
          <w:p w14:paraId="26F0B728" w14:textId="77777777" w:rsidR="00B2786E" w:rsidRDefault="00B2786E">
            <w:pPr>
              <w:pStyle w:val="resptext"/>
              <w:tabs>
                <w:tab w:val="left" w:pos="720"/>
              </w:tabs>
              <w:spacing w:before="60" w:line="256" w:lineRule="auto"/>
              <w:ind w:left="0"/>
              <w:jc w:val="center"/>
              <w:rPr>
                <w:color w:val="1D1D1B" w:themeColor="text1"/>
              </w:rPr>
            </w:pPr>
            <w:r>
              <w:rPr>
                <w:color w:val="1D1D1B" w:themeColor="text1"/>
              </w:rPr>
              <w:t>4</w:t>
            </w:r>
          </w:p>
        </w:tc>
      </w:tr>
      <w:tr w:rsidR="00B2786E" w14:paraId="2FD1F1D7" w14:textId="77777777">
        <w:tc>
          <w:tcPr>
            <w:tcW w:w="4478" w:type="pct"/>
            <w:tcBorders>
              <w:top w:val="single" w:sz="4" w:space="0" w:color="auto"/>
              <w:left w:val="single" w:sz="4" w:space="0" w:color="auto"/>
              <w:bottom w:val="single" w:sz="4" w:space="0" w:color="auto"/>
              <w:right w:val="single" w:sz="4" w:space="0" w:color="auto"/>
            </w:tcBorders>
            <w:hideMark/>
          </w:tcPr>
          <w:p w14:paraId="0D527564" w14:textId="77777777" w:rsidR="00B2786E" w:rsidRDefault="00B2786E">
            <w:pPr>
              <w:pStyle w:val="resptext"/>
              <w:tabs>
                <w:tab w:val="left" w:pos="720"/>
              </w:tabs>
              <w:spacing w:before="60" w:line="256" w:lineRule="auto"/>
              <w:ind w:left="0"/>
              <w:rPr>
                <w:color w:val="1D1D1B" w:themeColor="text1"/>
              </w:rPr>
            </w:pPr>
            <w:r>
              <w:rPr>
                <w:bCs/>
                <w:color w:val="1D1D1B" w:themeColor="text1"/>
              </w:rPr>
              <w:t xml:space="preserve">Self-employed Income Support Scheme </w:t>
            </w:r>
            <w:r>
              <w:rPr>
                <w:bCs/>
                <w:color w:val="FF0000"/>
              </w:rPr>
              <w:t>[INTERVIEWER ADD IF REQUIRED / SHOW AS INFO BUTTON FOR ONLINE SURVEY</w:t>
            </w:r>
            <w:r>
              <w:rPr>
                <w:bCs/>
                <w:color w:val="1D1D1B" w:themeColor="text1"/>
              </w:rPr>
              <w:t xml:space="preserve">:  This supports those who lose some or </w:t>
            </w:r>
            <w:proofErr w:type="gramStart"/>
            <w:r>
              <w:rPr>
                <w:bCs/>
                <w:color w:val="1D1D1B" w:themeColor="text1"/>
              </w:rPr>
              <w:t>all of</w:t>
            </w:r>
            <w:proofErr w:type="gramEnd"/>
            <w:r>
              <w:rPr>
                <w:bCs/>
                <w:color w:val="1D1D1B" w:themeColor="text1"/>
              </w:rPr>
              <w:t xml:space="preserve"> their income due to </w:t>
            </w:r>
            <w:r>
              <w:t>Covid-19</w:t>
            </w:r>
            <w:r>
              <w:rPr>
                <w:bCs/>
                <w:color w:val="1D1D1B" w:themeColor="text1"/>
              </w:rPr>
              <w:t>]</w:t>
            </w:r>
          </w:p>
        </w:tc>
        <w:tc>
          <w:tcPr>
            <w:tcW w:w="522" w:type="pct"/>
            <w:tcBorders>
              <w:top w:val="single" w:sz="4" w:space="0" w:color="auto"/>
              <w:left w:val="single" w:sz="4" w:space="0" w:color="auto"/>
              <w:bottom w:val="single" w:sz="4" w:space="0" w:color="auto"/>
              <w:right w:val="single" w:sz="4" w:space="0" w:color="auto"/>
            </w:tcBorders>
            <w:hideMark/>
          </w:tcPr>
          <w:p w14:paraId="2F6E26C4" w14:textId="77777777" w:rsidR="00B2786E" w:rsidRDefault="00B2786E">
            <w:pPr>
              <w:pStyle w:val="resptext"/>
              <w:tabs>
                <w:tab w:val="left" w:pos="720"/>
              </w:tabs>
              <w:spacing w:before="60" w:line="256" w:lineRule="auto"/>
              <w:ind w:left="0"/>
              <w:jc w:val="center"/>
              <w:rPr>
                <w:color w:val="1D1D1B" w:themeColor="text1"/>
              </w:rPr>
            </w:pPr>
            <w:r>
              <w:rPr>
                <w:color w:val="1D1D1B" w:themeColor="text1"/>
              </w:rPr>
              <w:t>5</w:t>
            </w:r>
          </w:p>
        </w:tc>
      </w:tr>
      <w:tr w:rsidR="00B2786E" w14:paraId="077C4D70" w14:textId="77777777">
        <w:tc>
          <w:tcPr>
            <w:tcW w:w="4478" w:type="pct"/>
            <w:tcBorders>
              <w:top w:val="single" w:sz="4" w:space="0" w:color="auto"/>
              <w:left w:val="single" w:sz="4" w:space="0" w:color="auto"/>
              <w:bottom w:val="single" w:sz="4" w:space="0" w:color="auto"/>
              <w:right w:val="single" w:sz="4" w:space="0" w:color="auto"/>
            </w:tcBorders>
            <w:hideMark/>
          </w:tcPr>
          <w:p w14:paraId="24378745" w14:textId="77777777" w:rsidR="00B2786E" w:rsidRDefault="00B2786E">
            <w:pPr>
              <w:pStyle w:val="resptext"/>
              <w:tabs>
                <w:tab w:val="left" w:pos="720"/>
              </w:tabs>
              <w:spacing w:before="60" w:line="256" w:lineRule="auto"/>
              <w:ind w:left="0"/>
              <w:rPr>
                <w:color w:val="1D1D1B" w:themeColor="text1"/>
              </w:rPr>
            </w:pPr>
            <w:r>
              <w:rPr>
                <w:bCs/>
                <w:color w:val="1D1D1B" w:themeColor="text1"/>
              </w:rPr>
              <w:t>12-month business rates holiday for hospitality, leisure, retail businesses</w:t>
            </w:r>
          </w:p>
        </w:tc>
        <w:tc>
          <w:tcPr>
            <w:tcW w:w="522" w:type="pct"/>
            <w:tcBorders>
              <w:top w:val="single" w:sz="4" w:space="0" w:color="auto"/>
              <w:left w:val="single" w:sz="4" w:space="0" w:color="auto"/>
              <w:bottom w:val="single" w:sz="4" w:space="0" w:color="auto"/>
              <w:right w:val="single" w:sz="4" w:space="0" w:color="auto"/>
            </w:tcBorders>
            <w:hideMark/>
          </w:tcPr>
          <w:p w14:paraId="014D2475" w14:textId="77777777" w:rsidR="00B2786E" w:rsidRDefault="00B2786E">
            <w:pPr>
              <w:pStyle w:val="resptext"/>
              <w:tabs>
                <w:tab w:val="left" w:pos="720"/>
              </w:tabs>
              <w:spacing w:before="60" w:line="256" w:lineRule="auto"/>
              <w:ind w:left="0"/>
              <w:jc w:val="center"/>
              <w:rPr>
                <w:color w:val="1D1D1B" w:themeColor="text1"/>
              </w:rPr>
            </w:pPr>
            <w:r>
              <w:rPr>
                <w:color w:val="1D1D1B" w:themeColor="text1"/>
              </w:rPr>
              <w:t>6</w:t>
            </w:r>
          </w:p>
        </w:tc>
      </w:tr>
      <w:tr w:rsidR="00B2786E" w14:paraId="5B8E78CB" w14:textId="77777777">
        <w:tc>
          <w:tcPr>
            <w:tcW w:w="4478" w:type="pct"/>
            <w:tcBorders>
              <w:top w:val="single" w:sz="4" w:space="0" w:color="auto"/>
              <w:left w:val="single" w:sz="4" w:space="0" w:color="auto"/>
              <w:bottom w:val="single" w:sz="4" w:space="0" w:color="auto"/>
              <w:right w:val="single" w:sz="4" w:space="0" w:color="auto"/>
            </w:tcBorders>
          </w:tcPr>
          <w:p w14:paraId="46B36641" w14:textId="77777777" w:rsidR="00B2786E" w:rsidRDefault="00B2786E">
            <w:pPr>
              <w:pStyle w:val="resptext"/>
              <w:tabs>
                <w:tab w:val="left" w:pos="720"/>
              </w:tabs>
              <w:spacing w:before="60" w:line="256" w:lineRule="auto"/>
              <w:ind w:left="0"/>
              <w:rPr>
                <w:color w:val="1D1D1B" w:themeColor="text1"/>
              </w:rPr>
            </w:pPr>
          </w:p>
        </w:tc>
        <w:tc>
          <w:tcPr>
            <w:tcW w:w="522" w:type="pct"/>
            <w:tcBorders>
              <w:top w:val="single" w:sz="4" w:space="0" w:color="auto"/>
              <w:left w:val="single" w:sz="4" w:space="0" w:color="auto"/>
              <w:bottom w:val="single" w:sz="4" w:space="0" w:color="auto"/>
              <w:right w:val="single" w:sz="4" w:space="0" w:color="auto"/>
            </w:tcBorders>
          </w:tcPr>
          <w:p w14:paraId="6B66A32A" w14:textId="77777777" w:rsidR="00B2786E" w:rsidRDefault="00B2786E">
            <w:pPr>
              <w:pStyle w:val="resptext"/>
              <w:tabs>
                <w:tab w:val="left" w:pos="720"/>
              </w:tabs>
              <w:spacing w:before="60" w:line="256" w:lineRule="auto"/>
              <w:ind w:left="0"/>
              <w:jc w:val="center"/>
              <w:rPr>
                <w:color w:val="1D1D1B" w:themeColor="text1"/>
              </w:rPr>
            </w:pPr>
          </w:p>
        </w:tc>
      </w:tr>
      <w:tr w:rsidR="00B2786E" w14:paraId="383C6188" w14:textId="77777777">
        <w:tc>
          <w:tcPr>
            <w:tcW w:w="4478" w:type="pct"/>
            <w:tcBorders>
              <w:top w:val="single" w:sz="4" w:space="0" w:color="auto"/>
              <w:left w:val="single" w:sz="4" w:space="0" w:color="auto"/>
              <w:bottom w:val="single" w:sz="4" w:space="0" w:color="auto"/>
              <w:right w:val="single" w:sz="4" w:space="0" w:color="auto"/>
            </w:tcBorders>
            <w:hideMark/>
          </w:tcPr>
          <w:p w14:paraId="03BCEB60" w14:textId="77777777" w:rsidR="00B2786E" w:rsidRDefault="00B2786E">
            <w:pPr>
              <w:pStyle w:val="resptext"/>
              <w:tabs>
                <w:tab w:val="left" w:pos="720"/>
              </w:tabs>
              <w:spacing w:before="60" w:line="256" w:lineRule="auto"/>
              <w:ind w:left="0"/>
              <w:rPr>
                <w:color w:val="1D1D1B" w:themeColor="text1"/>
              </w:rPr>
            </w:pPr>
            <w:r>
              <w:rPr>
                <w:lang w:eastAsia="en-GB"/>
              </w:rPr>
              <w:t>Cash grants for small businesses, loans directly funded by Government or types of support – related to the Covid-19 pandemic</w:t>
            </w:r>
          </w:p>
        </w:tc>
        <w:tc>
          <w:tcPr>
            <w:tcW w:w="522" w:type="pct"/>
            <w:tcBorders>
              <w:top w:val="single" w:sz="4" w:space="0" w:color="auto"/>
              <w:left w:val="single" w:sz="4" w:space="0" w:color="auto"/>
              <w:bottom w:val="single" w:sz="4" w:space="0" w:color="auto"/>
              <w:right w:val="single" w:sz="4" w:space="0" w:color="auto"/>
            </w:tcBorders>
            <w:hideMark/>
          </w:tcPr>
          <w:p w14:paraId="019E7D5F" w14:textId="77777777" w:rsidR="00B2786E" w:rsidRDefault="00B2786E">
            <w:pPr>
              <w:pStyle w:val="resptext"/>
              <w:tabs>
                <w:tab w:val="left" w:pos="720"/>
              </w:tabs>
              <w:spacing w:before="60" w:line="256" w:lineRule="auto"/>
              <w:ind w:left="0"/>
              <w:jc w:val="center"/>
              <w:rPr>
                <w:color w:val="1D1D1B" w:themeColor="text1"/>
              </w:rPr>
            </w:pPr>
            <w:r>
              <w:rPr>
                <w:color w:val="1D1D1B" w:themeColor="text1"/>
              </w:rPr>
              <w:t>7</w:t>
            </w:r>
          </w:p>
        </w:tc>
      </w:tr>
      <w:tr w:rsidR="00B2786E" w14:paraId="431B23DF" w14:textId="77777777">
        <w:tc>
          <w:tcPr>
            <w:tcW w:w="4478" w:type="pct"/>
            <w:tcBorders>
              <w:top w:val="single" w:sz="4" w:space="0" w:color="auto"/>
              <w:left w:val="single" w:sz="4" w:space="0" w:color="auto"/>
              <w:bottom w:val="single" w:sz="4" w:space="0" w:color="auto"/>
              <w:right w:val="single" w:sz="4" w:space="0" w:color="auto"/>
            </w:tcBorders>
            <w:hideMark/>
          </w:tcPr>
          <w:p w14:paraId="7F7664D6" w14:textId="77777777" w:rsidR="00B2786E" w:rsidRDefault="00B2786E">
            <w:pPr>
              <w:pStyle w:val="resptext"/>
              <w:tabs>
                <w:tab w:val="left" w:pos="720"/>
              </w:tabs>
              <w:spacing w:before="60" w:line="256" w:lineRule="auto"/>
              <w:ind w:left="0"/>
              <w:rPr>
                <w:bCs/>
                <w:color w:val="1D1D1B" w:themeColor="text1"/>
              </w:rPr>
            </w:pPr>
            <w:r>
              <w:rPr>
                <w:lang w:eastAsia="en-GB"/>
              </w:rPr>
              <w:t>Cash grants for small businesses, loans directly funded by Government or types of support – unrelated to the Covid-19 pandemic</w:t>
            </w:r>
          </w:p>
        </w:tc>
        <w:tc>
          <w:tcPr>
            <w:tcW w:w="522" w:type="pct"/>
            <w:tcBorders>
              <w:top w:val="single" w:sz="4" w:space="0" w:color="auto"/>
              <w:left w:val="single" w:sz="4" w:space="0" w:color="auto"/>
              <w:bottom w:val="single" w:sz="4" w:space="0" w:color="auto"/>
              <w:right w:val="single" w:sz="4" w:space="0" w:color="auto"/>
            </w:tcBorders>
            <w:hideMark/>
          </w:tcPr>
          <w:p w14:paraId="7C076784" w14:textId="77777777" w:rsidR="00B2786E" w:rsidRDefault="00B2786E">
            <w:pPr>
              <w:pStyle w:val="resptext"/>
              <w:tabs>
                <w:tab w:val="left" w:pos="720"/>
              </w:tabs>
              <w:spacing w:before="60" w:line="256" w:lineRule="auto"/>
              <w:ind w:left="0"/>
              <w:jc w:val="center"/>
              <w:rPr>
                <w:color w:val="1D1D1B" w:themeColor="text1"/>
              </w:rPr>
            </w:pPr>
            <w:r>
              <w:rPr>
                <w:color w:val="1D1D1B" w:themeColor="text1"/>
              </w:rPr>
              <w:t>8</w:t>
            </w:r>
          </w:p>
        </w:tc>
      </w:tr>
      <w:tr w:rsidR="00B2786E" w14:paraId="3D1AFBE9" w14:textId="77777777">
        <w:tc>
          <w:tcPr>
            <w:tcW w:w="4478" w:type="pct"/>
            <w:tcBorders>
              <w:top w:val="single" w:sz="4" w:space="0" w:color="auto"/>
              <w:left w:val="single" w:sz="4" w:space="0" w:color="auto"/>
              <w:bottom w:val="single" w:sz="4" w:space="0" w:color="auto"/>
              <w:right w:val="single" w:sz="4" w:space="0" w:color="auto"/>
            </w:tcBorders>
            <w:hideMark/>
          </w:tcPr>
          <w:p w14:paraId="033BF1AA" w14:textId="77777777" w:rsidR="00B2786E" w:rsidRDefault="00B2786E">
            <w:pPr>
              <w:pStyle w:val="resptext"/>
              <w:tabs>
                <w:tab w:val="left" w:pos="720"/>
              </w:tabs>
              <w:spacing w:before="60" w:line="256" w:lineRule="auto"/>
              <w:ind w:left="0"/>
              <w:rPr>
                <w:color w:val="1D1D1B" w:themeColor="text1"/>
              </w:rPr>
            </w:pPr>
            <w:r>
              <w:rPr>
                <w:bCs/>
                <w:color w:val="1D1D1B" w:themeColor="text1"/>
              </w:rPr>
              <w:t>None of these</w:t>
            </w:r>
          </w:p>
        </w:tc>
        <w:tc>
          <w:tcPr>
            <w:tcW w:w="522" w:type="pct"/>
            <w:tcBorders>
              <w:top w:val="single" w:sz="4" w:space="0" w:color="auto"/>
              <w:left w:val="single" w:sz="4" w:space="0" w:color="auto"/>
              <w:bottom w:val="single" w:sz="4" w:space="0" w:color="auto"/>
              <w:right w:val="single" w:sz="4" w:space="0" w:color="auto"/>
            </w:tcBorders>
            <w:hideMark/>
          </w:tcPr>
          <w:p w14:paraId="2DB2BD75" w14:textId="77777777" w:rsidR="00B2786E" w:rsidRDefault="00B2786E">
            <w:pPr>
              <w:pStyle w:val="resptext"/>
              <w:tabs>
                <w:tab w:val="left" w:pos="720"/>
              </w:tabs>
              <w:spacing w:before="60" w:line="256" w:lineRule="auto"/>
              <w:ind w:left="0"/>
              <w:jc w:val="center"/>
              <w:rPr>
                <w:color w:val="1D1D1B" w:themeColor="text1"/>
              </w:rPr>
            </w:pPr>
            <w:r>
              <w:rPr>
                <w:color w:val="1D1D1B" w:themeColor="text1"/>
              </w:rPr>
              <w:t>97</w:t>
            </w:r>
          </w:p>
        </w:tc>
      </w:tr>
      <w:tr w:rsidR="00B2786E" w14:paraId="3921A6FC" w14:textId="77777777">
        <w:tc>
          <w:tcPr>
            <w:tcW w:w="4478" w:type="pct"/>
            <w:tcBorders>
              <w:top w:val="single" w:sz="4" w:space="0" w:color="auto"/>
              <w:left w:val="single" w:sz="4" w:space="0" w:color="auto"/>
              <w:bottom w:val="single" w:sz="4" w:space="0" w:color="auto"/>
              <w:right w:val="single" w:sz="4" w:space="0" w:color="auto"/>
            </w:tcBorders>
            <w:hideMark/>
          </w:tcPr>
          <w:p w14:paraId="4F3EF249" w14:textId="77777777" w:rsidR="00B2786E" w:rsidRDefault="00B2786E">
            <w:pPr>
              <w:pStyle w:val="resptext"/>
              <w:tabs>
                <w:tab w:val="left" w:pos="720"/>
              </w:tabs>
              <w:spacing w:before="60" w:line="256" w:lineRule="auto"/>
              <w:ind w:left="0"/>
              <w:rPr>
                <w:color w:val="1D1D1B" w:themeColor="text1"/>
              </w:rPr>
            </w:pPr>
            <w:r>
              <w:rPr>
                <w:bCs/>
                <w:color w:val="1D1D1B" w:themeColor="text1"/>
              </w:rPr>
              <w:t xml:space="preserve">Don’t know </w:t>
            </w:r>
          </w:p>
        </w:tc>
        <w:tc>
          <w:tcPr>
            <w:tcW w:w="522" w:type="pct"/>
            <w:tcBorders>
              <w:top w:val="single" w:sz="4" w:space="0" w:color="auto"/>
              <w:left w:val="single" w:sz="4" w:space="0" w:color="auto"/>
              <w:bottom w:val="single" w:sz="4" w:space="0" w:color="auto"/>
              <w:right w:val="single" w:sz="4" w:space="0" w:color="auto"/>
            </w:tcBorders>
            <w:hideMark/>
          </w:tcPr>
          <w:p w14:paraId="3CE1AFCA" w14:textId="77777777" w:rsidR="00B2786E" w:rsidRDefault="00B2786E">
            <w:pPr>
              <w:pStyle w:val="resptext"/>
              <w:tabs>
                <w:tab w:val="left" w:pos="720"/>
              </w:tabs>
              <w:spacing w:before="60" w:line="256" w:lineRule="auto"/>
              <w:ind w:left="0"/>
              <w:jc w:val="center"/>
              <w:rPr>
                <w:color w:val="1D1D1B" w:themeColor="text1"/>
              </w:rPr>
            </w:pPr>
            <w:r>
              <w:rPr>
                <w:bCs/>
                <w:color w:val="1D1D1B" w:themeColor="text1"/>
              </w:rPr>
              <w:t>98</w:t>
            </w:r>
          </w:p>
        </w:tc>
      </w:tr>
      <w:tr w:rsidR="00B2786E" w14:paraId="6956404C" w14:textId="77777777">
        <w:tc>
          <w:tcPr>
            <w:tcW w:w="4478" w:type="pct"/>
            <w:tcBorders>
              <w:top w:val="single" w:sz="4" w:space="0" w:color="auto"/>
              <w:left w:val="single" w:sz="4" w:space="0" w:color="auto"/>
              <w:bottom w:val="single" w:sz="4" w:space="0" w:color="auto"/>
              <w:right w:val="single" w:sz="4" w:space="0" w:color="auto"/>
            </w:tcBorders>
            <w:hideMark/>
          </w:tcPr>
          <w:p w14:paraId="5B0FD9C7" w14:textId="77777777" w:rsidR="00B2786E" w:rsidRDefault="00B2786E">
            <w:pPr>
              <w:pStyle w:val="resptext"/>
              <w:tabs>
                <w:tab w:val="left" w:pos="720"/>
              </w:tabs>
              <w:spacing w:before="60" w:line="256" w:lineRule="auto"/>
              <w:ind w:left="0"/>
              <w:rPr>
                <w:color w:val="1D1D1B" w:themeColor="text1"/>
              </w:rPr>
            </w:pPr>
            <w:r>
              <w:rPr>
                <w:bCs/>
                <w:color w:val="1D1D1B" w:themeColor="text1"/>
              </w:rPr>
              <w:t>Refused</w:t>
            </w:r>
          </w:p>
        </w:tc>
        <w:tc>
          <w:tcPr>
            <w:tcW w:w="522" w:type="pct"/>
            <w:tcBorders>
              <w:top w:val="single" w:sz="4" w:space="0" w:color="auto"/>
              <w:left w:val="single" w:sz="4" w:space="0" w:color="auto"/>
              <w:bottom w:val="single" w:sz="4" w:space="0" w:color="auto"/>
              <w:right w:val="single" w:sz="4" w:space="0" w:color="auto"/>
            </w:tcBorders>
            <w:hideMark/>
          </w:tcPr>
          <w:p w14:paraId="0A228508" w14:textId="77777777" w:rsidR="00B2786E" w:rsidRDefault="00B2786E">
            <w:pPr>
              <w:pStyle w:val="resptext"/>
              <w:tabs>
                <w:tab w:val="left" w:pos="720"/>
              </w:tabs>
              <w:spacing w:before="60" w:line="256" w:lineRule="auto"/>
              <w:ind w:left="0"/>
              <w:jc w:val="center"/>
              <w:rPr>
                <w:color w:val="1D1D1B" w:themeColor="text1"/>
              </w:rPr>
            </w:pPr>
            <w:r>
              <w:rPr>
                <w:bCs/>
                <w:color w:val="1D1D1B" w:themeColor="text1"/>
              </w:rPr>
              <w:t>99</w:t>
            </w:r>
          </w:p>
        </w:tc>
      </w:tr>
    </w:tbl>
    <w:p w14:paraId="2CED8CE3" w14:textId="77777777" w:rsidR="00B2786E" w:rsidRDefault="00B2786E" w:rsidP="00B2786E">
      <w:pPr>
        <w:rPr>
          <w:rFonts w:cs="Arial"/>
          <w:color w:val="FF0000"/>
          <w:sz w:val="22"/>
          <w:lang w:eastAsia="en-GB"/>
        </w:rPr>
      </w:pPr>
    </w:p>
    <w:p w14:paraId="30429BCF" w14:textId="77777777" w:rsidR="00B2786E" w:rsidRDefault="00B2786E" w:rsidP="00B2786E">
      <w:pPr>
        <w:ind w:left="993" w:hanging="993"/>
        <w:rPr>
          <w:rFonts w:cs="Arial"/>
          <w:color w:val="FF0000"/>
          <w:lang w:eastAsia="en-GB"/>
        </w:rPr>
      </w:pPr>
      <w:r>
        <w:rPr>
          <w:rFonts w:cs="Arial"/>
          <w:color w:val="FF0000"/>
          <w:lang w:eastAsia="en-GB"/>
        </w:rPr>
        <w:t xml:space="preserve">ASK </w:t>
      </w:r>
      <w:r>
        <w:rPr>
          <w:rFonts w:cs="Arial"/>
          <w:color w:val="1D1D1B" w:themeColor="text1"/>
        </w:rPr>
        <w:t>IF FRESH</w:t>
      </w:r>
    </w:p>
    <w:p w14:paraId="066028A6" w14:textId="77777777" w:rsidR="00B2786E" w:rsidRDefault="00B2786E" w:rsidP="00B2786E">
      <w:pPr>
        <w:rPr>
          <w:rFonts w:cs="Arial"/>
          <w:lang w:eastAsia="en-GB"/>
        </w:rPr>
      </w:pPr>
      <w:r>
        <w:rPr>
          <w:rFonts w:cs="Arial"/>
          <w:b/>
          <w:bCs/>
          <w:lang w:eastAsia="en-GB"/>
        </w:rPr>
        <w:t xml:space="preserve">A25. </w:t>
      </w:r>
      <w:r>
        <w:rPr>
          <w:rFonts w:cs="Arial"/>
          <w:b/>
          <w:bCs/>
        </w:rPr>
        <w:t xml:space="preserve">Now thinking about the </w:t>
      </w:r>
      <w:r>
        <w:rPr>
          <w:rFonts w:cs="Arial"/>
          <w:b/>
          <w:bCs/>
          <w:color w:val="1D1D1B" w:themeColor="text1"/>
        </w:rPr>
        <w:t>business environment</w:t>
      </w:r>
      <w:r>
        <w:rPr>
          <w:rFonts w:cs="Arial"/>
          <w:b/>
          <w:bCs/>
        </w:rPr>
        <w:t xml:space="preserve"> more generally. </w:t>
      </w:r>
      <w:r>
        <w:rPr>
          <w:rFonts w:cs="Arial"/>
          <w:b/>
          <w:bCs/>
          <w:lang w:eastAsia="en-GB"/>
        </w:rPr>
        <w:t xml:space="preserve">To what extent do you think that each of the following has presented an obstacle to the running of your business as usual up to autumn last year (August - November 2021)? </w:t>
      </w:r>
    </w:p>
    <w:p w14:paraId="3204109E" w14:textId="77777777" w:rsidR="00B2786E" w:rsidRDefault="00B2786E" w:rsidP="00B2786E">
      <w:pPr>
        <w:rPr>
          <w:rFonts w:cs="Arial"/>
          <w:color w:val="FF0000"/>
          <w:lang w:eastAsia="en-GB"/>
        </w:rPr>
      </w:pPr>
      <w:r>
        <w:rPr>
          <w:rFonts w:cs="Arial"/>
          <w:color w:val="FF0000"/>
          <w:lang w:eastAsia="en-GB"/>
        </w:rPr>
        <w:t xml:space="preserve">ROTATE ORDER. </w:t>
      </w:r>
    </w:p>
    <w:p w14:paraId="60FE4C99" w14:textId="77777777" w:rsidR="00B2786E" w:rsidRDefault="00B2786E" w:rsidP="00B2786E">
      <w:pPr>
        <w:rPr>
          <w:rFonts w:cs="Arial"/>
          <w:color w:val="FF0000"/>
          <w:lang w:eastAsia="en-GB"/>
        </w:rPr>
      </w:pPr>
      <w:r>
        <w:rPr>
          <w:rFonts w:cs="Arial"/>
          <w:color w:val="FF0000"/>
          <w:lang w:eastAsia="en-GB"/>
        </w:rPr>
        <w:t xml:space="preserve">SCALE: Major obstacle, minor </w:t>
      </w:r>
      <w:proofErr w:type="gramStart"/>
      <w:r>
        <w:rPr>
          <w:rFonts w:cs="Arial"/>
          <w:color w:val="FF0000"/>
          <w:lang w:eastAsia="en-GB"/>
        </w:rPr>
        <w:t>obstacle</w:t>
      </w:r>
      <w:proofErr w:type="gramEnd"/>
      <w:r>
        <w:rPr>
          <w:rFonts w:cs="Arial"/>
          <w:color w:val="FF0000"/>
          <w:lang w:eastAsia="en-GB"/>
        </w:rPr>
        <w:t xml:space="preserve"> and no obstacle at all</w:t>
      </w:r>
    </w:p>
    <w:p w14:paraId="16CD6333" w14:textId="77777777" w:rsidR="00B2786E" w:rsidRPr="006F30CC" w:rsidRDefault="00B2786E" w:rsidP="00B2786E">
      <w:pPr>
        <w:rPr>
          <w:rFonts w:cs="Arial"/>
          <w:lang w:eastAsia="en-GB"/>
        </w:rPr>
      </w:pPr>
      <w:r>
        <w:rPr>
          <w:rFonts w:cs="Arial"/>
          <w:color w:val="FF0000"/>
          <w:lang w:eastAsia="en-GB"/>
        </w:rPr>
        <w:t xml:space="preserve">ALLOW DON’T KNOW AND REFUSED. </w:t>
      </w:r>
      <w:r>
        <w:rPr>
          <w:rFonts w:cs="Arial"/>
          <w:color w:val="F06603" w:themeColor="accent6"/>
          <w:lang w:eastAsia="en-GB"/>
        </w:rPr>
        <w:t>READ OUT A TO G</w:t>
      </w:r>
      <w:r>
        <w:rPr>
          <w:rFonts w:cs="Arial"/>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5"/>
        <w:gridCol w:w="1039"/>
      </w:tblGrid>
      <w:tr w:rsidR="00B2786E" w14:paraId="35FB9C1A" w14:textId="77777777">
        <w:tc>
          <w:tcPr>
            <w:tcW w:w="4488" w:type="pct"/>
            <w:tcBorders>
              <w:top w:val="single" w:sz="4" w:space="0" w:color="auto"/>
              <w:left w:val="single" w:sz="4" w:space="0" w:color="auto"/>
              <w:bottom w:val="single" w:sz="4" w:space="0" w:color="auto"/>
              <w:right w:val="single" w:sz="4" w:space="0" w:color="auto"/>
            </w:tcBorders>
            <w:hideMark/>
          </w:tcPr>
          <w:p w14:paraId="6063584B" w14:textId="77777777" w:rsidR="00B2786E" w:rsidRDefault="00B2786E">
            <w:pPr>
              <w:spacing w:before="60"/>
              <w:rPr>
                <w:rFonts w:cs="Arial"/>
                <w:color w:val="FF0000"/>
                <w:lang w:eastAsia="en-GB"/>
              </w:rPr>
            </w:pPr>
            <w:r>
              <w:rPr>
                <w:rFonts w:cs="Arial"/>
                <w:color w:val="1D1D1B" w:themeColor="text1"/>
                <w:lang w:eastAsia="en-GB"/>
              </w:rPr>
              <w:t>A Changes in market demand</w:t>
            </w:r>
          </w:p>
        </w:tc>
        <w:tc>
          <w:tcPr>
            <w:tcW w:w="512" w:type="pct"/>
            <w:tcBorders>
              <w:top w:val="single" w:sz="4" w:space="0" w:color="auto"/>
              <w:left w:val="single" w:sz="4" w:space="0" w:color="auto"/>
              <w:bottom w:val="single" w:sz="4" w:space="0" w:color="auto"/>
              <w:right w:val="single" w:sz="4" w:space="0" w:color="auto"/>
            </w:tcBorders>
            <w:hideMark/>
          </w:tcPr>
          <w:p w14:paraId="5E3F1AFF" w14:textId="77777777" w:rsidR="00B2786E" w:rsidRDefault="00B2786E">
            <w:pPr>
              <w:spacing w:before="60"/>
              <w:jc w:val="center"/>
              <w:rPr>
                <w:rFonts w:cs="Arial"/>
                <w:lang w:eastAsia="en-GB"/>
              </w:rPr>
            </w:pPr>
            <w:r>
              <w:rPr>
                <w:rFonts w:cs="Arial"/>
                <w:lang w:eastAsia="en-GB"/>
              </w:rPr>
              <w:t>1</w:t>
            </w:r>
          </w:p>
        </w:tc>
      </w:tr>
      <w:tr w:rsidR="00B2786E" w14:paraId="0C873D55" w14:textId="77777777">
        <w:tc>
          <w:tcPr>
            <w:tcW w:w="4488" w:type="pct"/>
            <w:tcBorders>
              <w:top w:val="single" w:sz="4" w:space="0" w:color="auto"/>
              <w:left w:val="single" w:sz="4" w:space="0" w:color="auto"/>
              <w:bottom w:val="single" w:sz="4" w:space="0" w:color="auto"/>
              <w:right w:val="single" w:sz="4" w:space="0" w:color="auto"/>
            </w:tcBorders>
            <w:hideMark/>
          </w:tcPr>
          <w:p w14:paraId="10A067C4" w14:textId="77777777" w:rsidR="00B2786E" w:rsidRDefault="00B2786E">
            <w:pPr>
              <w:spacing w:before="60"/>
              <w:rPr>
                <w:rFonts w:cs="Arial"/>
                <w:strike/>
                <w:color w:val="1D1D1B" w:themeColor="text1"/>
                <w:lang w:eastAsia="en-GB"/>
              </w:rPr>
            </w:pPr>
            <w:r>
              <w:rPr>
                <w:rFonts w:cs="Arial"/>
                <w:color w:val="1D1D1B" w:themeColor="text1"/>
                <w:lang w:eastAsia="en-GB"/>
              </w:rPr>
              <w:t>B Supply chain disruptions</w:t>
            </w:r>
          </w:p>
        </w:tc>
        <w:tc>
          <w:tcPr>
            <w:tcW w:w="512" w:type="pct"/>
            <w:tcBorders>
              <w:top w:val="single" w:sz="4" w:space="0" w:color="auto"/>
              <w:left w:val="single" w:sz="4" w:space="0" w:color="auto"/>
              <w:bottom w:val="single" w:sz="4" w:space="0" w:color="auto"/>
              <w:right w:val="single" w:sz="4" w:space="0" w:color="auto"/>
            </w:tcBorders>
            <w:hideMark/>
          </w:tcPr>
          <w:p w14:paraId="74B98744" w14:textId="77777777" w:rsidR="00B2786E" w:rsidRDefault="00B2786E">
            <w:pPr>
              <w:spacing w:before="60"/>
              <w:jc w:val="center"/>
              <w:rPr>
                <w:rFonts w:cs="Arial"/>
                <w:lang w:eastAsia="en-GB"/>
              </w:rPr>
            </w:pPr>
            <w:r>
              <w:rPr>
                <w:rFonts w:cs="Arial"/>
                <w:lang w:eastAsia="en-GB"/>
              </w:rPr>
              <w:t>2</w:t>
            </w:r>
          </w:p>
        </w:tc>
      </w:tr>
      <w:tr w:rsidR="00B2786E" w14:paraId="170D6EC5" w14:textId="77777777">
        <w:tc>
          <w:tcPr>
            <w:tcW w:w="4488" w:type="pct"/>
            <w:tcBorders>
              <w:top w:val="single" w:sz="4" w:space="0" w:color="auto"/>
              <w:left w:val="single" w:sz="4" w:space="0" w:color="auto"/>
              <w:bottom w:val="single" w:sz="4" w:space="0" w:color="auto"/>
              <w:right w:val="single" w:sz="4" w:space="0" w:color="auto"/>
            </w:tcBorders>
            <w:hideMark/>
          </w:tcPr>
          <w:p w14:paraId="3B48A2A5" w14:textId="77777777" w:rsidR="00B2786E" w:rsidRDefault="00B2786E">
            <w:pPr>
              <w:spacing w:before="60"/>
              <w:rPr>
                <w:rFonts w:cs="Arial"/>
                <w:color w:val="FF0000"/>
                <w:lang w:eastAsia="en-GB"/>
              </w:rPr>
            </w:pPr>
            <w:r>
              <w:rPr>
                <w:rFonts w:cs="Arial"/>
                <w:color w:val="1D1D1B" w:themeColor="text1"/>
                <w:lang w:eastAsia="en-GB"/>
              </w:rPr>
              <w:t>C Issues with late payment</w:t>
            </w:r>
          </w:p>
        </w:tc>
        <w:tc>
          <w:tcPr>
            <w:tcW w:w="512" w:type="pct"/>
            <w:tcBorders>
              <w:top w:val="single" w:sz="4" w:space="0" w:color="auto"/>
              <w:left w:val="single" w:sz="4" w:space="0" w:color="auto"/>
              <w:bottom w:val="single" w:sz="4" w:space="0" w:color="auto"/>
              <w:right w:val="single" w:sz="4" w:space="0" w:color="auto"/>
            </w:tcBorders>
            <w:hideMark/>
          </w:tcPr>
          <w:p w14:paraId="6C9479B1" w14:textId="77777777" w:rsidR="00B2786E" w:rsidRDefault="00B2786E">
            <w:pPr>
              <w:spacing w:before="60"/>
              <w:jc w:val="center"/>
              <w:rPr>
                <w:rFonts w:cs="Arial"/>
                <w:lang w:eastAsia="en-GB"/>
              </w:rPr>
            </w:pPr>
            <w:r>
              <w:rPr>
                <w:rFonts w:cs="Arial"/>
                <w:lang w:eastAsia="en-GB"/>
              </w:rPr>
              <w:t>3</w:t>
            </w:r>
          </w:p>
        </w:tc>
      </w:tr>
      <w:tr w:rsidR="00B2786E" w14:paraId="66D9948A" w14:textId="77777777">
        <w:tc>
          <w:tcPr>
            <w:tcW w:w="4488" w:type="pct"/>
            <w:tcBorders>
              <w:top w:val="single" w:sz="4" w:space="0" w:color="auto"/>
              <w:left w:val="single" w:sz="4" w:space="0" w:color="auto"/>
              <w:bottom w:val="single" w:sz="4" w:space="0" w:color="auto"/>
              <w:right w:val="single" w:sz="4" w:space="0" w:color="auto"/>
            </w:tcBorders>
            <w:hideMark/>
          </w:tcPr>
          <w:p w14:paraId="795F2B98" w14:textId="77777777" w:rsidR="00B2786E" w:rsidRDefault="00B2786E">
            <w:pPr>
              <w:spacing w:before="60"/>
              <w:rPr>
                <w:rFonts w:cs="Arial"/>
                <w:color w:val="1D1D1B" w:themeColor="text1"/>
                <w:lang w:eastAsia="en-GB"/>
              </w:rPr>
            </w:pPr>
            <w:r>
              <w:rPr>
                <w:rFonts w:cs="Arial"/>
                <w:color w:val="1D1D1B" w:themeColor="text1"/>
                <w:lang w:eastAsia="en-GB"/>
              </w:rPr>
              <w:t>D Access to external finance</w:t>
            </w:r>
          </w:p>
        </w:tc>
        <w:tc>
          <w:tcPr>
            <w:tcW w:w="512" w:type="pct"/>
            <w:tcBorders>
              <w:top w:val="single" w:sz="4" w:space="0" w:color="auto"/>
              <w:left w:val="single" w:sz="4" w:space="0" w:color="auto"/>
              <w:bottom w:val="single" w:sz="4" w:space="0" w:color="auto"/>
              <w:right w:val="single" w:sz="4" w:space="0" w:color="auto"/>
            </w:tcBorders>
            <w:hideMark/>
          </w:tcPr>
          <w:p w14:paraId="5318509E" w14:textId="77777777" w:rsidR="00B2786E" w:rsidRDefault="00B2786E">
            <w:pPr>
              <w:spacing w:before="60"/>
              <w:jc w:val="center"/>
              <w:rPr>
                <w:rFonts w:cs="Arial"/>
                <w:lang w:eastAsia="en-GB"/>
              </w:rPr>
            </w:pPr>
            <w:r>
              <w:rPr>
                <w:rFonts w:cs="Arial"/>
                <w:lang w:eastAsia="en-GB"/>
              </w:rPr>
              <w:t>4</w:t>
            </w:r>
          </w:p>
        </w:tc>
      </w:tr>
      <w:tr w:rsidR="00B2786E" w14:paraId="6320907D" w14:textId="77777777">
        <w:tc>
          <w:tcPr>
            <w:tcW w:w="4488" w:type="pct"/>
            <w:tcBorders>
              <w:top w:val="single" w:sz="4" w:space="0" w:color="auto"/>
              <w:left w:val="single" w:sz="4" w:space="0" w:color="auto"/>
              <w:bottom w:val="single" w:sz="4" w:space="0" w:color="auto"/>
              <w:right w:val="single" w:sz="4" w:space="0" w:color="auto"/>
            </w:tcBorders>
            <w:hideMark/>
          </w:tcPr>
          <w:p w14:paraId="4424557D" w14:textId="77777777" w:rsidR="00B2786E" w:rsidRDefault="00B2786E">
            <w:pPr>
              <w:spacing w:before="60"/>
              <w:rPr>
                <w:rFonts w:cs="Arial"/>
                <w:color w:val="1D1D1B" w:themeColor="text1"/>
                <w:lang w:eastAsia="en-GB"/>
              </w:rPr>
            </w:pPr>
            <w:r>
              <w:rPr>
                <w:rFonts w:cs="Arial"/>
                <w:color w:val="1D1D1B" w:themeColor="text1"/>
                <w:lang w:eastAsia="en-GB"/>
              </w:rPr>
              <w:lastRenderedPageBreak/>
              <w:t>E Availability of staff</w:t>
            </w:r>
          </w:p>
        </w:tc>
        <w:tc>
          <w:tcPr>
            <w:tcW w:w="512" w:type="pct"/>
            <w:tcBorders>
              <w:top w:val="single" w:sz="4" w:space="0" w:color="auto"/>
              <w:left w:val="single" w:sz="4" w:space="0" w:color="auto"/>
              <w:bottom w:val="single" w:sz="4" w:space="0" w:color="auto"/>
              <w:right w:val="single" w:sz="4" w:space="0" w:color="auto"/>
            </w:tcBorders>
            <w:hideMark/>
          </w:tcPr>
          <w:p w14:paraId="40F070B4" w14:textId="77777777" w:rsidR="00B2786E" w:rsidRDefault="00B2786E">
            <w:pPr>
              <w:spacing w:before="60"/>
              <w:jc w:val="center"/>
              <w:rPr>
                <w:rFonts w:cs="Arial"/>
                <w:color w:val="1D1D1B" w:themeColor="text1"/>
                <w:lang w:eastAsia="en-GB"/>
              </w:rPr>
            </w:pPr>
            <w:r>
              <w:rPr>
                <w:rFonts w:cs="Arial"/>
                <w:color w:val="1D1D1B" w:themeColor="text1"/>
                <w:lang w:eastAsia="en-GB"/>
              </w:rPr>
              <w:t>5</w:t>
            </w:r>
          </w:p>
        </w:tc>
      </w:tr>
      <w:tr w:rsidR="00B2786E" w14:paraId="61BA57CA" w14:textId="77777777">
        <w:tc>
          <w:tcPr>
            <w:tcW w:w="4488" w:type="pct"/>
            <w:tcBorders>
              <w:top w:val="single" w:sz="4" w:space="0" w:color="auto"/>
              <w:left w:val="single" w:sz="4" w:space="0" w:color="auto"/>
              <w:bottom w:val="single" w:sz="4" w:space="0" w:color="auto"/>
              <w:right w:val="single" w:sz="4" w:space="0" w:color="auto"/>
            </w:tcBorders>
            <w:hideMark/>
          </w:tcPr>
          <w:p w14:paraId="73540936" w14:textId="77777777" w:rsidR="00B2786E" w:rsidRDefault="00B2786E">
            <w:pPr>
              <w:spacing w:before="60"/>
              <w:rPr>
                <w:rFonts w:cs="Arial"/>
                <w:color w:val="1D1D1B" w:themeColor="text1"/>
                <w:lang w:eastAsia="en-GB"/>
              </w:rPr>
            </w:pPr>
            <w:r>
              <w:rPr>
                <w:rFonts w:cs="Arial"/>
                <w:color w:val="1D1D1B" w:themeColor="text1"/>
                <w:lang w:eastAsia="en-GB"/>
              </w:rPr>
              <w:t>F Changes you [</w:t>
            </w:r>
            <w:r>
              <w:rPr>
                <w:rFonts w:cs="Arial"/>
                <w:color w:val="FF0000"/>
                <w:lang w:eastAsia="en-GB"/>
              </w:rPr>
              <w:t xml:space="preserve">IF ONLINE: </w:t>
            </w:r>
            <w:proofErr w:type="gramStart"/>
            <w:r>
              <w:rPr>
                <w:rFonts w:cs="Arial"/>
                <w:color w:val="1D1D1B" w:themeColor="text1"/>
                <w:lang w:eastAsia="en-GB"/>
              </w:rPr>
              <w:t>I]need</w:t>
            </w:r>
            <w:proofErr w:type="gramEnd"/>
            <w:r>
              <w:rPr>
                <w:rFonts w:cs="Arial"/>
                <w:color w:val="1D1D1B" w:themeColor="text1"/>
                <w:lang w:eastAsia="en-GB"/>
              </w:rPr>
              <w:t xml:space="preserve"> to make to my business to make it ‘</w:t>
            </w:r>
            <w:r>
              <w:rPr>
                <w:rFonts w:cs="Arial"/>
                <w:color w:val="1D1D1B" w:themeColor="text1"/>
              </w:rPr>
              <w:t xml:space="preserve">Covid-19 </w:t>
            </w:r>
            <w:r>
              <w:rPr>
                <w:rFonts w:cs="Arial"/>
                <w:color w:val="1D1D1B" w:themeColor="text1"/>
                <w:lang w:eastAsia="en-GB"/>
              </w:rPr>
              <w:t>compliant’  e.g. forced closure or adhering to social distancing/public health restrictions</w:t>
            </w:r>
          </w:p>
        </w:tc>
        <w:tc>
          <w:tcPr>
            <w:tcW w:w="512" w:type="pct"/>
            <w:tcBorders>
              <w:top w:val="single" w:sz="4" w:space="0" w:color="auto"/>
              <w:left w:val="single" w:sz="4" w:space="0" w:color="auto"/>
              <w:bottom w:val="single" w:sz="4" w:space="0" w:color="auto"/>
              <w:right w:val="single" w:sz="4" w:space="0" w:color="auto"/>
            </w:tcBorders>
            <w:hideMark/>
          </w:tcPr>
          <w:p w14:paraId="79F25BD8" w14:textId="77777777" w:rsidR="00B2786E" w:rsidRDefault="00B2786E">
            <w:pPr>
              <w:spacing w:before="60"/>
              <w:jc w:val="center"/>
              <w:rPr>
                <w:rFonts w:cs="Arial"/>
                <w:color w:val="1D1D1B" w:themeColor="text1"/>
                <w:lang w:eastAsia="en-GB"/>
              </w:rPr>
            </w:pPr>
            <w:r>
              <w:rPr>
                <w:rFonts w:cs="Arial"/>
                <w:color w:val="1D1D1B" w:themeColor="text1"/>
                <w:lang w:eastAsia="en-GB"/>
              </w:rPr>
              <w:t>6</w:t>
            </w:r>
          </w:p>
        </w:tc>
      </w:tr>
      <w:tr w:rsidR="00B2786E" w14:paraId="047EAEA5" w14:textId="77777777">
        <w:tc>
          <w:tcPr>
            <w:tcW w:w="4488" w:type="pct"/>
            <w:tcBorders>
              <w:top w:val="single" w:sz="4" w:space="0" w:color="auto"/>
              <w:left w:val="single" w:sz="4" w:space="0" w:color="auto"/>
              <w:bottom w:val="single" w:sz="4" w:space="0" w:color="auto"/>
              <w:right w:val="single" w:sz="4" w:space="0" w:color="auto"/>
            </w:tcBorders>
          </w:tcPr>
          <w:p w14:paraId="44C6D6FF" w14:textId="77777777" w:rsidR="00B2786E" w:rsidRDefault="00B2786E">
            <w:pPr>
              <w:spacing w:before="60"/>
              <w:rPr>
                <w:rFonts w:cs="Arial"/>
                <w:color w:val="1D1D1B" w:themeColor="text1"/>
                <w:lang w:eastAsia="en-GB"/>
              </w:rPr>
            </w:pPr>
          </w:p>
        </w:tc>
        <w:tc>
          <w:tcPr>
            <w:tcW w:w="512" w:type="pct"/>
            <w:tcBorders>
              <w:top w:val="single" w:sz="4" w:space="0" w:color="auto"/>
              <w:left w:val="single" w:sz="4" w:space="0" w:color="auto"/>
              <w:bottom w:val="single" w:sz="4" w:space="0" w:color="auto"/>
              <w:right w:val="single" w:sz="4" w:space="0" w:color="auto"/>
            </w:tcBorders>
          </w:tcPr>
          <w:p w14:paraId="1B32BCB8" w14:textId="77777777" w:rsidR="00B2786E" w:rsidRDefault="00B2786E">
            <w:pPr>
              <w:spacing w:before="60"/>
              <w:jc w:val="center"/>
              <w:rPr>
                <w:rFonts w:cs="Arial"/>
                <w:color w:val="1D1D1B" w:themeColor="text1"/>
                <w:lang w:eastAsia="en-GB"/>
              </w:rPr>
            </w:pPr>
          </w:p>
        </w:tc>
      </w:tr>
    </w:tbl>
    <w:p w14:paraId="0AFEB494" w14:textId="77777777" w:rsidR="00B2786E" w:rsidRPr="006F30CC" w:rsidRDefault="00B2786E" w:rsidP="00B2786E">
      <w:pPr>
        <w:rPr>
          <w:rFonts w:eastAsia="Calibri" w:cs="Arial"/>
          <w:b/>
          <w:color w:val="1D1D1B" w:themeColor="text1"/>
          <w:sz w:val="22"/>
          <w:lang w:eastAsia="en-GB"/>
        </w:rPr>
      </w:pPr>
      <w:r>
        <w:rPr>
          <w:rFonts w:cs="Arial"/>
        </w:rPr>
        <w:t>SECTION C</w:t>
      </w:r>
      <w:r>
        <w:rPr>
          <w:rFonts w:cs="Arial"/>
        </w:rPr>
        <w:tab/>
        <w:t>SELF REPORTED IMPACTS OF THE COVID-19 LOAN GUARANTEE SCHEME</w:t>
      </w:r>
    </w:p>
    <w:p w14:paraId="686253ED" w14:textId="77777777" w:rsidR="00B2786E" w:rsidRDefault="00B2786E" w:rsidP="00B2786E">
      <w:pPr>
        <w:ind w:left="993" w:hanging="993"/>
        <w:rPr>
          <w:rFonts w:cs="Arial"/>
          <w:b/>
          <w:bCs/>
          <w:color w:val="1D1D1B" w:themeColor="text1"/>
        </w:rPr>
      </w:pPr>
      <w:r>
        <w:rPr>
          <w:rFonts w:cs="Arial"/>
          <w:b/>
          <w:bCs/>
          <w:color w:val="1D1D1B" w:themeColor="text1"/>
        </w:rPr>
        <w:t>NOTE C1 DELETED IN W2</w:t>
      </w:r>
    </w:p>
    <w:p w14:paraId="1F3A93DA" w14:textId="77777777" w:rsidR="00B2786E" w:rsidRDefault="00B2786E" w:rsidP="00B2786E">
      <w:pPr>
        <w:rPr>
          <w:rFonts w:ascii="Times New Roman" w:hAnsi="Times New Roman"/>
          <w:szCs w:val="24"/>
          <w:lang w:eastAsia="en-GB"/>
        </w:rPr>
      </w:pPr>
      <w:r>
        <w:rPr>
          <w:rFonts w:cs="Arial"/>
          <w:color w:val="FF0000"/>
        </w:rPr>
        <w:t xml:space="preserve">ASK ALL LOAN RECIPIENTS </w:t>
      </w:r>
    </w:p>
    <w:p w14:paraId="2546C320" w14:textId="77777777" w:rsidR="00B2786E" w:rsidRDefault="00B2786E" w:rsidP="00B2786E">
      <w:pPr>
        <w:pStyle w:val="CommentText"/>
        <w:rPr>
          <w:rFonts w:cs="Arial"/>
          <w:b/>
          <w:color w:val="FF0000"/>
          <w:lang w:eastAsia="en-GB"/>
        </w:rPr>
      </w:pPr>
      <w:r>
        <w:rPr>
          <w:rFonts w:cs="Arial"/>
          <w:b/>
        </w:rPr>
        <w:t xml:space="preserve">C2 </w:t>
      </w:r>
      <w:r>
        <w:rPr>
          <w:rFonts w:cs="Arial"/>
          <w:b/>
          <w:lang w:eastAsia="en-GB"/>
        </w:rPr>
        <w:t xml:space="preserve">If you had not been able to access funding from the </w:t>
      </w:r>
      <w:r>
        <w:rPr>
          <w:rFonts w:cs="Arial"/>
          <w:b/>
          <w:color w:val="FF0000"/>
          <w:lang w:eastAsia="en-GB"/>
        </w:rPr>
        <w:t xml:space="preserve">[INSERT FROM SAMPLE: Coronavirus Bounce Back Loan Scheme/Coronavirus Business Interruption Loan Scheme/Coronavirus Large Business Interruption Loan Scheme], </w:t>
      </w:r>
      <w:bookmarkStart w:id="238" w:name="_Hlk109075888"/>
      <w:r>
        <w:rPr>
          <w:rFonts w:cs="Arial"/>
          <w:b/>
          <w:color w:val="FF0000"/>
          <w:lang w:eastAsia="en-GB"/>
        </w:rPr>
        <w:t xml:space="preserve"> </w:t>
      </w:r>
    </w:p>
    <w:p w14:paraId="26B86D8E" w14:textId="77777777" w:rsidR="00B2786E" w:rsidRDefault="00B2786E" w:rsidP="00B2786E">
      <w:pPr>
        <w:pStyle w:val="CommentText"/>
        <w:rPr>
          <w:rFonts w:cs="Arial"/>
          <w:b/>
          <w:color w:val="FF0000"/>
          <w:lang w:eastAsia="en-GB"/>
        </w:rPr>
      </w:pPr>
      <w:proofErr w:type="spellStart"/>
      <w:proofErr w:type="gramStart"/>
      <w:r>
        <w:rPr>
          <w:rFonts w:cs="Arial"/>
          <w:b/>
          <w:color w:val="FF0000"/>
          <w:lang w:eastAsia="en-GB"/>
        </w:rPr>
        <w:t>AA:</w:t>
      </w:r>
      <w:r>
        <w:rPr>
          <w:rFonts w:cs="Arial"/>
          <w:b/>
          <w:lang w:eastAsia="en-GB"/>
        </w:rPr>
        <w:t>how</w:t>
      </w:r>
      <w:proofErr w:type="spellEnd"/>
      <w:proofErr w:type="gramEnd"/>
      <w:r>
        <w:rPr>
          <w:rFonts w:cs="Arial"/>
          <w:b/>
          <w:lang w:eastAsia="en-GB"/>
        </w:rPr>
        <w:t xml:space="preserve"> likely or unlikely is it that your business would have permanently closed before the end of 2021? </w:t>
      </w:r>
      <w:bookmarkEnd w:id="238"/>
    </w:p>
    <w:p w14:paraId="0C4FACA4" w14:textId="77777777" w:rsidR="00B2786E" w:rsidRDefault="00B2786E" w:rsidP="00B2786E">
      <w:pPr>
        <w:pStyle w:val="CommentText"/>
        <w:rPr>
          <w:rFonts w:cs="Arial"/>
          <w:b/>
          <w:lang w:eastAsia="en-GB"/>
        </w:rPr>
      </w:pPr>
    </w:p>
    <w:p w14:paraId="679ED110" w14:textId="77777777" w:rsidR="00B2786E" w:rsidRDefault="00B2786E" w:rsidP="00B2786E">
      <w:pPr>
        <w:pStyle w:val="CommentText"/>
        <w:rPr>
          <w:rFonts w:cs="Arial"/>
          <w:b/>
          <w:color w:val="FF0000"/>
        </w:rPr>
      </w:pPr>
      <w:r>
        <w:rPr>
          <w:rFonts w:cs="Arial"/>
          <w:b/>
          <w:lang w:eastAsia="en-GB"/>
        </w:rPr>
        <w:t>IF FRESH: BB:  and how likely or unlikely is it that your business would have permanently closed before the end of 2020?</w:t>
      </w:r>
    </w:p>
    <w:p w14:paraId="52C74993" w14:textId="77777777" w:rsidR="00B2786E" w:rsidRDefault="00B2786E" w:rsidP="00B2786E">
      <w:pPr>
        <w:pStyle w:val="CommentText"/>
        <w:rPr>
          <w:rFonts w:cs="Arial"/>
          <w:b/>
          <w:lang w:eastAsia="en-GB"/>
        </w:rPr>
      </w:pPr>
      <w:r>
        <w:rPr>
          <w:rFonts w:cs="Arial"/>
          <w:b/>
          <w:lang w:eastAsia="en-GB"/>
        </w:rPr>
        <w:t>(Or before the end of last year)</w:t>
      </w:r>
    </w:p>
    <w:p w14:paraId="425E626C" w14:textId="77777777" w:rsidR="00B2786E" w:rsidRDefault="00B2786E" w:rsidP="00B2786E">
      <w:pPr>
        <w:pStyle w:val="04ABodyText"/>
        <w:spacing w:before="0" w:after="0" w:line="240" w:lineRule="auto"/>
        <w:rPr>
          <w:rFonts w:ascii="Arial" w:hAnsi="Arial"/>
        </w:rPr>
      </w:pPr>
    </w:p>
    <w:p w14:paraId="39F290CB" w14:textId="77777777" w:rsidR="00B2786E" w:rsidRDefault="00B2786E" w:rsidP="00B2786E">
      <w:pPr>
        <w:rPr>
          <w:rFonts w:cs="Arial"/>
          <w:color w:val="FF0000"/>
        </w:rPr>
      </w:pPr>
      <w:r>
        <w:rPr>
          <w:rFonts w:cs="Arial"/>
          <w:color w:val="FF0000"/>
        </w:rPr>
        <w:t xml:space="preserve">SINGLE CODE ONLY. </w:t>
      </w:r>
      <w:r>
        <w:rPr>
          <w:rFonts w:cs="Arial"/>
          <w:color w:val="F06603" w:themeColor="accent6"/>
        </w:rPr>
        <w:t>READ OUT CODES.</w:t>
      </w:r>
    </w:p>
    <w:p w14:paraId="29A98122" w14:textId="77777777" w:rsidR="00B2786E" w:rsidRDefault="00B2786E" w:rsidP="00B2786E">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5"/>
        <w:gridCol w:w="899"/>
      </w:tblGrid>
      <w:tr w:rsidR="00B2786E" w14:paraId="719AD02C" w14:textId="77777777">
        <w:tc>
          <w:tcPr>
            <w:tcW w:w="4557" w:type="pct"/>
            <w:tcBorders>
              <w:top w:val="single" w:sz="4" w:space="0" w:color="auto"/>
              <w:left w:val="single" w:sz="4" w:space="0" w:color="auto"/>
              <w:bottom w:val="single" w:sz="4" w:space="0" w:color="auto"/>
              <w:right w:val="single" w:sz="4" w:space="0" w:color="auto"/>
            </w:tcBorders>
            <w:hideMark/>
          </w:tcPr>
          <w:p w14:paraId="66CBB078" w14:textId="77777777" w:rsidR="00B2786E" w:rsidRDefault="00B2786E">
            <w:pPr>
              <w:pStyle w:val="resptext"/>
              <w:tabs>
                <w:tab w:val="left" w:pos="720"/>
              </w:tabs>
              <w:spacing w:before="60" w:line="256" w:lineRule="auto"/>
              <w:ind w:left="0"/>
              <w:rPr>
                <w:bCs/>
              </w:rPr>
            </w:pPr>
            <w:proofErr w:type="gramStart"/>
            <w:r>
              <w:lastRenderedPageBreak/>
              <w:t>Definitely would</w:t>
            </w:r>
            <w:proofErr w:type="gramEnd"/>
            <w:r>
              <w:t xml:space="preserve"> have closed</w:t>
            </w:r>
          </w:p>
        </w:tc>
        <w:tc>
          <w:tcPr>
            <w:tcW w:w="443" w:type="pct"/>
            <w:tcBorders>
              <w:top w:val="single" w:sz="4" w:space="0" w:color="auto"/>
              <w:left w:val="single" w:sz="4" w:space="0" w:color="auto"/>
              <w:bottom w:val="single" w:sz="4" w:space="0" w:color="auto"/>
              <w:right w:val="single" w:sz="4" w:space="0" w:color="auto"/>
            </w:tcBorders>
            <w:hideMark/>
          </w:tcPr>
          <w:p w14:paraId="2F3DD17F" w14:textId="77777777" w:rsidR="00B2786E" w:rsidRDefault="00B2786E">
            <w:pPr>
              <w:spacing w:before="60"/>
              <w:jc w:val="center"/>
              <w:rPr>
                <w:rFonts w:cs="Arial"/>
              </w:rPr>
            </w:pPr>
            <w:r>
              <w:rPr>
                <w:rFonts w:cs="Arial"/>
              </w:rPr>
              <w:t>1</w:t>
            </w:r>
          </w:p>
        </w:tc>
      </w:tr>
      <w:tr w:rsidR="00B2786E" w14:paraId="04BF5979" w14:textId="77777777">
        <w:tc>
          <w:tcPr>
            <w:tcW w:w="4557" w:type="pct"/>
            <w:tcBorders>
              <w:top w:val="single" w:sz="4" w:space="0" w:color="auto"/>
              <w:left w:val="single" w:sz="4" w:space="0" w:color="auto"/>
              <w:bottom w:val="single" w:sz="4" w:space="0" w:color="auto"/>
              <w:right w:val="single" w:sz="4" w:space="0" w:color="auto"/>
            </w:tcBorders>
            <w:hideMark/>
          </w:tcPr>
          <w:p w14:paraId="5B311C6C" w14:textId="77777777" w:rsidR="00B2786E" w:rsidRDefault="00B2786E">
            <w:pPr>
              <w:pStyle w:val="resptext"/>
              <w:tabs>
                <w:tab w:val="left" w:pos="720"/>
              </w:tabs>
              <w:spacing w:before="60" w:line="256" w:lineRule="auto"/>
              <w:ind w:left="0"/>
              <w:rPr>
                <w:bCs/>
              </w:rPr>
            </w:pPr>
            <w:r>
              <w:t>Very likely</w:t>
            </w:r>
          </w:p>
        </w:tc>
        <w:tc>
          <w:tcPr>
            <w:tcW w:w="443" w:type="pct"/>
            <w:tcBorders>
              <w:top w:val="single" w:sz="4" w:space="0" w:color="auto"/>
              <w:left w:val="single" w:sz="4" w:space="0" w:color="auto"/>
              <w:bottom w:val="single" w:sz="4" w:space="0" w:color="auto"/>
              <w:right w:val="single" w:sz="4" w:space="0" w:color="auto"/>
            </w:tcBorders>
            <w:hideMark/>
          </w:tcPr>
          <w:p w14:paraId="061C3F91" w14:textId="77777777" w:rsidR="00B2786E" w:rsidRDefault="00B2786E">
            <w:pPr>
              <w:spacing w:before="60"/>
              <w:jc w:val="center"/>
              <w:rPr>
                <w:rFonts w:cs="Arial"/>
              </w:rPr>
            </w:pPr>
            <w:r>
              <w:rPr>
                <w:rFonts w:cs="Arial"/>
              </w:rPr>
              <w:t>2</w:t>
            </w:r>
          </w:p>
        </w:tc>
      </w:tr>
      <w:tr w:rsidR="00B2786E" w14:paraId="0A8C0FDF" w14:textId="77777777">
        <w:tc>
          <w:tcPr>
            <w:tcW w:w="4557" w:type="pct"/>
            <w:tcBorders>
              <w:top w:val="single" w:sz="4" w:space="0" w:color="auto"/>
              <w:left w:val="single" w:sz="4" w:space="0" w:color="auto"/>
              <w:bottom w:val="single" w:sz="4" w:space="0" w:color="auto"/>
              <w:right w:val="single" w:sz="4" w:space="0" w:color="auto"/>
            </w:tcBorders>
            <w:hideMark/>
          </w:tcPr>
          <w:p w14:paraId="3BD8287C" w14:textId="77777777" w:rsidR="00B2786E" w:rsidRDefault="00B2786E">
            <w:pPr>
              <w:pStyle w:val="resptext"/>
              <w:tabs>
                <w:tab w:val="left" w:pos="720"/>
              </w:tabs>
              <w:spacing w:before="60" w:line="256" w:lineRule="auto"/>
              <w:ind w:left="0"/>
            </w:pPr>
            <w:r>
              <w:t>Fairly likely</w:t>
            </w:r>
          </w:p>
        </w:tc>
        <w:tc>
          <w:tcPr>
            <w:tcW w:w="443" w:type="pct"/>
            <w:tcBorders>
              <w:top w:val="single" w:sz="4" w:space="0" w:color="auto"/>
              <w:left w:val="single" w:sz="4" w:space="0" w:color="auto"/>
              <w:bottom w:val="single" w:sz="4" w:space="0" w:color="auto"/>
              <w:right w:val="single" w:sz="4" w:space="0" w:color="auto"/>
            </w:tcBorders>
            <w:hideMark/>
          </w:tcPr>
          <w:p w14:paraId="6E95F95B" w14:textId="77777777" w:rsidR="00B2786E" w:rsidRDefault="00B2786E">
            <w:pPr>
              <w:spacing w:before="60"/>
              <w:jc w:val="center"/>
              <w:rPr>
                <w:rFonts w:cs="Arial"/>
              </w:rPr>
            </w:pPr>
            <w:r>
              <w:rPr>
                <w:rFonts w:cs="Arial"/>
              </w:rPr>
              <w:t>3</w:t>
            </w:r>
          </w:p>
        </w:tc>
      </w:tr>
      <w:tr w:rsidR="00B2786E" w14:paraId="1DFA6018" w14:textId="77777777">
        <w:tc>
          <w:tcPr>
            <w:tcW w:w="4557" w:type="pct"/>
            <w:tcBorders>
              <w:top w:val="single" w:sz="4" w:space="0" w:color="auto"/>
              <w:left w:val="single" w:sz="4" w:space="0" w:color="auto"/>
              <w:bottom w:val="single" w:sz="4" w:space="0" w:color="auto"/>
              <w:right w:val="single" w:sz="4" w:space="0" w:color="auto"/>
            </w:tcBorders>
            <w:hideMark/>
          </w:tcPr>
          <w:p w14:paraId="3A49A292" w14:textId="77777777" w:rsidR="00B2786E" w:rsidRDefault="00B2786E">
            <w:pPr>
              <w:pStyle w:val="resptext"/>
              <w:tabs>
                <w:tab w:val="left" w:pos="720"/>
              </w:tabs>
              <w:spacing w:before="60" w:line="256" w:lineRule="auto"/>
              <w:ind w:left="0"/>
            </w:pPr>
            <w:r>
              <w:t xml:space="preserve">Fairly unlikely </w:t>
            </w:r>
          </w:p>
        </w:tc>
        <w:tc>
          <w:tcPr>
            <w:tcW w:w="443" w:type="pct"/>
            <w:tcBorders>
              <w:top w:val="single" w:sz="4" w:space="0" w:color="auto"/>
              <w:left w:val="single" w:sz="4" w:space="0" w:color="auto"/>
              <w:bottom w:val="single" w:sz="4" w:space="0" w:color="auto"/>
              <w:right w:val="single" w:sz="4" w:space="0" w:color="auto"/>
            </w:tcBorders>
            <w:hideMark/>
          </w:tcPr>
          <w:p w14:paraId="35EE9C99" w14:textId="77777777" w:rsidR="00B2786E" w:rsidRDefault="00B2786E">
            <w:pPr>
              <w:spacing w:before="60"/>
              <w:jc w:val="center"/>
              <w:rPr>
                <w:rFonts w:cs="Arial"/>
              </w:rPr>
            </w:pPr>
            <w:r>
              <w:rPr>
                <w:rFonts w:cs="Arial"/>
              </w:rPr>
              <w:t>4</w:t>
            </w:r>
          </w:p>
        </w:tc>
      </w:tr>
      <w:tr w:rsidR="00B2786E" w14:paraId="75590865" w14:textId="77777777">
        <w:tc>
          <w:tcPr>
            <w:tcW w:w="4557" w:type="pct"/>
            <w:tcBorders>
              <w:top w:val="single" w:sz="4" w:space="0" w:color="auto"/>
              <w:left w:val="single" w:sz="4" w:space="0" w:color="auto"/>
              <w:bottom w:val="single" w:sz="4" w:space="0" w:color="auto"/>
              <w:right w:val="single" w:sz="4" w:space="0" w:color="auto"/>
            </w:tcBorders>
            <w:hideMark/>
          </w:tcPr>
          <w:p w14:paraId="29452946" w14:textId="77777777" w:rsidR="00B2786E" w:rsidRDefault="00B2786E">
            <w:pPr>
              <w:pStyle w:val="resptext"/>
              <w:tabs>
                <w:tab w:val="left" w:pos="720"/>
              </w:tabs>
              <w:spacing w:before="60" w:line="256" w:lineRule="auto"/>
              <w:ind w:left="0"/>
            </w:pPr>
            <w:r>
              <w:t>Very unlikely</w:t>
            </w:r>
          </w:p>
        </w:tc>
        <w:tc>
          <w:tcPr>
            <w:tcW w:w="443" w:type="pct"/>
            <w:tcBorders>
              <w:top w:val="single" w:sz="4" w:space="0" w:color="auto"/>
              <w:left w:val="single" w:sz="4" w:space="0" w:color="auto"/>
              <w:bottom w:val="single" w:sz="4" w:space="0" w:color="auto"/>
              <w:right w:val="single" w:sz="4" w:space="0" w:color="auto"/>
            </w:tcBorders>
            <w:hideMark/>
          </w:tcPr>
          <w:p w14:paraId="5D4D30E1" w14:textId="77777777" w:rsidR="00B2786E" w:rsidRDefault="00B2786E">
            <w:pPr>
              <w:spacing w:before="60"/>
              <w:jc w:val="center"/>
              <w:rPr>
                <w:rFonts w:cs="Arial"/>
              </w:rPr>
            </w:pPr>
            <w:r>
              <w:rPr>
                <w:rFonts w:cs="Arial"/>
              </w:rPr>
              <w:t>5</w:t>
            </w:r>
          </w:p>
        </w:tc>
      </w:tr>
      <w:tr w:rsidR="00B2786E" w14:paraId="134545E4" w14:textId="77777777">
        <w:tc>
          <w:tcPr>
            <w:tcW w:w="4557" w:type="pct"/>
            <w:tcBorders>
              <w:top w:val="single" w:sz="4" w:space="0" w:color="auto"/>
              <w:left w:val="single" w:sz="4" w:space="0" w:color="auto"/>
              <w:bottom w:val="single" w:sz="4" w:space="0" w:color="auto"/>
              <w:right w:val="single" w:sz="4" w:space="0" w:color="auto"/>
            </w:tcBorders>
            <w:hideMark/>
          </w:tcPr>
          <w:p w14:paraId="73A3F0AA" w14:textId="77777777" w:rsidR="00B2786E" w:rsidRDefault="00B2786E">
            <w:pPr>
              <w:pStyle w:val="resptext"/>
              <w:tabs>
                <w:tab w:val="left" w:pos="720"/>
              </w:tabs>
              <w:spacing w:before="60" w:line="256" w:lineRule="auto"/>
              <w:ind w:left="0"/>
            </w:pPr>
            <w:proofErr w:type="gramStart"/>
            <w:r>
              <w:t>Definitely would</w:t>
            </w:r>
            <w:proofErr w:type="gramEnd"/>
            <w:r>
              <w:t xml:space="preserve"> not have closed</w:t>
            </w:r>
          </w:p>
        </w:tc>
        <w:tc>
          <w:tcPr>
            <w:tcW w:w="443" w:type="pct"/>
            <w:tcBorders>
              <w:top w:val="single" w:sz="4" w:space="0" w:color="auto"/>
              <w:left w:val="single" w:sz="4" w:space="0" w:color="auto"/>
              <w:bottom w:val="single" w:sz="4" w:space="0" w:color="auto"/>
              <w:right w:val="single" w:sz="4" w:space="0" w:color="auto"/>
            </w:tcBorders>
            <w:hideMark/>
          </w:tcPr>
          <w:p w14:paraId="7354B233" w14:textId="77777777" w:rsidR="00B2786E" w:rsidRDefault="00B2786E">
            <w:pPr>
              <w:spacing w:before="60"/>
              <w:jc w:val="center"/>
              <w:rPr>
                <w:rFonts w:cs="Arial"/>
              </w:rPr>
            </w:pPr>
            <w:r>
              <w:rPr>
                <w:rFonts w:cs="Arial"/>
              </w:rPr>
              <w:t>6</w:t>
            </w:r>
          </w:p>
        </w:tc>
      </w:tr>
      <w:tr w:rsidR="00B2786E" w14:paraId="6D444F37" w14:textId="77777777">
        <w:tc>
          <w:tcPr>
            <w:tcW w:w="4557" w:type="pct"/>
            <w:tcBorders>
              <w:top w:val="single" w:sz="4" w:space="0" w:color="auto"/>
              <w:left w:val="single" w:sz="4" w:space="0" w:color="auto"/>
              <w:bottom w:val="single" w:sz="4" w:space="0" w:color="auto"/>
              <w:right w:val="single" w:sz="4" w:space="0" w:color="auto"/>
            </w:tcBorders>
            <w:hideMark/>
          </w:tcPr>
          <w:p w14:paraId="6396FCF0" w14:textId="77777777" w:rsidR="00B2786E" w:rsidRDefault="00B2786E">
            <w:pPr>
              <w:pStyle w:val="resptext"/>
              <w:tabs>
                <w:tab w:val="left" w:pos="720"/>
              </w:tabs>
              <w:spacing w:before="60" w:line="256" w:lineRule="auto"/>
              <w:ind w:left="0"/>
            </w:pPr>
            <w:r>
              <w:t>Don’t know</w:t>
            </w:r>
          </w:p>
        </w:tc>
        <w:tc>
          <w:tcPr>
            <w:tcW w:w="443" w:type="pct"/>
            <w:tcBorders>
              <w:top w:val="single" w:sz="4" w:space="0" w:color="auto"/>
              <w:left w:val="single" w:sz="4" w:space="0" w:color="auto"/>
              <w:bottom w:val="single" w:sz="4" w:space="0" w:color="auto"/>
              <w:right w:val="single" w:sz="4" w:space="0" w:color="auto"/>
            </w:tcBorders>
            <w:hideMark/>
          </w:tcPr>
          <w:p w14:paraId="32727D79" w14:textId="77777777" w:rsidR="00B2786E" w:rsidRDefault="00B2786E">
            <w:pPr>
              <w:spacing w:before="60"/>
              <w:jc w:val="center"/>
              <w:rPr>
                <w:rFonts w:cs="Arial"/>
              </w:rPr>
            </w:pPr>
            <w:r>
              <w:rPr>
                <w:rFonts w:cs="Arial"/>
              </w:rPr>
              <w:t>98</w:t>
            </w:r>
          </w:p>
        </w:tc>
      </w:tr>
      <w:tr w:rsidR="00B2786E" w14:paraId="55921901" w14:textId="77777777">
        <w:trPr>
          <w:trHeight w:val="70"/>
        </w:trPr>
        <w:tc>
          <w:tcPr>
            <w:tcW w:w="4557" w:type="pct"/>
            <w:tcBorders>
              <w:top w:val="single" w:sz="4" w:space="0" w:color="auto"/>
              <w:left w:val="single" w:sz="4" w:space="0" w:color="auto"/>
              <w:bottom w:val="single" w:sz="4" w:space="0" w:color="auto"/>
              <w:right w:val="single" w:sz="4" w:space="0" w:color="auto"/>
            </w:tcBorders>
            <w:hideMark/>
          </w:tcPr>
          <w:p w14:paraId="709FDD06" w14:textId="77777777" w:rsidR="00B2786E" w:rsidRDefault="00B2786E">
            <w:pPr>
              <w:pStyle w:val="resptext"/>
              <w:tabs>
                <w:tab w:val="left" w:pos="720"/>
              </w:tabs>
              <w:spacing w:before="60" w:line="256" w:lineRule="auto"/>
              <w:ind w:left="0"/>
              <w:rPr>
                <w:color w:val="FFFFFF" w:themeColor="background1"/>
              </w:rPr>
            </w:pPr>
            <w:r>
              <w:t>Refused</w:t>
            </w:r>
          </w:p>
        </w:tc>
        <w:tc>
          <w:tcPr>
            <w:tcW w:w="443" w:type="pct"/>
            <w:tcBorders>
              <w:top w:val="single" w:sz="4" w:space="0" w:color="auto"/>
              <w:left w:val="single" w:sz="4" w:space="0" w:color="auto"/>
              <w:bottom w:val="single" w:sz="4" w:space="0" w:color="auto"/>
              <w:right w:val="single" w:sz="4" w:space="0" w:color="auto"/>
            </w:tcBorders>
            <w:hideMark/>
          </w:tcPr>
          <w:p w14:paraId="3FEF2CAF" w14:textId="77777777" w:rsidR="00B2786E" w:rsidRDefault="00B2786E">
            <w:pPr>
              <w:spacing w:before="60"/>
              <w:jc w:val="center"/>
              <w:rPr>
                <w:rFonts w:cs="Arial"/>
                <w:color w:val="FFFFFF" w:themeColor="background1"/>
              </w:rPr>
            </w:pPr>
            <w:r>
              <w:rPr>
                <w:rFonts w:cs="Arial"/>
              </w:rPr>
              <w:t>99</w:t>
            </w:r>
          </w:p>
        </w:tc>
      </w:tr>
    </w:tbl>
    <w:p w14:paraId="60D616A0" w14:textId="77777777" w:rsidR="00B2786E" w:rsidRDefault="00B2786E" w:rsidP="00B2786E">
      <w:pPr>
        <w:rPr>
          <w:rFonts w:cs="Arial"/>
          <w:color w:val="FFFFFF" w:themeColor="background1"/>
          <w:sz w:val="22"/>
        </w:rPr>
      </w:pPr>
    </w:p>
    <w:p w14:paraId="102EDB1C" w14:textId="77777777" w:rsidR="00B2786E" w:rsidRPr="006F30CC" w:rsidRDefault="00B2786E" w:rsidP="00B2786E">
      <w:pPr>
        <w:rPr>
          <w:rFonts w:cs="Arial"/>
          <w:bCs/>
          <w:color w:val="FF0000"/>
          <w:lang w:eastAsia="en-GB"/>
        </w:rPr>
      </w:pPr>
      <w:r>
        <w:rPr>
          <w:rFonts w:cs="Arial"/>
          <w:bCs/>
          <w:color w:val="FF0000"/>
          <w:lang w:eastAsia="en-GB"/>
        </w:rPr>
        <w:t xml:space="preserve">ASK ALL LOAN RECIPIENTS </w:t>
      </w:r>
      <w:r>
        <w:rPr>
          <w:rFonts w:cs="Arial"/>
          <w:bCs/>
          <w:color w:val="FF0000"/>
        </w:rPr>
        <w:t>(</w:t>
      </w:r>
    </w:p>
    <w:p w14:paraId="7098729F" w14:textId="77777777" w:rsidR="00B2786E" w:rsidRPr="00585D17" w:rsidRDefault="00B2786E" w:rsidP="00B2786E">
      <w:pPr>
        <w:rPr>
          <w:bCs/>
        </w:rPr>
      </w:pPr>
      <w:r w:rsidRPr="006F30CC">
        <w:rPr>
          <w:b/>
          <w:bCs/>
        </w:rPr>
        <w:t>SECTION D</w:t>
      </w:r>
      <w:r w:rsidRPr="006F30CC">
        <w:rPr>
          <w:b/>
          <w:bCs/>
        </w:rPr>
        <w:tab/>
        <w:t>MARKETS AND COMPETITORS</w:t>
      </w:r>
    </w:p>
    <w:p w14:paraId="23723978" w14:textId="77777777" w:rsidR="00B2786E" w:rsidRDefault="00B2786E" w:rsidP="00B2786E">
      <w:pPr>
        <w:pStyle w:val="04ABodyText"/>
        <w:spacing w:before="0" w:after="0" w:line="240" w:lineRule="auto"/>
        <w:rPr>
          <w:rFonts w:ascii="Arial" w:hAnsi="Arial"/>
          <w:b/>
        </w:rPr>
      </w:pPr>
    </w:p>
    <w:p w14:paraId="7013863C" w14:textId="77777777" w:rsidR="00B2786E" w:rsidRDefault="00B2786E" w:rsidP="00B2786E">
      <w:pPr>
        <w:pStyle w:val="04ABodyText"/>
        <w:spacing w:before="0" w:after="0" w:line="240" w:lineRule="auto"/>
        <w:rPr>
          <w:rFonts w:ascii="Arial" w:hAnsi="Arial"/>
          <w:color w:val="FF0000"/>
        </w:rPr>
      </w:pPr>
      <w:r>
        <w:rPr>
          <w:rFonts w:ascii="Arial" w:hAnsi="Arial"/>
          <w:color w:val="FF0000"/>
        </w:rPr>
        <w:t>SHOW ALL</w:t>
      </w:r>
    </w:p>
    <w:p w14:paraId="38119D3D" w14:textId="77777777" w:rsidR="00B2786E" w:rsidRDefault="00B2786E" w:rsidP="00B2786E">
      <w:pPr>
        <w:pStyle w:val="04ABodyText"/>
        <w:spacing w:before="0" w:after="0" w:line="240" w:lineRule="auto"/>
        <w:rPr>
          <w:rFonts w:ascii="Arial" w:hAnsi="Arial"/>
          <w:b/>
        </w:rPr>
      </w:pPr>
      <w:r>
        <w:rPr>
          <w:rFonts w:ascii="Arial" w:hAnsi="Arial"/>
          <w:b/>
        </w:rPr>
        <w:t xml:space="preserve">The next few questions are asking about your business’ competitors, and </w:t>
      </w:r>
      <w:proofErr w:type="gramStart"/>
      <w:r>
        <w:rPr>
          <w:rFonts w:ascii="Arial" w:hAnsi="Arial"/>
          <w:b/>
        </w:rPr>
        <w:t>your</w:t>
      </w:r>
      <w:proofErr w:type="gramEnd"/>
      <w:r>
        <w:rPr>
          <w:rFonts w:ascii="Arial" w:hAnsi="Arial"/>
          <w:b/>
        </w:rPr>
        <w:t xml:space="preserve"> exporting or importing plans.</w:t>
      </w:r>
    </w:p>
    <w:p w14:paraId="16CA074D" w14:textId="77777777" w:rsidR="00B2786E" w:rsidRDefault="00B2786E" w:rsidP="00B2786E">
      <w:pPr>
        <w:pStyle w:val="04ABodyText"/>
        <w:spacing w:before="0" w:after="0" w:line="240" w:lineRule="auto"/>
        <w:rPr>
          <w:rFonts w:ascii="Arial" w:hAnsi="Arial"/>
        </w:rPr>
      </w:pPr>
    </w:p>
    <w:p w14:paraId="5F86DC27" w14:textId="77777777" w:rsidR="00B2786E" w:rsidRDefault="00B2786E" w:rsidP="00B2786E">
      <w:pPr>
        <w:ind w:left="993" w:hanging="993"/>
        <w:rPr>
          <w:rFonts w:cs="Arial"/>
          <w:b/>
          <w:bCs/>
          <w:color w:val="1D1D1B" w:themeColor="text1"/>
        </w:rPr>
      </w:pPr>
      <w:r>
        <w:rPr>
          <w:rFonts w:cs="Arial"/>
          <w:b/>
          <w:bCs/>
          <w:color w:val="1D1D1B" w:themeColor="text1"/>
        </w:rPr>
        <w:t>NOTE D1 DELETED IN W2</w:t>
      </w:r>
    </w:p>
    <w:p w14:paraId="53B8B370" w14:textId="77777777" w:rsidR="00B2786E" w:rsidRDefault="00B2786E" w:rsidP="00B2786E">
      <w:pPr>
        <w:pStyle w:val="GrandTitre"/>
        <w:tabs>
          <w:tab w:val="left" w:pos="709"/>
        </w:tabs>
        <w:ind w:right="0"/>
        <w:rPr>
          <w:rFonts w:ascii="Arial" w:hAnsi="Arial" w:cs="Arial"/>
          <w:color w:val="FF0000"/>
          <w:lang w:val="en-GB" w:eastAsia="en-GB"/>
        </w:rPr>
      </w:pPr>
    </w:p>
    <w:p w14:paraId="6FC89F69" w14:textId="77777777" w:rsidR="00B2786E" w:rsidRDefault="00B2786E" w:rsidP="00B2786E">
      <w:pPr>
        <w:pStyle w:val="05BBullets2ndlevel"/>
        <w:spacing w:before="0" w:after="0" w:line="240" w:lineRule="auto"/>
        <w:rPr>
          <w:bCs/>
          <w:color w:val="FF0000"/>
          <w:sz w:val="20"/>
          <w:lang w:eastAsia="en-US"/>
        </w:rPr>
      </w:pPr>
      <w:r>
        <w:rPr>
          <w:bCs/>
          <w:color w:val="FF0000"/>
          <w:sz w:val="20"/>
        </w:rPr>
        <w:t>ASK ALL RECIPIENTS (BBLS, CBILS, CLBILS)</w:t>
      </w:r>
    </w:p>
    <w:p w14:paraId="7E98632C" w14:textId="77777777" w:rsidR="00B2786E" w:rsidRPr="006F30CC" w:rsidRDefault="00B2786E" w:rsidP="00B2786E">
      <w:pPr>
        <w:rPr>
          <w:rFonts w:cs="Arial"/>
          <w:sz w:val="22"/>
        </w:rPr>
      </w:pPr>
      <w:r>
        <w:rPr>
          <w:rFonts w:cs="Arial"/>
          <w:b/>
          <w:bCs/>
        </w:rPr>
        <w:t>D2 Now thinking about your competitors, how would you describe the nature of the competition in your main market/s (defined with respect to the type of goods and services you sell and the geographic area in which you sell them) over the past year? Please think about your circumstances since Autumn 2021. Would you say that there was…?</w:t>
      </w:r>
      <w:r>
        <w:rPr>
          <w:rFonts w:cs="Arial"/>
        </w:rPr>
        <w:t xml:space="preserve">  </w:t>
      </w:r>
      <w:r>
        <w:rPr>
          <w:rFonts w:cs="Arial"/>
          <w:color w:val="FF0000"/>
        </w:rPr>
        <w:t xml:space="preserve">REVERSE SCALE. SINGLE CODE ONLY. </w:t>
      </w:r>
      <w:r>
        <w:rPr>
          <w:rFonts w:cs="Arial"/>
          <w:color w:val="F06603" w:themeColor="accent6"/>
        </w:rPr>
        <w:t>READ OUT SCALE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9"/>
        <w:gridCol w:w="1075"/>
      </w:tblGrid>
      <w:tr w:rsidR="00B2786E" w14:paraId="2B33BDDC" w14:textId="77777777">
        <w:tc>
          <w:tcPr>
            <w:tcW w:w="4470" w:type="pct"/>
            <w:tcBorders>
              <w:top w:val="single" w:sz="4" w:space="0" w:color="auto"/>
              <w:left w:val="single" w:sz="4" w:space="0" w:color="auto"/>
              <w:bottom w:val="single" w:sz="4" w:space="0" w:color="auto"/>
              <w:right w:val="single" w:sz="4" w:space="0" w:color="auto"/>
            </w:tcBorders>
            <w:hideMark/>
          </w:tcPr>
          <w:p w14:paraId="37217BB5" w14:textId="77777777" w:rsidR="00B2786E" w:rsidRDefault="00B2786E">
            <w:pPr>
              <w:pStyle w:val="resptext"/>
              <w:tabs>
                <w:tab w:val="left" w:pos="720"/>
              </w:tabs>
              <w:spacing w:before="60" w:line="256" w:lineRule="auto"/>
              <w:ind w:left="0"/>
              <w:rPr>
                <w:bCs/>
                <w:color w:val="1D1D1B" w:themeColor="text1"/>
              </w:rPr>
            </w:pPr>
            <w:r>
              <w:rPr>
                <w:bCs/>
                <w:color w:val="1D1D1B" w:themeColor="text1"/>
              </w:rPr>
              <w:lastRenderedPageBreak/>
              <w:t>Very intense competition</w:t>
            </w:r>
          </w:p>
        </w:tc>
        <w:tc>
          <w:tcPr>
            <w:tcW w:w="530" w:type="pct"/>
            <w:tcBorders>
              <w:top w:val="single" w:sz="4" w:space="0" w:color="auto"/>
              <w:left w:val="single" w:sz="4" w:space="0" w:color="auto"/>
              <w:bottom w:val="single" w:sz="4" w:space="0" w:color="auto"/>
              <w:right w:val="single" w:sz="4" w:space="0" w:color="auto"/>
            </w:tcBorders>
            <w:hideMark/>
          </w:tcPr>
          <w:p w14:paraId="1A9397D0" w14:textId="77777777" w:rsidR="00B2786E" w:rsidRDefault="00B2786E">
            <w:pPr>
              <w:pStyle w:val="resptext"/>
              <w:tabs>
                <w:tab w:val="left" w:pos="720"/>
              </w:tabs>
              <w:spacing w:before="60" w:line="256" w:lineRule="auto"/>
              <w:ind w:left="0"/>
              <w:jc w:val="center"/>
              <w:rPr>
                <w:bCs/>
                <w:color w:val="1D1D1B" w:themeColor="text1"/>
              </w:rPr>
            </w:pPr>
            <w:r>
              <w:rPr>
                <w:bCs/>
                <w:color w:val="1D1D1B" w:themeColor="text1"/>
              </w:rPr>
              <w:t>1</w:t>
            </w:r>
          </w:p>
        </w:tc>
      </w:tr>
      <w:tr w:rsidR="00B2786E" w14:paraId="0DF9A824" w14:textId="77777777">
        <w:trPr>
          <w:trHeight w:val="85"/>
        </w:trPr>
        <w:tc>
          <w:tcPr>
            <w:tcW w:w="4470" w:type="pct"/>
            <w:tcBorders>
              <w:top w:val="single" w:sz="4" w:space="0" w:color="auto"/>
              <w:left w:val="single" w:sz="4" w:space="0" w:color="auto"/>
              <w:bottom w:val="single" w:sz="4" w:space="0" w:color="auto"/>
              <w:right w:val="single" w:sz="4" w:space="0" w:color="auto"/>
            </w:tcBorders>
            <w:hideMark/>
          </w:tcPr>
          <w:p w14:paraId="7B077CB5"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Intense competition</w:t>
            </w:r>
          </w:p>
        </w:tc>
        <w:tc>
          <w:tcPr>
            <w:tcW w:w="530" w:type="pct"/>
            <w:tcBorders>
              <w:top w:val="single" w:sz="4" w:space="0" w:color="auto"/>
              <w:left w:val="single" w:sz="4" w:space="0" w:color="auto"/>
              <w:bottom w:val="single" w:sz="4" w:space="0" w:color="auto"/>
              <w:right w:val="single" w:sz="4" w:space="0" w:color="auto"/>
            </w:tcBorders>
            <w:hideMark/>
          </w:tcPr>
          <w:p w14:paraId="69481926" w14:textId="77777777" w:rsidR="00B2786E" w:rsidRDefault="00B2786E">
            <w:pPr>
              <w:pStyle w:val="resptext"/>
              <w:tabs>
                <w:tab w:val="left" w:pos="720"/>
              </w:tabs>
              <w:spacing w:before="60" w:line="256" w:lineRule="auto"/>
              <w:ind w:left="0"/>
              <w:jc w:val="center"/>
              <w:rPr>
                <w:bCs/>
                <w:color w:val="1D1D1B" w:themeColor="text1"/>
              </w:rPr>
            </w:pPr>
            <w:r>
              <w:rPr>
                <w:bCs/>
                <w:color w:val="1D1D1B" w:themeColor="text1"/>
              </w:rPr>
              <w:t>2</w:t>
            </w:r>
          </w:p>
        </w:tc>
      </w:tr>
      <w:tr w:rsidR="00B2786E" w14:paraId="0F5C9B1A" w14:textId="77777777">
        <w:tc>
          <w:tcPr>
            <w:tcW w:w="4470" w:type="pct"/>
            <w:tcBorders>
              <w:top w:val="single" w:sz="4" w:space="0" w:color="auto"/>
              <w:left w:val="single" w:sz="4" w:space="0" w:color="auto"/>
              <w:bottom w:val="single" w:sz="4" w:space="0" w:color="auto"/>
              <w:right w:val="single" w:sz="4" w:space="0" w:color="auto"/>
            </w:tcBorders>
            <w:hideMark/>
          </w:tcPr>
          <w:p w14:paraId="3DB41EAE"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Moderate competition</w:t>
            </w:r>
          </w:p>
        </w:tc>
        <w:tc>
          <w:tcPr>
            <w:tcW w:w="530" w:type="pct"/>
            <w:tcBorders>
              <w:top w:val="single" w:sz="4" w:space="0" w:color="auto"/>
              <w:left w:val="single" w:sz="4" w:space="0" w:color="auto"/>
              <w:bottom w:val="single" w:sz="4" w:space="0" w:color="auto"/>
              <w:right w:val="single" w:sz="4" w:space="0" w:color="auto"/>
            </w:tcBorders>
            <w:hideMark/>
          </w:tcPr>
          <w:p w14:paraId="4209DC7E" w14:textId="77777777" w:rsidR="00B2786E" w:rsidRDefault="00B2786E">
            <w:pPr>
              <w:pStyle w:val="resptext"/>
              <w:tabs>
                <w:tab w:val="left" w:pos="720"/>
              </w:tabs>
              <w:spacing w:before="60" w:line="256" w:lineRule="auto"/>
              <w:ind w:left="0"/>
              <w:jc w:val="center"/>
              <w:rPr>
                <w:bCs/>
                <w:color w:val="1D1D1B" w:themeColor="text1"/>
              </w:rPr>
            </w:pPr>
            <w:r>
              <w:rPr>
                <w:bCs/>
                <w:color w:val="1D1D1B" w:themeColor="text1"/>
              </w:rPr>
              <w:t>3</w:t>
            </w:r>
          </w:p>
        </w:tc>
      </w:tr>
      <w:tr w:rsidR="00B2786E" w14:paraId="618DD7F4" w14:textId="77777777">
        <w:tc>
          <w:tcPr>
            <w:tcW w:w="4470" w:type="pct"/>
            <w:tcBorders>
              <w:top w:val="single" w:sz="4" w:space="0" w:color="auto"/>
              <w:left w:val="single" w:sz="4" w:space="0" w:color="auto"/>
              <w:bottom w:val="single" w:sz="4" w:space="0" w:color="auto"/>
              <w:right w:val="single" w:sz="4" w:space="0" w:color="auto"/>
            </w:tcBorders>
            <w:hideMark/>
          </w:tcPr>
          <w:p w14:paraId="6EB6F94D"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Weak competition</w:t>
            </w:r>
          </w:p>
        </w:tc>
        <w:tc>
          <w:tcPr>
            <w:tcW w:w="530" w:type="pct"/>
            <w:tcBorders>
              <w:top w:val="single" w:sz="4" w:space="0" w:color="auto"/>
              <w:left w:val="single" w:sz="4" w:space="0" w:color="auto"/>
              <w:bottom w:val="single" w:sz="4" w:space="0" w:color="auto"/>
              <w:right w:val="single" w:sz="4" w:space="0" w:color="auto"/>
            </w:tcBorders>
            <w:hideMark/>
          </w:tcPr>
          <w:p w14:paraId="7C86FC66" w14:textId="77777777" w:rsidR="00B2786E" w:rsidRDefault="00B2786E">
            <w:pPr>
              <w:pStyle w:val="resptext"/>
              <w:tabs>
                <w:tab w:val="left" w:pos="720"/>
              </w:tabs>
              <w:spacing w:before="60" w:line="256" w:lineRule="auto"/>
              <w:ind w:left="0"/>
              <w:jc w:val="center"/>
              <w:rPr>
                <w:bCs/>
                <w:color w:val="1D1D1B" w:themeColor="text1"/>
              </w:rPr>
            </w:pPr>
            <w:r>
              <w:rPr>
                <w:bCs/>
                <w:color w:val="1D1D1B" w:themeColor="text1"/>
              </w:rPr>
              <w:t>4</w:t>
            </w:r>
          </w:p>
        </w:tc>
      </w:tr>
      <w:tr w:rsidR="00B2786E" w14:paraId="4EF5A714" w14:textId="77777777">
        <w:tc>
          <w:tcPr>
            <w:tcW w:w="4470" w:type="pct"/>
            <w:tcBorders>
              <w:top w:val="single" w:sz="4" w:space="0" w:color="auto"/>
              <w:left w:val="single" w:sz="4" w:space="0" w:color="auto"/>
              <w:bottom w:val="single" w:sz="4" w:space="0" w:color="auto"/>
              <w:right w:val="single" w:sz="4" w:space="0" w:color="auto"/>
            </w:tcBorders>
            <w:hideMark/>
          </w:tcPr>
          <w:p w14:paraId="19A29212"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No competition at all</w:t>
            </w:r>
          </w:p>
        </w:tc>
        <w:tc>
          <w:tcPr>
            <w:tcW w:w="530" w:type="pct"/>
            <w:tcBorders>
              <w:top w:val="single" w:sz="4" w:space="0" w:color="auto"/>
              <w:left w:val="single" w:sz="4" w:space="0" w:color="auto"/>
              <w:bottom w:val="single" w:sz="4" w:space="0" w:color="auto"/>
              <w:right w:val="single" w:sz="4" w:space="0" w:color="auto"/>
            </w:tcBorders>
            <w:hideMark/>
          </w:tcPr>
          <w:p w14:paraId="0CCA7BA2" w14:textId="77777777" w:rsidR="00B2786E" w:rsidRDefault="00B2786E">
            <w:pPr>
              <w:pStyle w:val="resptext"/>
              <w:tabs>
                <w:tab w:val="left" w:pos="720"/>
              </w:tabs>
              <w:spacing w:before="60" w:line="256" w:lineRule="auto"/>
              <w:ind w:left="0"/>
              <w:jc w:val="center"/>
              <w:rPr>
                <w:bCs/>
                <w:color w:val="1D1D1B" w:themeColor="text1"/>
              </w:rPr>
            </w:pPr>
            <w:r>
              <w:rPr>
                <w:bCs/>
                <w:color w:val="1D1D1B" w:themeColor="text1"/>
              </w:rPr>
              <w:t>5</w:t>
            </w:r>
          </w:p>
        </w:tc>
      </w:tr>
      <w:tr w:rsidR="00B2786E" w14:paraId="6A8DC428" w14:textId="77777777">
        <w:tc>
          <w:tcPr>
            <w:tcW w:w="4470" w:type="pct"/>
            <w:tcBorders>
              <w:top w:val="single" w:sz="4" w:space="0" w:color="auto"/>
              <w:left w:val="single" w:sz="4" w:space="0" w:color="auto"/>
              <w:bottom w:val="single" w:sz="4" w:space="0" w:color="auto"/>
              <w:right w:val="single" w:sz="4" w:space="0" w:color="auto"/>
            </w:tcBorders>
            <w:hideMark/>
          </w:tcPr>
          <w:p w14:paraId="41179111"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Don’t know</w:t>
            </w:r>
          </w:p>
        </w:tc>
        <w:tc>
          <w:tcPr>
            <w:tcW w:w="530" w:type="pct"/>
            <w:tcBorders>
              <w:top w:val="single" w:sz="4" w:space="0" w:color="auto"/>
              <w:left w:val="single" w:sz="4" w:space="0" w:color="auto"/>
              <w:bottom w:val="single" w:sz="4" w:space="0" w:color="auto"/>
              <w:right w:val="single" w:sz="4" w:space="0" w:color="auto"/>
            </w:tcBorders>
            <w:hideMark/>
          </w:tcPr>
          <w:p w14:paraId="40251B1B" w14:textId="77777777" w:rsidR="00B2786E" w:rsidRDefault="00B2786E">
            <w:pPr>
              <w:pStyle w:val="resptext"/>
              <w:tabs>
                <w:tab w:val="left" w:pos="720"/>
              </w:tabs>
              <w:spacing w:before="60" w:line="256" w:lineRule="auto"/>
              <w:ind w:left="0"/>
              <w:jc w:val="center"/>
              <w:rPr>
                <w:bCs/>
                <w:color w:val="1D1D1B" w:themeColor="text1"/>
              </w:rPr>
            </w:pPr>
            <w:r>
              <w:rPr>
                <w:bCs/>
                <w:color w:val="1D1D1B" w:themeColor="text1"/>
              </w:rPr>
              <w:t>98</w:t>
            </w:r>
          </w:p>
        </w:tc>
      </w:tr>
      <w:tr w:rsidR="00B2786E" w14:paraId="779A4CD0" w14:textId="77777777">
        <w:tc>
          <w:tcPr>
            <w:tcW w:w="4470" w:type="pct"/>
            <w:tcBorders>
              <w:top w:val="single" w:sz="4" w:space="0" w:color="auto"/>
              <w:left w:val="single" w:sz="4" w:space="0" w:color="auto"/>
              <w:bottom w:val="single" w:sz="4" w:space="0" w:color="auto"/>
              <w:right w:val="single" w:sz="4" w:space="0" w:color="auto"/>
            </w:tcBorders>
            <w:hideMark/>
          </w:tcPr>
          <w:p w14:paraId="5BAB1B34" w14:textId="77777777" w:rsidR="00B2786E" w:rsidRDefault="00B2786E">
            <w:pPr>
              <w:pStyle w:val="resptext"/>
              <w:tabs>
                <w:tab w:val="left" w:pos="720"/>
              </w:tabs>
              <w:spacing w:before="60" w:line="256" w:lineRule="auto"/>
              <w:ind w:left="0"/>
              <w:rPr>
                <w:bCs/>
                <w:color w:val="1D1D1B" w:themeColor="text1"/>
              </w:rPr>
            </w:pPr>
            <w:r>
              <w:rPr>
                <w:bCs/>
                <w:color w:val="1D1D1B" w:themeColor="text1"/>
              </w:rPr>
              <w:t>Refused</w:t>
            </w:r>
          </w:p>
        </w:tc>
        <w:tc>
          <w:tcPr>
            <w:tcW w:w="530" w:type="pct"/>
            <w:tcBorders>
              <w:top w:val="single" w:sz="4" w:space="0" w:color="auto"/>
              <w:left w:val="single" w:sz="4" w:space="0" w:color="auto"/>
              <w:bottom w:val="single" w:sz="4" w:space="0" w:color="auto"/>
              <w:right w:val="single" w:sz="4" w:space="0" w:color="auto"/>
            </w:tcBorders>
            <w:hideMark/>
          </w:tcPr>
          <w:p w14:paraId="4E3F9094" w14:textId="77777777" w:rsidR="00B2786E" w:rsidRDefault="00B2786E">
            <w:pPr>
              <w:pStyle w:val="resptext"/>
              <w:tabs>
                <w:tab w:val="left" w:pos="720"/>
              </w:tabs>
              <w:spacing w:before="60" w:line="256" w:lineRule="auto"/>
              <w:ind w:left="0"/>
              <w:jc w:val="center"/>
              <w:rPr>
                <w:bCs/>
                <w:color w:val="1D1D1B" w:themeColor="text1"/>
              </w:rPr>
            </w:pPr>
            <w:r>
              <w:rPr>
                <w:bCs/>
                <w:color w:val="1D1D1B" w:themeColor="text1"/>
              </w:rPr>
              <w:t>99</w:t>
            </w:r>
          </w:p>
        </w:tc>
      </w:tr>
    </w:tbl>
    <w:p w14:paraId="7581B99A" w14:textId="77777777" w:rsidR="00B2786E" w:rsidRDefault="00B2786E" w:rsidP="00B2786E">
      <w:pPr>
        <w:rPr>
          <w:rFonts w:cs="Arial"/>
          <w:bCs/>
          <w:color w:val="1D1D1B" w:themeColor="text1"/>
          <w:sz w:val="22"/>
          <w:lang w:eastAsia="en-GB"/>
        </w:rPr>
      </w:pPr>
    </w:p>
    <w:p w14:paraId="0CBA3479" w14:textId="77777777" w:rsidR="00B2786E" w:rsidRDefault="00B2786E" w:rsidP="00B2786E">
      <w:pPr>
        <w:rPr>
          <w:rFonts w:cs="Arial"/>
          <w:b/>
          <w:bCs/>
          <w:color w:val="1D1D1B" w:themeColor="text1"/>
        </w:rPr>
      </w:pPr>
      <w:r>
        <w:rPr>
          <w:rFonts w:cs="Arial"/>
          <w:b/>
          <w:bCs/>
          <w:color w:val="1D1D1B" w:themeColor="text1"/>
        </w:rPr>
        <w:t>NOTE D3 DELETED IN W2</w:t>
      </w:r>
    </w:p>
    <w:p w14:paraId="5E7BAC3E" w14:textId="77777777" w:rsidR="00B2786E" w:rsidRDefault="00B2786E" w:rsidP="00B2786E">
      <w:pPr>
        <w:rPr>
          <w:rFonts w:cs="Arial"/>
          <w:b/>
          <w:bCs/>
          <w:color w:val="1D1D1B" w:themeColor="text1"/>
        </w:rPr>
      </w:pPr>
      <w:r>
        <w:rPr>
          <w:rFonts w:cs="Arial"/>
          <w:b/>
          <w:bCs/>
          <w:color w:val="1D1D1B" w:themeColor="text1"/>
        </w:rPr>
        <w:t>ASK ALL RECIPIENTS</w:t>
      </w:r>
    </w:p>
    <w:p w14:paraId="498BBFC2" w14:textId="77777777" w:rsidR="00B2786E" w:rsidRPr="006F30CC" w:rsidRDefault="00B2786E" w:rsidP="00B2786E">
      <w:pPr>
        <w:rPr>
          <w:rFonts w:cs="Arial"/>
        </w:rPr>
      </w:pPr>
      <w:r>
        <w:rPr>
          <w:rFonts w:cs="Arial"/>
          <w:b/>
          <w:bCs/>
        </w:rPr>
        <w:t>D4 Thinking about your business over the past year (</w:t>
      </w:r>
      <w:proofErr w:type="gramStart"/>
      <w:r>
        <w:rPr>
          <w:rFonts w:cs="Arial"/>
          <w:b/>
          <w:bCs/>
        </w:rPr>
        <w:t>i.e.</w:t>
      </w:r>
      <w:proofErr w:type="gramEnd"/>
      <w:r>
        <w:rPr>
          <w:rFonts w:cs="Arial"/>
          <w:b/>
          <w:bCs/>
        </w:rPr>
        <w:t xml:space="preserve"> since Autumn 2021), if your business was to permanently cease trading do you think any of your competitors would take up your sales? </w:t>
      </w:r>
      <w:r>
        <w:rPr>
          <w:rFonts w:cs="Arial"/>
          <w:bCs/>
          <w:color w:val="FF0000"/>
        </w:rPr>
        <w:t>REVERSE SCALE.</w:t>
      </w:r>
      <w:r>
        <w:rPr>
          <w:rFonts w:cs="Arial"/>
          <w:b/>
          <w:bCs/>
          <w:color w:val="FF0000"/>
        </w:rPr>
        <w:t xml:space="preserve"> </w:t>
      </w:r>
      <w:r>
        <w:rPr>
          <w:rFonts w:cs="Arial"/>
          <w:color w:val="FF0000"/>
        </w:rPr>
        <w:t xml:space="preserve">SINGLE CODE ONLY. </w:t>
      </w:r>
      <w:r>
        <w:rPr>
          <w:rFonts w:cs="Arial"/>
          <w:bCs/>
          <w:color w:val="F06603" w:themeColor="accent6"/>
        </w:rPr>
        <w:t>READ OUT SCALE</w:t>
      </w:r>
      <w:r>
        <w:rPr>
          <w:rFonts w:cs="Arial"/>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9"/>
        <w:gridCol w:w="1075"/>
      </w:tblGrid>
      <w:tr w:rsidR="00B2786E" w14:paraId="49BE4A60" w14:textId="77777777">
        <w:tc>
          <w:tcPr>
            <w:tcW w:w="4470" w:type="pct"/>
            <w:tcBorders>
              <w:top w:val="single" w:sz="4" w:space="0" w:color="auto"/>
              <w:left w:val="single" w:sz="4" w:space="0" w:color="auto"/>
              <w:bottom w:val="single" w:sz="4" w:space="0" w:color="auto"/>
              <w:right w:val="single" w:sz="4" w:space="0" w:color="auto"/>
            </w:tcBorders>
            <w:hideMark/>
          </w:tcPr>
          <w:p w14:paraId="11484B46" w14:textId="77777777" w:rsidR="00B2786E" w:rsidRDefault="00B2786E">
            <w:pPr>
              <w:pStyle w:val="resptext"/>
              <w:tabs>
                <w:tab w:val="left" w:pos="720"/>
              </w:tabs>
              <w:spacing w:before="60" w:line="254" w:lineRule="auto"/>
              <w:ind w:left="0"/>
              <w:rPr>
                <w:bCs/>
                <w:color w:val="1D1D1B" w:themeColor="text1"/>
              </w:rPr>
            </w:pPr>
            <w:r>
              <w:rPr>
                <w:bCs/>
                <w:color w:val="1D1D1B" w:themeColor="text1"/>
              </w:rPr>
              <w:t xml:space="preserve">Yes, </w:t>
            </w:r>
            <w:proofErr w:type="gramStart"/>
            <w:r>
              <w:rPr>
                <w:bCs/>
                <w:color w:val="1D1D1B" w:themeColor="text1"/>
              </w:rPr>
              <w:t>all of</w:t>
            </w:r>
            <w:proofErr w:type="gramEnd"/>
            <w:r>
              <w:rPr>
                <w:bCs/>
                <w:color w:val="1D1D1B" w:themeColor="text1"/>
              </w:rPr>
              <w:t xml:space="preserve"> our sales</w:t>
            </w:r>
          </w:p>
        </w:tc>
        <w:tc>
          <w:tcPr>
            <w:tcW w:w="530" w:type="pct"/>
            <w:tcBorders>
              <w:top w:val="single" w:sz="4" w:space="0" w:color="auto"/>
              <w:left w:val="single" w:sz="4" w:space="0" w:color="auto"/>
              <w:bottom w:val="single" w:sz="4" w:space="0" w:color="auto"/>
              <w:right w:val="single" w:sz="4" w:space="0" w:color="auto"/>
            </w:tcBorders>
            <w:hideMark/>
          </w:tcPr>
          <w:p w14:paraId="1D7C6F15" w14:textId="77777777" w:rsidR="00B2786E" w:rsidRDefault="00B2786E">
            <w:pPr>
              <w:pStyle w:val="resptext"/>
              <w:tabs>
                <w:tab w:val="left" w:pos="720"/>
              </w:tabs>
              <w:spacing w:before="60" w:line="254" w:lineRule="auto"/>
              <w:ind w:left="0"/>
              <w:jc w:val="center"/>
              <w:rPr>
                <w:bCs/>
                <w:color w:val="1D1D1B" w:themeColor="text1"/>
              </w:rPr>
            </w:pPr>
            <w:r>
              <w:rPr>
                <w:bCs/>
                <w:color w:val="1D1D1B" w:themeColor="text1"/>
              </w:rPr>
              <w:t>1</w:t>
            </w:r>
          </w:p>
        </w:tc>
      </w:tr>
      <w:tr w:rsidR="00B2786E" w14:paraId="2C08C20C" w14:textId="77777777">
        <w:trPr>
          <w:trHeight w:val="85"/>
        </w:trPr>
        <w:tc>
          <w:tcPr>
            <w:tcW w:w="4470" w:type="pct"/>
            <w:tcBorders>
              <w:top w:val="single" w:sz="4" w:space="0" w:color="auto"/>
              <w:left w:val="single" w:sz="4" w:space="0" w:color="auto"/>
              <w:bottom w:val="single" w:sz="4" w:space="0" w:color="auto"/>
              <w:right w:val="single" w:sz="4" w:space="0" w:color="auto"/>
            </w:tcBorders>
            <w:hideMark/>
          </w:tcPr>
          <w:p w14:paraId="2438253C" w14:textId="77777777" w:rsidR="00B2786E" w:rsidRDefault="00B2786E">
            <w:pPr>
              <w:pStyle w:val="resptext"/>
              <w:tabs>
                <w:tab w:val="left" w:pos="720"/>
              </w:tabs>
              <w:spacing w:before="60" w:line="254" w:lineRule="auto"/>
              <w:ind w:left="0"/>
              <w:rPr>
                <w:bCs/>
                <w:color w:val="1D1D1B" w:themeColor="text1"/>
              </w:rPr>
            </w:pPr>
            <w:r>
              <w:rPr>
                <w:bCs/>
                <w:color w:val="1D1D1B" w:themeColor="text1"/>
              </w:rPr>
              <w:t>Yes, some of our sales</w:t>
            </w:r>
          </w:p>
        </w:tc>
        <w:tc>
          <w:tcPr>
            <w:tcW w:w="530" w:type="pct"/>
            <w:tcBorders>
              <w:top w:val="single" w:sz="4" w:space="0" w:color="auto"/>
              <w:left w:val="single" w:sz="4" w:space="0" w:color="auto"/>
              <w:bottom w:val="single" w:sz="4" w:space="0" w:color="auto"/>
              <w:right w:val="single" w:sz="4" w:space="0" w:color="auto"/>
            </w:tcBorders>
            <w:hideMark/>
          </w:tcPr>
          <w:p w14:paraId="18F938E7" w14:textId="77777777" w:rsidR="00B2786E" w:rsidRDefault="00B2786E">
            <w:pPr>
              <w:pStyle w:val="resptext"/>
              <w:tabs>
                <w:tab w:val="left" w:pos="720"/>
              </w:tabs>
              <w:spacing w:before="60" w:line="254" w:lineRule="auto"/>
              <w:ind w:left="0"/>
              <w:jc w:val="center"/>
              <w:rPr>
                <w:bCs/>
                <w:color w:val="1D1D1B" w:themeColor="text1"/>
              </w:rPr>
            </w:pPr>
            <w:r>
              <w:rPr>
                <w:bCs/>
                <w:color w:val="1D1D1B" w:themeColor="text1"/>
              </w:rPr>
              <w:t>2</w:t>
            </w:r>
          </w:p>
        </w:tc>
      </w:tr>
      <w:tr w:rsidR="00B2786E" w14:paraId="0E018549" w14:textId="77777777">
        <w:tc>
          <w:tcPr>
            <w:tcW w:w="4470" w:type="pct"/>
            <w:tcBorders>
              <w:top w:val="single" w:sz="4" w:space="0" w:color="auto"/>
              <w:left w:val="single" w:sz="4" w:space="0" w:color="auto"/>
              <w:bottom w:val="single" w:sz="4" w:space="0" w:color="auto"/>
              <w:right w:val="single" w:sz="4" w:space="0" w:color="auto"/>
            </w:tcBorders>
            <w:hideMark/>
          </w:tcPr>
          <w:p w14:paraId="67090ED0" w14:textId="77777777" w:rsidR="00B2786E" w:rsidRDefault="00B2786E">
            <w:pPr>
              <w:pStyle w:val="resptext"/>
              <w:tabs>
                <w:tab w:val="left" w:pos="720"/>
              </w:tabs>
              <w:spacing w:before="60" w:line="254" w:lineRule="auto"/>
              <w:ind w:left="0"/>
              <w:rPr>
                <w:bCs/>
                <w:color w:val="1D1D1B" w:themeColor="text1"/>
              </w:rPr>
            </w:pPr>
            <w:r>
              <w:rPr>
                <w:bCs/>
                <w:color w:val="1D1D1B" w:themeColor="text1"/>
              </w:rPr>
              <w:t>No, no-one would take our sales</w:t>
            </w:r>
          </w:p>
        </w:tc>
        <w:tc>
          <w:tcPr>
            <w:tcW w:w="530" w:type="pct"/>
            <w:tcBorders>
              <w:top w:val="single" w:sz="4" w:space="0" w:color="auto"/>
              <w:left w:val="single" w:sz="4" w:space="0" w:color="auto"/>
              <w:bottom w:val="single" w:sz="4" w:space="0" w:color="auto"/>
              <w:right w:val="single" w:sz="4" w:space="0" w:color="auto"/>
            </w:tcBorders>
            <w:hideMark/>
          </w:tcPr>
          <w:p w14:paraId="618A3433" w14:textId="77777777" w:rsidR="00B2786E" w:rsidRDefault="00B2786E">
            <w:pPr>
              <w:pStyle w:val="resptext"/>
              <w:tabs>
                <w:tab w:val="left" w:pos="720"/>
              </w:tabs>
              <w:spacing w:before="60" w:line="254" w:lineRule="auto"/>
              <w:ind w:left="0"/>
              <w:jc w:val="center"/>
              <w:rPr>
                <w:bCs/>
                <w:color w:val="1D1D1B" w:themeColor="text1"/>
              </w:rPr>
            </w:pPr>
            <w:r>
              <w:rPr>
                <w:bCs/>
                <w:color w:val="1D1D1B" w:themeColor="text1"/>
              </w:rPr>
              <w:t>3</w:t>
            </w:r>
          </w:p>
        </w:tc>
      </w:tr>
      <w:tr w:rsidR="00B2786E" w14:paraId="2D719600" w14:textId="77777777">
        <w:tc>
          <w:tcPr>
            <w:tcW w:w="4470" w:type="pct"/>
            <w:tcBorders>
              <w:top w:val="single" w:sz="4" w:space="0" w:color="auto"/>
              <w:left w:val="single" w:sz="4" w:space="0" w:color="auto"/>
              <w:bottom w:val="single" w:sz="4" w:space="0" w:color="auto"/>
              <w:right w:val="single" w:sz="4" w:space="0" w:color="auto"/>
            </w:tcBorders>
            <w:hideMark/>
          </w:tcPr>
          <w:p w14:paraId="6B63058D" w14:textId="77777777" w:rsidR="00B2786E" w:rsidRDefault="00B2786E">
            <w:pPr>
              <w:rPr>
                <w:bCs/>
                <w:color w:val="1D1D1B" w:themeColor="text1"/>
              </w:rPr>
            </w:pPr>
          </w:p>
        </w:tc>
        <w:tc>
          <w:tcPr>
            <w:tcW w:w="530" w:type="pct"/>
            <w:tcBorders>
              <w:top w:val="single" w:sz="4" w:space="0" w:color="auto"/>
              <w:left w:val="single" w:sz="4" w:space="0" w:color="auto"/>
              <w:bottom w:val="single" w:sz="4" w:space="0" w:color="auto"/>
              <w:right w:val="single" w:sz="4" w:space="0" w:color="auto"/>
            </w:tcBorders>
            <w:hideMark/>
          </w:tcPr>
          <w:p w14:paraId="50D8EFBA" w14:textId="77777777" w:rsidR="00B2786E" w:rsidRDefault="00B2786E">
            <w:pPr>
              <w:spacing w:after="0"/>
              <w:rPr>
                <w:sz w:val="20"/>
                <w:szCs w:val="20"/>
                <w:lang w:eastAsia="en-GB"/>
              </w:rPr>
            </w:pPr>
          </w:p>
        </w:tc>
      </w:tr>
      <w:tr w:rsidR="00B2786E" w14:paraId="3BCA1BAE" w14:textId="77777777">
        <w:tc>
          <w:tcPr>
            <w:tcW w:w="4470" w:type="pct"/>
            <w:tcBorders>
              <w:top w:val="single" w:sz="4" w:space="0" w:color="auto"/>
              <w:left w:val="single" w:sz="4" w:space="0" w:color="auto"/>
              <w:bottom w:val="single" w:sz="4" w:space="0" w:color="auto"/>
              <w:right w:val="single" w:sz="4" w:space="0" w:color="auto"/>
            </w:tcBorders>
            <w:hideMark/>
          </w:tcPr>
          <w:p w14:paraId="79945942" w14:textId="77777777" w:rsidR="00B2786E" w:rsidRDefault="00B2786E">
            <w:pPr>
              <w:pStyle w:val="resptext"/>
              <w:tabs>
                <w:tab w:val="left" w:pos="720"/>
              </w:tabs>
              <w:spacing w:before="60" w:line="254" w:lineRule="auto"/>
              <w:ind w:left="0"/>
              <w:rPr>
                <w:bCs/>
                <w:color w:val="1D1D1B" w:themeColor="text1"/>
              </w:rPr>
            </w:pPr>
            <w:r>
              <w:rPr>
                <w:bCs/>
                <w:color w:val="1D1D1B" w:themeColor="text1"/>
              </w:rPr>
              <w:t>Don’t know</w:t>
            </w:r>
          </w:p>
        </w:tc>
        <w:tc>
          <w:tcPr>
            <w:tcW w:w="530" w:type="pct"/>
            <w:tcBorders>
              <w:top w:val="single" w:sz="4" w:space="0" w:color="auto"/>
              <w:left w:val="single" w:sz="4" w:space="0" w:color="auto"/>
              <w:bottom w:val="single" w:sz="4" w:space="0" w:color="auto"/>
              <w:right w:val="single" w:sz="4" w:space="0" w:color="auto"/>
            </w:tcBorders>
            <w:hideMark/>
          </w:tcPr>
          <w:p w14:paraId="4B314252" w14:textId="77777777" w:rsidR="00B2786E" w:rsidRDefault="00B2786E">
            <w:pPr>
              <w:pStyle w:val="resptext"/>
              <w:tabs>
                <w:tab w:val="left" w:pos="720"/>
              </w:tabs>
              <w:spacing w:before="60" w:line="254" w:lineRule="auto"/>
              <w:ind w:left="0"/>
              <w:jc w:val="center"/>
              <w:rPr>
                <w:bCs/>
                <w:color w:val="1D1D1B" w:themeColor="text1"/>
              </w:rPr>
            </w:pPr>
            <w:r>
              <w:rPr>
                <w:bCs/>
                <w:color w:val="1D1D1B" w:themeColor="text1"/>
              </w:rPr>
              <w:t>98</w:t>
            </w:r>
          </w:p>
        </w:tc>
      </w:tr>
      <w:tr w:rsidR="00B2786E" w14:paraId="0A38727A" w14:textId="77777777">
        <w:tc>
          <w:tcPr>
            <w:tcW w:w="4470" w:type="pct"/>
            <w:tcBorders>
              <w:top w:val="single" w:sz="4" w:space="0" w:color="auto"/>
              <w:left w:val="single" w:sz="4" w:space="0" w:color="auto"/>
              <w:bottom w:val="single" w:sz="4" w:space="0" w:color="auto"/>
              <w:right w:val="single" w:sz="4" w:space="0" w:color="auto"/>
            </w:tcBorders>
            <w:hideMark/>
          </w:tcPr>
          <w:p w14:paraId="5394BE86" w14:textId="77777777" w:rsidR="00B2786E" w:rsidRDefault="00B2786E">
            <w:pPr>
              <w:pStyle w:val="resptext"/>
              <w:tabs>
                <w:tab w:val="left" w:pos="720"/>
              </w:tabs>
              <w:spacing w:before="60" w:line="254" w:lineRule="auto"/>
              <w:ind w:left="0"/>
              <w:rPr>
                <w:bCs/>
                <w:color w:val="1D1D1B" w:themeColor="text1"/>
              </w:rPr>
            </w:pPr>
            <w:r>
              <w:rPr>
                <w:bCs/>
                <w:color w:val="1D1D1B" w:themeColor="text1"/>
              </w:rPr>
              <w:t>Refused</w:t>
            </w:r>
          </w:p>
        </w:tc>
        <w:tc>
          <w:tcPr>
            <w:tcW w:w="530" w:type="pct"/>
            <w:tcBorders>
              <w:top w:val="single" w:sz="4" w:space="0" w:color="auto"/>
              <w:left w:val="single" w:sz="4" w:space="0" w:color="auto"/>
              <w:bottom w:val="single" w:sz="4" w:space="0" w:color="auto"/>
              <w:right w:val="single" w:sz="4" w:space="0" w:color="auto"/>
            </w:tcBorders>
            <w:hideMark/>
          </w:tcPr>
          <w:p w14:paraId="0C5DEC21" w14:textId="77777777" w:rsidR="00B2786E" w:rsidRDefault="00B2786E">
            <w:pPr>
              <w:pStyle w:val="resptext"/>
              <w:tabs>
                <w:tab w:val="left" w:pos="720"/>
              </w:tabs>
              <w:spacing w:before="60" w:line="254" w:lineRule="auto"/>
              <w:ind w:left="0"/>
              <w:jc w:val="center"/>
              <w:rPr>
                <w:bCs/>
                <w:color w:val="1D1D1B" w:themeColor="text1"/>
              </w:rPr>
            </w:pPr>
            <w:r>
              <w:rPr>
                <w:bCs/>
                <w:color w:val="1D1D1B" w:themeColor="text1"/>
              </w:rPr>
              <w:t>99</w:t>
            </w:r>
          </w:p>
        </w:tc>
      </w:tr>
    </w:tbl>
    <w:p w14:paraId="328C668C" w14:textId="77777777" w:rsidR="00B2786E" w:rsidRDefault="00B2786E" w:rsidP="00B2786E">
      <w:pPr>
        <w:rPr>
          <w:rFonts w:cs="Arial"/>
          <w:b/>
          <w:bCs/>
          <w:color w:val="1D1D1B" w:themeColor="text1"/>
          <w:sz w:val="22"/>
        </w:rPr>
      </w:pPr>
    </w:p>
    <w:p w14:paraId="4F46D37D" w14:textId="77777777" w:rsidR="00B2786E" w:rsidRDefault="00B2786E" w:rsidP="00B2786E">
      <w:pPr>
        <w:ind w:left="993" w:hanging="993"/>
        <w:rPr>
          <w:rFonts w:cs="Arial"/>
          <w:b/>
          <w:bCs/>
          <w:color w:val="1D1D1B" w:themeColor="text1"/>
        </w:rPr>
      </w:pPr>
      <w:r>
        <w:rPr>
          <w:rFonts w:cs="Arial"/>
          <w:b/>
          <w:bCs/>
          <w:color w:val="1D1D1B" w:themeColor="text1"/>
        </w:rPr>
        <w:t>NOTE D5 DELETED IN W2</w:t>
      </w:r>
    </w:p>
    <w:p w14:paraId="6B2C38F3" w14:textId="77777777" w:rsidR="00B2786E" w:rsidRDefault="00B2786E" w:rsidP="00B2786E">
      <w:pPr>
        <w:ind w:left="993" w:hanging="993"/>
        <w:rPr>
          <w:rFonts w:cs="Arial"/>
          <w:b/>
          <w:bCs/>
          <w:color w:val="1D1D1B" w:themeColor="text1"/>
        </w:rPr>
      </w:pPr>
      <w:r>
        <w:rPr>
          <w:rFonts w:cs="Arial"/>
          <w:b/>
          <w:bCs/>
          <w:color w:val="1D1D1B" w:themeColor="text1"/>
        </w:rPr>
        <w:t>NOTE D6 DELETED IN W2</w:t>
      </w:r>
    </w:p>
    <w:p w14:paraId="1A91BA9D" w14:textId="77777777" w:rsidR="00B2786E" w:rsidRPr="006F30CC" w:rsidRDefault="00B2786E" w:rsidP="00B2786E">
      <w:pPr>
        <w:ind w:left="993" w:hanging="993"/>
        <w:rPr>
          <w:b/>
          <w:bCs/>
          <w:color w:val="1D1D1B" w:themeColor="text1"/>
        </w:rPr>
      </w:pPr>
      <w:r>
        <w:rPr>
          <w:rFonts w:cs="Arial"/>
          <w:b/>
          <w:bCs/>
          <w:color w:val="1D1D1B" w:themeColor="text1"/>
        </w:rPr>
        <w:t>NOTE D7 DELETED IN W2</w:t>
      </w:r>
    </w:p>
    <w:p w14:paraId="63B0E815" w14:textId="77777777" w:rsidR="00B2786E" w:rsidRDefault="00B2786E" w:rsidP="00B2786E">
      <w:pPr>
        <w:pStyle w:val="04ABodyText"/>
        <w:spacing w:before="0" w:after="0" w:line="240" w:lineRule="auto"/>
        <w:rPr>
          <w:rFonts w:ascii="Arial" w:hAnsi="Arial"/>
          <w:color w:val="FF0000"/>
        </w:rPr>
      </w:pPr>
    </w:p>
    <w:p w14:paraId="14C45FAC" w14:textId="77777777" w:rsidR="00B2786E" w:rsidRPr="006F30CC" w:rsidRDefault="00B2786E" w:rsidP="00B2786E">
      <w:pPr>
        <w:rPr>
          <w:rFonts w:cs="Arial"/>
          <w:color w:val="1D1D1B" w:themeColor="text1"/>
        </w:rPr>
      </w:pPr>
      <w:r>
        <w:rPr>
          <w:rFonts w:cs="Arial"/>
          <w:color w:val="1D1D1B" w:themeColor="text1"/>
        </w:rPr>
        <w:t xml:space="preserve">SECTION </w:t>
      </w:r>
      <w:r>
        <w:rPr>
          <w:rFonts w:cs="Arial"/>
          <w:bCs/>
          <w:color w:val="1D1D1B" w:themeColor="text1"/>
        </w:rPr>
        <w:t>E</w:t>
      </w:r>
      <w:r>
        <w:rPr>
          <w:rFonts w:cs="Arial"/>
          <w:bCs/>
          <w:color w:val="1D1D1B" w:themeColor="text1"/>
        </w:rPr>
        <w:tab/>
      </w:r>
      <w:r>
        <w:rPr>
          <w:rFonts w:cs="Arial"/>
          <w:color w:val="1D1D1B" w:themeColor="text1"/>
        </w:rPr>
        <w:t>RECONTACT AND DATA LINKING</w:t>
      </w:r>
    </w:p>
    <w:p w14:paraId="4C970E7E" w14:textId="77777777" w:rsidR="00B2786E" w:rsidRPr="006F30CC" w:rsidRDefault="00B2786E" w:rsidP="00B2786E">
      <w:pPr>
        <w:rPr>
          <w:rFonts w:cs="Arial"/>
          <w:color w:val="F06603" w:themeColor="accent6"/>
          <w:lang w:eastAsia="en-GB"/>
        </w:rPr>
      </w:pPr>
      <w:r>
        <w:rPr>
          <w:rFonts w:cs="Arial"/>
          <w:color w:val="F06603" w:themeColor="accent6"/>
          <w:lang w:eastAsia="en-GB"/>
        </w:rPr>
        <w:t>READ OUT TO ALL</w:t>
      </w:r>
    </w:p>
    <w:p w14:paraId="5A13DCC7" w14:textId="77777777" w:rsidR="00B2786E" w:rsidRDefault="00B2786E" w:rsidP="00B2786E">
      <w:pPr>
        <w:rPr>
          <w:rFonts w:cs="Arial"/>
          <w:b/>
          <w:bCs/>
        </w:rPr>
      </w:pPr>
      <w:r>
        <w:rPr>
          <w:rFonts w:cs="Arial"/>
          <w:b/>
          <w:color w:val="1D1D1B" w:themeColor="text1"/>
        </w:rPr>
        <w:t xml:space="preserve">These final questions will help us understand the different types of people who are running or managing a business, how different businesses have been impacted by the Covid-19 pandemic and how they made use of different external </w:t>
      </w:r>
      <w:proofErr w:type="gramStart"/>
      <w:r>
        <w:rPr>
          <w:rFonts w:cs="Arial"/>
          <w:b/>
          <w:color w:val="1D1D1B" w:themeColor="text1"/>
        </w:rPr>
        <w:t>finances</w:t>
      </w:r>
      <w:proofErr w:type="gramEnd"/>
      <w:r>
        <w:rPr>
          <w:rFonts w:cs="Arial"/>
          <w:b/>
          <w:color w:val="1D1D1B" w:themeColor="text1"/>
        </w:rPr>
        <w:t xml:space="preserve"> types available.</w:t>
      </w:r>
    </w:p>
    <w:p w14:paraId="47099270" w14:textId="77777777" w:rsidR="00B2786E" w:rsidRDefault="00B2786E" w:rsidP="00B2786E">
      <w:pPr>
        <w:rPr>
          <w:rFonts w:cs="Arial"/>
          <w:b/>
          <w:color w:val="1D1D1B" w:themeColor="text1"/>
        </w:rPr>
      </w:pPr>
      <w:r>
        <w:rPr>
          <w:rFonts w:cs="Arial"/>
          <w:b/>
          <w:color w:val="1D1D1B" w:themeColor="text1"/>
        </w:rPr>
        <w:lastRenderedPageBreak/>
        <w:t>Individual details will be kept strictly confidential by Ipsos. It will not be possible to identify an individual from the results and personal information will not be passed on to the British Business Bank.</w:t>
      </w:r>
    </w:p>
    <w:p w14:paraId="5543ABDA" w14:textId="77777777" w:rsidR="00B2786E" w:rsidRPr="006F30CC" w:rsidRDefault="00B2786E" w:rsidP="00B2786E">
      <w:pPr>
        <w:rPr>
          <w:rFonts w:cs="Arial"/>
          <w:bCs/>
        </w:rPr>
      </w:pPr>
      <w:r>
        <w:rPr>
          <w:rFonts w:cs="Arial"/>
          <w:b/>
          <w:bCs/>
        </w:rPr>
        <w:t>[</w:t>
      </w:r>
      <w:r>
        <w:rPr>
          <w:rFonts w:cs="Arial"/>
          <w:color w:val="FF0000"/>
        </w:rPr>
        <w:t>SOLE TRADERS ONLY:</w:t>
      </w:r>
      <w:r>
        <w:rPr>
          <w:rFonts w:cs="Arial"/>
          <w:b/>
          <w:bCs/>
          <w:color w:val="FF0000"/>
        </w:rPr>
        <w:t xml:space="preserve"> </w:t>
      </w:r>
      <w:r>
        <w:rPr>
          <w:rFonts w:cs="Arial"/>
          <w:b/>
          <w:bCs/>
        </w:rPr>
        <w:t>Please note that there is a question which asks you to describe your ethnic origin, age, health condition and gender identity, however you are free to not answer.]</w:t>
      </w:r>
    </w:p>
    <w:p w14:paraId="2024A9E2" w14:textId="77777777" w:rsidR="00B2786E" w:rsidRDefault="00B2786E" w:rsidP="00B2786E">
      <w:pPr>
        <w:rPr>
          <w:rFonts w:cs="Arial"/>
          <w:color w:val="1D1D1B" w:themeColor="text1"/>
        </w:rPr>
      </w:pPr>
      <w:bookmarkStart w:id="239" w:name="_Hlk46223552"/>
      <w:r>
        <w:rPr>
          <w:rFonts w:cs="Arial"/>
          <w:color w:val="1D1D1B" w:themeColor="text1"/>
        </w:rPr>
        <w:t>ASK IF FRESH SOLD TRADERS OR MISSING LONGITUDINAL SOLE TRADERS</w:t>
      </w:r>
    </w:p>
    <w:p w14:paraId="3995F4DB" w14:textId="77777777" w:rsidR="00B2786E" w:rsidRDefault="00B2786E" w:rsidP="00B2786E">
      <w:pPr>
        <w:rPr>
          <w:rFonts w:cs="Arial"/>
          <w:color w:val="FF0000"/>
          <w:lang w:eastAsia="en-GB"/>
        </w:rPr>
      </w:pPr>
      <w:r>
        <w:rPr>
          <w:rFonts w:cs="Arial"/>
          <w:color w:val="FF0000"/>
          <w:lang w:eastAsia="en-GB"/>
        </w:rPr>
        <w:t>(CODE 1) AT S17</w:t>
      </w:r>
    </w:p>
    <w:p w14:paraId="48DF4069" w14:textId="77777777" w:rsidR="00B2786E" w:rsidRPr="006F30CC" w:rsidRDefault="00B2786E" w:rsidP="00B2786E">
      <w:pPr>
        <w:ind w:left="720" w:hanging="720"/>
        <w:rPr>
          <w:rFonts w:cs="Arial"/>
          <w:b/>
          <w:color w:val="1D1D1B" w:themeColor="text1"/>
        </w:rPr>
      </w:pPr>
      <w:r>
        <w:rPr>
          <w:rFonts w:cs="Arial"/>
          <w:b/>
          <w:bCs/>
          <w:color w:val="1D1D1B" w:themeColor="text1"/>
        </w:rPr>
        <w:t>E1</w:t>
      </w:r>
      <w:r>
        <w:rPr>
          <w:rFonts w:cs="Arial"/>
          <w:b/>
          <w:color w:val="1D1D1B" w:themeColor="text1"/>
        </w:rPr>
        <w:tab/>
        <w:t xml:space="preserve">What is your sex? </w:t>
      </w:r>
    </w:p>
    <w:p w14:paraId="37B6E798" w14:textId="77777777" w:rsidR="00B2786E" w:rsidRPr="006F30CC" w:rsidRDefault="00B2786E" w:rsidP="00B2786E">
      <w:pPr>
        <w:rPr>
          <w:rFonts w:cs="Arial"/>
          <w:color w:val="FF0000"/>
          <w:lang w:eastAsia="en-GB"/>
        </w:rPr>
      </w:pPr>
      <w:r>
        <w:rPr>
          <w:rFonts w:cs="Arial"/>
          <w:color w:val="FF0000"/>
          <w:lang w:eastAsia="en-GB"/>
        </w:rPr>
        <w:t xml:space="preserve">SINGLE CODE </w:t>
      </w:r>
      <w:r>
        <w:rPr>
          <w:rFonts w:eastAsia="SimSun" w:cs="Arial"/>
          <w:color w:val="FF0000"/>
        </w:rPr>
        <w:t>ONLY</w:t>
      </w:r>
    </w:p>
    <w:tbl>
      <w:tblPr>
        <w:tblW w:w="88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7811"/>
        <w:gridCol w:w="994"/>
      </w:tblGrid>
      <w:tr w:rsidR="00B2786E" w14:paraId="79ADE92B" w14:textId="77777777">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7EDF77D3" w14:textId="77777777" w:rsidR="00B2786E" w:rsidRDefault="00B2786E">
            <w:pPr>
              <w:rPr>
                <w:rFonts w:cs="Arial"/>
                <w:color w:val="1D1D1B" w:themeColor="text1"/>
              </w:rPr>
            </w:pPr>
            <w:r>
              <w:rPr>
                <w:rFonts w:cs="Arial"/>
                <w:color w:val="1D1D1B" w:themeColor="text1"/>
              </w:rPr>
              <w:t xml:space="preserve">Female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04D00A" w14:textId="77777777" w:rsidR="00B2786E" w:rsidRDefault="00B2786E">
            <w:pPr>
              <w:jc w:val="center"/>
              <w:rPr>
                <w:rFonts w:cs="Arial"/>
                <w:color w:val="1D1D1B" w:themeColor="text1"/>
              </w:rPr>
            </w:pPr>
            <w:r>
              <w:rPr>
                <w:rFonts w:cs="Arial"/>
                <w:color w:val="1D1D1B" w:themeColor="text1"/>
              </w:rPr>
              <w:t>1</w:t>
            </w:r>
          </w:p>
        </w:tc>
      </w:tr>
      <w:tr w:rsidR="00B2786E" w14:paraId="2288D1E5" w14:textId="77777777">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1FD71926" w14:textId="77777777" w:rsidR="00B2786E" w:rsidRDefault="00B2786E">
            <w:pPr>
              <w:rPr>
                <w:rFonts w:cs="Arial"/>
                <w:color w:val="1D1D1B" w:themeColor="text1"/>
              </w:rPr>
            </w:pPr>
            <w:r>
              <w:rPr>
                <w:rFonts w:cs="Arial"/>
                <w:color w:val="1D1D1B" w:themeColor="text1"/>
              </w:rPr>
              <w:t xml:space="preserve">Male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EC8A78" w14:textId="77777777" w:rsidR="00B2786E" w:rsidRDefault="00B2786E">
            <w:pPr>
              <w:jc w:val="center"/>
              <w:rPr>
                <w:rFonts w:cs="Arial"/>
                <w:color w:val="1D1D1B" w:themeColor="text1"/>
              </w:rPr>
            </w:pPr>
            <w:r>
              <w:rPr>
                <w:rFonts w:cs="Arial"/>
                <w:color w:val="1D1D1B" w:themeColor="text1"/>
              </w:rPr>
              <w:t>2</w:t>
            </w:r>
          </w:p>
        </w:tc>
      </w:tr>
      <w:tr w:rsidR="00B2786E" w14:paraId="344CD32F" w14:textId="77777777">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75E90FC9" w14:textId="77777777" w:rsidR="00B2786E" w:rsidRDefault="00B2786E">
            <w:pPr>
              <w:rPr>
                <w:rFonts w:cs="Arial"/>
                <w:color w:val="1D1D1B" w:themeColor="text1"/>
              </w:rPr>
            </w:pPr>
            <w:r>
              <w:rPr>
                <w:rFonts w:cs="Arial"/>
                <w:color w:val="1D1D1B" w:themeColor="text1"/>
              </w:rPr>
              <w:t xml:space="preserve">Other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0F8ACF" w14:textId="77777777" w:rsidR="00B2786E" w:rsidRDefault="00B2786E">
            <w:pPr>
              <w:jc w:val="center"/>
              <w:rPr>
                <w:rFonts w:cs="Arial"/>
                <w:color w:val="1D1D1B" w:themeColor="text1"/>
              </w:rPr>
            </w:pPr>
            <w:r>
              <w:rPr>
                <w:rFonts w:cs="Arial"/>
                <w:color w:val="1D1D1B" w:themeColor="text1"/>
              </w:rPr>
              <w:t>3</w:t>
            </w:r>
          </w:p>
        </w:tc>
      </w:tr>
      <w:tr w:rsidR="00B2786E" w14:paraId="754C54B4" w14:textId="77777777">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024E7D75" w14:textId="77777777" w:rsidR="00B2786E" w:rsidRDefault="00B2786E">
            <w:pPr>
              <w:rPr>
                <w:rFonts w:cs="Arial"/>
                <w:color w:val="1D1D1B" w:themeColor="text1"/>
              </w:rPr>
            </w:pPr>
            <w:r>
              <w:rPr>
                <w:rFonts w:cs="Arial"/>
                <w:color w:val="1D1D1B" w:themeColor="text1"/>
              </w:rPr>
              <w:t>Prefer not to say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2F9AA4" w14:textId="77777777" w:rsidR="00B2786E" w:rsidRDefault="00B2786E">
            <w:pPr>
              <w:jc w:val="center"/>
              <w:rPr>
                <w:rFonts w:cs="Arial"/>
                <w:color w:val="1D1D1B" w:themeColor="text1"/>
              </w:rPr>
            </w:pPr>
            <w:r>
              <w:rPr>
                <w:rFonts w:cs="Arial"/>
                <w:color w:val="1D1D1B" w:themeColor="text1"/>
              </w:rPr>
              <w:t>4</w:t>
            </w:r>
          </w:p>
        </w:tc>
      </w:tr>
    </w:tbl>
    <w:p w14:paraId="0C5A670B" w14:textId="77777777" w:rsidR="00B2786E" w:rsidRDefault="00B2786E" w:rsidP="00B2786E">
      <w:pPr>
        <w:rPr>
          <w:rFonts w:cs="Arial"/>
          <w:sz w:val="22"/>
          <w:lang w:eastAsia="en-GB"/>
        </w:rPr>
      </w:pPr>
    </w:p>
    <w:p w14:paraId="032FC8F9" w14:textId="77777777" w:rsidR="00B2786E" w:rsidRDefault="00B2786E" w:rsidP="00B2786E">
      <w:pPr>
        <w:rPr>
          <w:rFonts w:cs="Arial"/>
          <w:color w:val="1D1D1B" w:themeColor="text1"/>
        </w:rPr>
      </w:pPr>
      <w:r>
        <w:rPr>
          <w:rFonts w:cs="Arial"/>
          <w:color w:val="1D1D1B" w:themeColor="text1"/>
        </w:rPr>
        <w:t>ASK IF FRESH SOLD TRADERS OR MISSING LONGITUDINAL SOLE TRADERS</w:t>
      </w:r>
    </w:p>
    <w:p w14:paraId="5B3D9FDE" w14:textId="77777777" w:rsidR="00B2786E" w:rsidRDefault="00B2786E" w:rsidP="00B2786E">
      <w:pPr>
        <w:rPr>
          <w:rFonts w:cs="Arial"/>
          <w:color w:val="FF0000"/>
          <w:lang w:eastAsia="en-GB"/>
        </w:rPr>
      </w:pPr>
      <w:r>
        <w:rPr>
          <w:rFonts w:cs="Arial"/>
          <w:color w:val="FF0000"/>
          <w:lang w:eastAsia="en-GB"/>
        </w:rPr>
        <w:t xml:space="preserve"> (CODE 1) AT S17</w:t>
      </w:r>
    </w:p>
    <w:p w14:paraId="662AF651" w14:textId="77777777" w:rsidR="00B2786E" w:rsidRDefault="00B2786E" w:rsidP="00B2786E">
      <w:pPr>
        <w:rPr>
          <w:rFonts w:cs="Arial"/>
          <w:b/>
          <w:lang w:eastAsia="en-GB"/>
        </w:rPr>
      </w:pPr>
      <w:r>
        <w:rPr>
          <w:rFonts w:cs="Arial"/>
          <w:b/>
          <w:lang w:eastAsia="en-GB"/>
        </w:rPr>
        <w:t>E2</w:t>
      </w:r>
      <w:r>
        <w:rPr>
          <w:rFonts w:cs="Arial"/>
          <w:b/>
          <w:lang w:eastAsia="en-GB"/>
        </w:rPr>
        <w:tab/>
        <w:t>What is your ethnic group?</w:t>
      </w:r>
    </w:p>
    <w:p w14:paraId="19387D23" w14:textId="77777777" w:rsidR="00B2786E" w:rsidRDefault="00B2786E" w:rsidP="00B2786E">
      <w:pPr>
        <w:rPr>
          <w:rFonts w:cs="Arial"/>
          <w:lang w:eastAsia="en-GB"/>
        </w:rPr>
      </w:pPr>
      <w:r>
        <w:rPr>
          <w:rFonts w:cs="Arial"/>
          <w:color w:val="FF0000"/>
          <w:lang w:eastAsia="en-GB"/>
        </w:rPr>
        <w:t xml:space="preserve">SINGLE CODE </w:t>
      </w:r>
      <w:r>
        <w:rPr>
          <w:rFonts w:eastAsia="SimSun" w:cs="Arial"/>
          <w:color w:val="FF0000"/>
        </w:rPr>
        <w:t>ONLY</w:t>
      </w:r>
      <w:r>
        <w:rPr>
          <w:rFonts w:cs="Arial"/>
          <w:color w:val="FF0000"/>
          <w:lang w:eastAsia="en-GB"/>
        </w:rPr>
        <w:t xml:space="preserve">. </w:t>
      </w:r>
    </w:p>
    <w:tbl>
      <w:tblPr>
        <w:tblW w:w="87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7797"/>
        <w:gridCol w:w="993"/>
      </w:tblGrid>
      <w:tr w:rsidR="00B2786E" w14:paraId="175DBF95" w14:textId="77777777">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272556EC" w14:textId="77777777" w:rsidR="00B2786E" w:rsidRDefault="00B2786E">
            <w:pPr>
              <w:rPr>
                <w:rFonts w:cs="Arial"/>
                <w:color w:val="1D1D1B" w:themeColor="text1"/>
              </w:rPr>
            </w:pPr>
            <w:r>
              <w:rPr>
                <w:rFonts w:cs="Arial"/>
                <w:color w:val="1D1D1B" w:themeColor="text1"/>
              </w:rPr>
              <w:t>White</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845FD8" w14:textId="77777777" w:rsidR="00B2786E" w:rsidRDefault="00B2786E">
            <w:pPr>
              <w:spacing w:before="60" w:after="60"/>
              <w:jc w:val="center"/>
              <w:rPr>
                <w:rFonts w:cs="Arial"/>
                <w:color w:val="1D1D1B" w:themeColor="text1"/>
              </w:rPr>
            </w:pPr>
            <w:r>
              <w:rPr>
                <w:rFonts w:cs="Arial"/>
                <w:color w:val="1D1D1B" w:themeColor="text1"/>
              </w:rPr>
              <w:t>1</w:t>
            </w:r>
          </w:p>
        </w:tc>
      </w:tr>
      <w:tr w:rsidR="00B2786E" w14:paraId="577277B4" w14:textId="77777777">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028B7001" w14:textId="77777777" w:rsidR="00B2786E" w:rsidRDefault="00B2786E">
            <w:pPr>
              <w:rPr>
                <w:rFonts w:cs="Arial"/>
                <w:color w:val="1D1D1B" w:themeColor="text1"/>
              </w:rPr>
            </w:pPr>
            <w:r>
              <w:rPr>
                <w:rFonts w:cs="Arial"/>
                <w:color w:val="1D1D1B" w:themeColor="text1"/>
              </w:rPr>
              <w:t>Multiple/ethnic groups</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5484AB" w14:textId="77777777" w:rsidR="00B2786E" w:rsidRDefault="00B2786E">
            <w:pPr>
              <w:spacing w:before="60" w:after="60"/>
              <w:jc w:val="center"/>
              <w:rPr>
                <w:rFonts w:cs="Arial"/>
                <w:color w:val="1D1D1B" w:themeColor="text1"/>
              </w:rPr>
            </w:pPr>
            <w:r>
              <w:rPr>
                <w:rFonts w:cs="Arial"/>
                <w:color w:val="1D1D1B" w:themeColor="text1"/>
              </w:rPr>
              <w:t>2</w:t>
            </w:r>
          </w:p>
        </w:tc>
      </w:tr>
      <w:tr w:rsidR="00B2786E" w14:paraId="06454834" w14:textId="77777777">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5D670E3A" w14:textId="77777777" w:rsidR="00B2786E" w:rsidRDefault="00B2786E">
            <w:pPr>
              <w:rPr>
                <w:rFonts w:cs="Arial"/>
                <w:color w:val="1D1D1B" w:themeColor="text1"/>
              </w:rPr>
            </w:pPr>
            <w:r>
              <w:rPr>
                <w:rFonts w:cs="Arial"/>
                <w:color w:val="1D1D1B" w:themeColor="text1"/>
              </w:rPr>
              <w:t>Asian/Asian British</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99BF1B" w14:textId="77777777" w:rsidR="00B2786E" w:rsidRDefault="00B2786E">
            <w:pPr>
              <w:spacing w:before="60" w:after="60"/>
              <w:jc w:val="center"/>
              <w:rPr>
                <w:rFonts w:cs="Arial"/>
                <w:color w:val="1D1D1B" w:themeColor="text1"/>
              </w:rPr>
            </w:pPr>
            <w:r>
              <w:rPr>
                <w:rFonts w:cs="Arial"/>
                <w:color w:val="1D1D1B" w:themeColor="text1"/>
              </w:rPr>
              <w:t>3</w:t>
            </w:r>
          </w:p>
        </w:tc>
      </w:tr>
      <w:tr w:rsidR="00B2786E" w14:paraId="2B5175A1" w14:textId="77777777">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2AEF9AC1" w14:textId="77777777" w:rsidR="00B2786E" w:rsidRDefault="00B2786E">
            <w:pPr>
              <w:rPr>
                <w:rFonts w:cs="Arial"/>
                <w:color w:val="1D1D1B" w:themeColor="text1"/>
              </w:rPr>
            </w:pPr>
            <w:r>
              <w:rPr>
                <w:rFonts w:cs="Arial"/>
                <w:color w:val="1D1D1B" w:themeColor="text1"/>
              </w:rPr>
              <w:t>Black/ African/Caribbean/Black British</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10A9DE" w14:textId="77777777" w:rsidR="00B2786E" w:rsidRDefault="00B2786E">
            <w:pPr>
              <w:spacing w:before="60" w:after="60"/>
              <w:jc w:val="center"/>
              <w:rPr>
                <w:rFonts w:cs="Arial"/>
                <w:color w:val="1D1D1B" w:themeColor="text1"/>
              </w:rPr>
            </w:pPr>
            <w:r>
              <w:rPr>
                <w:rFonts w:cs="Arial"/>
                <w:color w:val="1D1D1B" w:themeColor="text1"/>
              </w:rPr>
              <w:t>4</w:t>
            </w:r>
          </w:p>
        </w:tc>
      </w:tr>
      <w:tr w:rsidR="00B2786E" w14:paraId="375F7F88" w14:textId="77777777">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6F1A5C01" w14:textId="77777777" w:rsidR="00B2786E" w:rsidRDefault="00B2786E">
            <w:pPr>
              <w:rPr>
                <w:rFonts w:cs="Arial"/>
                <w:color w:val="1D1D1B" w:themeColor="text1"/>
              </w:rPr>
            </w:pPr>
            <w:proofErr w:type="gramStart"/>
            <w:r>
              <w:rPr>
                <w:rFonts w:cs="Arial"/>
                <w:color w:val="1D1D1B" w:themeColor="text1"/>
              </w:rPr>
              <w:lastRenderedPageBreak/>
              <w:t>Other</w:t>
            </w:r>
            <w:proofErr w:type="gramEnd"/>
            <w:r>
              <w:rPr>
                <w:rFonts w:cs="Arial"/>
                <w:color w:val="1D1D1B" w:themeColor="text1"/>
              </w:rPr>
              <w:t xml:space="preserve"> ethnic group</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488D3E" w14:textId="77777777" w:rsidR="00B2786E" w:rsidRDefault="00B2786E">
            <w:pPr>
              <w:spacing w:before="60" w:after="60"/>
              <w:jc w:val="center"/>
              <w:rPr>
                <w:rFonts w:cs="Arial"/>
                <w:color w:val="1D1D1B" w:themeColor="text1"/>
              </w:rPr>
            </w:pPr>
            <w:r>
              <w:rPr>
                <w:rFonts w:cs="Arial"/>
                <w:color w:val="1D1D1B" w:themeColor="text1"/>
              </w:rPr>
              <w:t>5</w:t>
            </w:r>
          </w:p>
        </w:tc>
      </w:tr>
      <w:tr w:rsidR="00B2786E" w14:paraId="1B9092E1" w14:textId="77777777">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65AC4F7C" w14:textId="77777777" w:rsidR="00B2786E" w:rsidRDefault="00B2786E">
            <w:pPr>
              <w:rPr>
                <w:rFonts w:cs="Arial"/>
                <w:color w:val="1D1D1B" w:themeColor="text1"/>
              </w:rPr>
            </w:pPr>
            <w:r>
              <w:rPr>
                <w:rFonts w:cs="Arial"/>
                <w:color w:val="1D1D1B" w:themeColor="text1"/>
              </w:rPr>
              <w:t xml:space="preserve">Don’t know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E72220A" w14:textId="77777777" w:rsidR="00B2786E" w:rsidRDefault="00B2786E">
            <w:pPr>
              <w:spacing w:before="60" w:after="60"/>
              <w:jc w:val="center"/>
              <w:rPr>
                <w:rFonts w:cs="Arial"/>
                <w:color w:val="1D1D1B" w:themeColor="text1"/>
              </w:rPr>
            </w:pPr>
            <w:r>
              <w:rPr>
                <w:rFonts w:cs="Arial"/>
                <w:color w:val="1D1D1B" w:themeColor="text1"/>
              </w:rPr>
              <w:t>98</w:t>
            </w:r>
          </w:p>
        </w:tc>
      </w:tr>
      <w:tr w:rsidR="00B2786E" w14:paraId="6A45FCC2" w14:textId="77777777">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145F92E3" w14:textId="77777777" w:rsidR="00B2786E" w:rsidRDefault="00B2786E">
            <w:pPr>
              <w:rPr>
                <w:rFonts w:cs="Arial"/>
                <w:color w:val="1D1D1B" w:themeColor="text1"/>
              </w:rPr>
            </w:pPr>
            <w:r>
              <w:rPr>
                <w:rFonts w:cs="Arial"/>
                <w:color w:val="1D1D1B" w:themeColor="text1"/>
              </w:rPr>
              <w:t>Prefer not to say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92DD71" w14:textId="77777777" w:rsidR="00B2786E" w:rsidRDefault="00B2786E">
            <w:pPr>
              <w:spacing w:before="60" w:after="60"/>
              <w:jc w:val="center"/>
              <w:rPr>
                <w:rFonts w:cs="Arial"/>
                <w:color w:val="1D1D1B" w:themeColor="text1"/>
              </w:rPr>
            </w:pPr>
            <w:r>
              <w:rPr>
                <w:rFonts w:cs="Arial"/>
                <w:color w:val="1D1D1B" w:themeColor="text1"/>
              </w:rPr>
              <w:t>99</w:t>
            </w:r>
          </w:p>
        </w:tc>
      </w:tr>
    </w:tbl>
    <w:p w14:paraId="19FE8DF9" w14:textId="77777777" w:rsidR="00B2786E" w:rsidRDefault="00B2786E" w:rsidP="00B2786E">
      <w:pPr>
        <w:rPr>
          <w:rFonts w:cs="Arial"/>
          <w:lang w:eastAsia="en-GB"/>
        </w:rPr>
      </w:pPr>
    </w:p>
    <w:p w14:paraId="559947B9" w14:textId="77777777" w:rsidR="00B2786E" w:rsidRDefault="00B2786E" w:rsidP="00B2786E">
      <w:pPr>
        <w:rPr>
          <w:rFonts w:cs="Arial"/>
          <w:color w:val="FF0000"/>
          <w:lang w:eastAsia="en-GB"/>
        </w:rPr>
      </w:pPr>
      <w:r>
        <w:rPr>
          <w:rFonts w:cs="Arial"/>
          <w:color w:val="1D1D1B" w:themeColor="text1"/>
        </w:rPr>
        <w:t>ASK IF FRESH SOLD TRADERS OR MISSING LONGITUDINAL SOLE TRADERS</w:t>
      </w:r>
    </w:p>
    <w:p w14:paraId="74615BDF" w14:textId="77777777" w:rsidR="00B2786E" w:rsidRDefault="00B2786E" w:rsidP="00B2786E">
      <w:pPr>
        <w:rPr>
          <w:rFonts w:cs="Arial"/>
          <w:color w:val="FF0000"/>
          <w:lang w:eastAsia="en-GB"/>
        </w:rPr>
      </w:pPr>
      <w:r>
        <w:rPr>
          <w:rFonts w:cs="Arial"/>
          <w:color w:val="FF0000"/>
          <w:lang w:eastAsia="en-GB"/>
        </w:rPr>
        <w:t xml:space="preserve"> (CODE 1 AT S17)</w:t>
      </w:r>
    </w:p>
    <w:p w14:paraId="560E67C8" w14:textId="77777777" w:rsidR="00B2786E" w:rsidRDefault="00B2786E" w:rsidP="00B2786E">
      <w:pPr>
        <w:rPr>
          <w:rFonts w:cs="Arial"/>
          <w:b/>
          <w:bCs/>
          <w:lang w:eastAsia="en-GB"/>
        </w:rPr>
      </w:pPr>
      <w:r>
        <w:rPr>
          <w:rFonts w:cs="Arial"/>
          <w:lang w:eastAsia="en-GB"/>
        </w:rPr>
        <w:t xml:space="preserve">E3. </w:t>
      </w:r>
      <w:r>
        <w:rPr>
          <w:rFonts w:cs="Arial"/>
          <w:b/>
          <w:bCs/>
          <w:lang w:eastAsia="en-GB"/>
        </w:rPr>
        <w:t>Please [</w:t>
      </w:r>
      <w:r>
        <w:rPr>
          <w:rFonts w:cs="Arial"/>
          <w:b/>
          <w:bCs/>
          <w:color w:val="FF0000"/>
          <w:lang w:eastAsia="en-GB"/>
        </w:rPr>
        <w:t xml:space="preserve">CATI: </w:t>
      </w:r>
      <w:r>
        <w:rPr>
          <w:rFonts w:cs="Arial"/>
          <w:b/>
          <w:bCs/>
          <w:lang w:eastAsia="en-GB"/>
        </w:rPr>
        <w:t>could you tell us] [</w:t>
      </w:r>
      <w:r>
        <w:rPr>
          <w:rFonts w:cs="Arial"/>
          <w:b/>
          <w:bCs/>
          <w:color w:val="FF0000"/>
          <w:lang w:eastAsia="en-GB"/>
        </w:rPr>
        <w:t xml:space="preserve">WEB: </w:t>
      </w:r>
      <w:r>
        <w:rPr>
          <w:rFonts w:cs="Arial"/>
          <w:b/>
          <w:bCs/>
          <w:lang w:eastAsia="en-GB"/>
        </w:rPr>
        <w:t>enter] the date you were born.</w:t>
      </w:r>
    </w:p>
    <w:p w14:paraId="01B0418C" w14:textId="77777777" w:rsidR="00B2786E" w:rsidRPr="006F30CC" w:rsidRDefault="00B2786E" w:rsidP="00B2786E">
      <w:pPr>
        <w:rPr>
          <w:rFonts w:cs="Arial"/>
          <w:b/>
          <w:bCs/>
          <w:lang w:eastAsia="en-GB"/>
        </w:rPr>
      </w:pPr>
      <w:r>
        <w:rPr>
          <w:rFonts w:cs="Arial"/>
          <w:b/>
          <w:bCs/>
          <w:lang w:eastAsia="en-GB"/>
        </w:rPr>
        <w:t>If you don’t know your date of birth, please estimate it as best as you can.</w:t>
      </w:r>
    </w:p>
    <w:p w14:paraId="61CF3BD3" w14:textId="77777777" w:rsidR="00B2786E" w:rsidRDefault="00B2786E" w:rsidP="00B2786E">
      <w:pPr>
        <w:rPr>
          <w:rFonts w:cs="Arial"/>
          <w:color w:val="FF0000"/>
          <w:lang w:eastAsia="en-GB"/>
        </w:rPr>
      </w:pPr>
      <w:r>
        <w:rPr>
          <w:rFonts w:cs="Arial"/>
          <w:color w:val="FF0000"/>
          <w:lang w:eastAsia="en-GB"/>
        </w:rPr>
        <w:t>ALLOW NUMERICAL ANSWER FOR DAY/MONTH/YEAR</w:t>
      </w:r>
    </w:p>
    <w:p w14:paraId="6636EEAF" w14:textId="77777777" w:rsidR="00B2786E" w:rsidRPr="006F30CC" w:rsidRDefault="00B2786E" w:rsidP="00B2786E">
      <w:pPr>
        <w:rPr>
          <w:rFonts w:cs="Arial"/>
          <w:color w:val="FF0000"/>
          <w:lang w:eastAsia="en-GB"/>
        </w:rPr>
      </w:pPr>
      <w:r>
        <w:rPr>
          <w:rFonts w:cs="Arial"/>
          <w:color w:val="FF0000"/>
          <w:lang w:eastAsia="en-GB"/>
        </w:rPr>
        <w:t>ALLOW DK_ Refused</w:t>
      </w:r>
    </w:p>
    <w:p w14:paraId="646FA908" w14:textId="77777777" w:rsidR="00B2786E" w:rsidRDefault="00B2786E" w:rsidP="00B2786E">
      <w:pPr>
        <w:rPr>
          <w:rFonts w:cs="Arial"/>
          <w:color w:val="FF0000"/>
          <w:lang w:eastAsia="en-GB"/>
        </w:rPr>
      </w:pPr>
      <w:r>
        <w:rPr>
          <w:rFonts w:cs="Arial"/>
          <w:color w:val="FF0000"/>
          <w:lang w:eastAsia="en-GB"/>
        </w:rPr>
        <w:t>ASK IF DK AT E3</w:t>
      </w:r>
    </w:p>
    <w:p w14:paraId="2AB4829B" w14:textId="77777777" w:rsidR="00B2786E" w:rsidRDefault="00B2786E" w:rsidP="00B2786E">
      <w:pPr>
        <w:rPr>
          <w:rFonts w:cs="Arial"/>
          <w:b/>
          <w:bCs/>
          <w:lang w:eastAsia="en-GB"/>
        </w:rPr>
      </w:pPr>
      <w:r>
        <w:rPr>
          <w:rFonts w:cs="Arial"/>
          <w:b/>
          <w:bCs/>
          <w:lang w:eastAsia="en-GB"/>
        </w:rPr>
        <w:t>E4. How old were you on your last birthday?</w:t>
      </w:r>
    </w:p>
    <w:p w14:paraId="6A0340F5" w14:textId="77777777" w:rsidR="00B2786E" w:rsidRPr="006F30CC" w:rsidRDefault="00B2786E" w:rsidP="00B2786E">
      <w:pPr>
        <w:rPr>
          <w:rFonts w:cs="Arial"/>
          <w:color w:val="1D1D1B" w:themeColor="text1"/>
        </w:rPr>
      </w:pPr>
      <w:r>
        <w:rPr>
          <w:rFonts w:cs="Arial"/>
          <w:color w:val="1D1D1B" w:themeColor="text1"/>
        </w:rPr>
        <w:t xml:space="preserve"> </w:t>
      </w:r>
      <w:r>
        <w:rPr>
          <w:rFonts w:cs="Arial"/>
          <w:color w:val="FF0000"/>
        </w:rPr>
        <w:t>SINGLE CODE ONLY</w:t>
      </w:r>
    </w:p>
    <w:tbl>
      <w:tblPr>
        <w:tblW w:w="88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7811"/>
        <w:gridCol w:w="994"/>
      </w:tblGrid>
      <w:tr w:rsidR="00B2786E" w14:paraId="6A264EA7"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19DFF03E" w14:textId="77777777" w:rsidR="00B2786E" w:rsidRDefault="00B2786E">
            <w:pPr>
              <w:rPr>
                <w:rFonts w:cs="Arial"/>
                <w:color w:val="1D1D1B" w:themeColor="text1"/>
              </w:rPr>
            </w:pPr>
            <w:r>
              <w:rPr>
                <w:rFonts w:cs="Arial"/>
                <w:color w:val="1D1D1B" w:themeColor="text1"/>
              </w:rPr>
              <w:t>Under 24</w:t>
            </w:r>
          </w:p>
        </w:tc>
        <w:tc>
          <w:tcPr>
            <w:tcW w:w="994" w:type="dxa"/>
            <w:tcBorders>
              <w:top w:val="single" w:sz="4" w:space="0" w:color="auto"/>
              <w:left w:val="single" w:sz="4" w:space="0" w:color="auto"/>
              <w:bottom w:val="single" w:sz="4" w:space="0" w:color="auto"/>
              <w:right w:val="single" w:sz="4" w:space="0" w:color="auto"/>
            </w:tcBorders>
            <w:vAlign w:val="center"/>
            <w:hideMark/>
          </w:tcPr>
          <w:p w14:paraId="3F1029F4" w14:textId="77777777" w:rsidR="00B2786E" w:rsidRDefault="00B2786E">
            <w:pPr>
              <w:jc w:val="center"/>
              <w:rPr>
                <w:rFonts w:cs="Arial"/>
                <w:color w:val="1D1D1B" w:themeColor="text1"/>
              </w:rPr>
            </w:pPr>
            <w:r>
              <w:rPr>
                <w:rFonts w:cs="Arial"/>
                <w:color w:val="1D1D1B" w:themeColor="text1"/>
              </w:rPr>
              <w:t>1</w:t>
            </w:r>
          </w:p>
        </w:tc>
      </w:tr>
      <w:tr w:rsidR="00B2786E" w14:paraId="791E6EC5"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5AA454C7" w14:textId="77777777" w:rsidR="00B2786E" w:rsidRDefault="00B2786E">
            <w:pPr>
              <w:rPr>
                <w:rFonts w:cs="Arial"/>
                <w:color w:val="1D1D1B" w:themeColor="text1"/>
              </w:rPr>
            </w:pPr>
            <w:r>
              <w:rPr>
                <w:rFonts w:cs="Arial"/>
                <w:color w:val="1D1D1B" w:themeColor="text1"/>
              </w:rPr>
              <w:t>25-29</w:t>
            </w:r>
          </w:p>
        </w:tc>
        <w:tc>
          <w:tcPr>
            <w:tcW w:w="994" w:type="dxa"/>
            <w:tcBorders>
              <w:top w:val="single" w:sz="4" w:space="0" w:color="auto"/>
              <w:left w:val="single" w:sz="4" w:space="0" w:color="auto"/>
              <w:bottom w:val="single" w:sz="4" w:space="0" w:color="auto"/>
              <w:right w:val="single" w:sz="4" w:space="0" w:color="auto"/>
            </w:tcBorders>
            <w:vAlign w:val="center"/>
            <w:hideMark/>
          </w:tcPr>
          <w:p w14:paraId="6D5536A6" w14:textId="77777777" w:rsidR="00B2786E" w:rsidRDefault="00B2786E">
            <w:pPr>
              <w:jc w:val="center"/>
              <w:rPr>
                <w:rFonts w:cs="Arial"/>
                <w:color w:val="1D1D1B" w:themeColor="text1"/>
              </w:rPr>
            </w:pPr>
            <w:r>
              <w:rPr>
                <w:rFonts w:cs="Arial"/>
                <w:color w:val="1D1D1B" w:themeColor="text1"/>
              </w:rPr>
              <w:t>2</w:t>
            </w:r>
          </w:p>
        </w:tc>
      </w:tr>
      <w:tr w:rsidR="00B2786E" w14:paraId="1D70C352"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1F8C6E22" w14:textId="77777777" w:rsidR="00B2786E" w:rsidRDefault="00B2786E">
            <w:pPr>
              <w:rPr>
                <w:rFonts w:cs="Arial"/>
                <w:color w:val="1D1D1B" w:themeColor="text1"/>
              </w:rPr>
            </w:pPr>
            <w:r>
              <w:rPr>
                <w:rFonts w:cs="Arial"/>
                <w:color w:val="1D1D1B" w:themeColor="text1"/>
              </w:rPr>
              <w:t>30-34</w:t>
            </w:r>
          </w:p>
        </w:tc>
        <w:tc>
          <w:tcPr>
            <w:tcW w:w="994" w:type="dxa"/>
            <w:tcBorders>
              <w:top w:val="single" w:sz="4" w:space="0" w:color="auto"/>
              <w:left w:val="single" w:sz="4" w:space="0" w:color="auto"/>
              <w:bottom w:val="single" w:sz="4" w:space="0" w:color="auto"/>
              <w:right w:val="single" w:sz="4" w:space="0" w:color="auto"/>
            </w:tcBorders>
            <w:vAlign w:val="center"/>
            <w:hideMark/>
          </w:tcPr>
          <w:p w14:paraId="6969DDD9" w14:textId="77777777" w:rsidR="00B2786E" w:rsidRDefault="00B2786E">
            <w:pPr>
              <w:jc w:val="center"/>
              <w:rPr>
                <w:rFonts w:cs="Arial"/>
                <w:color w:val="1D1D1B" w:themeColor="text1"/>
              </w:rPr>
            </w:pPr>
            <w:r>
              <w:rPr>
                <w:rFonts w:cs="Arial"/>
                <w:color w:val="1D1D1B" w:themeColor="text1"/>
              </w:rPr>
              <w:t>3</w:t>
            </w:r>
          </w:p>
        </w:tc>
      </w:tr>
      <w:tr w:rsidR="00B2786E" w14:paraId="70227CC7"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0A01F370" w14:textId="77777777" w:rsidR="00B2786E" w:rsidRDefault="00B2786E">
            <w:pPr>
              <w:rPr>
                <w:rFonts w:cs="Arial"/>
                <w:color w:val="1D1D1B" w:themeColor="text1"/>
              </w:rPr>
            </w:pPr>
            <w:r>
              <w:rPr>
                <w:rFonts w:cs="Arial"/>
                <w:color w:val="1D1D1B" w:themeColor="text1"/>
              </w:rPr>
              <w:t>35-39</w:t>
            </w:r>
          </w:p>
        </w:tc>
        <w:tc>
          <w:tcPr>
            <w:tcW w:w="994" w:type="dxa"/>
            <w:tcBorders>
              <w:top w:val="single" w:sz="4" w:space="0" w:color="auto"/>
              <w:left w:val="single" w:sz="4" w:space="0" w:color="auto"/>
              <w:bottom w:val="single" w:sz="4" w:space="0" w:color="auto"/>
              <w:right w:val="single" w:sz="4" w:space="0" w:color="auto"/>
            </w:tcBorders>
            <w:vAlign w:val="center"/>
            <w:hideMark/>
          </w:tcPr>
          <w:p w14:paraId="07E4D094" w14:textId="77777777" w:rsidR="00B2786E" w:rsidRDefault="00B2786E">
            <w:pPr>
              <w:jc w:val="center"/>
              <w:rPr>
                <w:rFonts w:cs="Arial"/>
                <w:color w:val="1D1D1B" w:themeColor="text1"/>
              </w:rPr>
            </w:pPr>
            <w:r>
              <w:rPr>
                <w:rFonts w:cs="Arial"/>
                <w:color w:val="1D1D1B" w:themeColor="text1"/>
              </w:rPr>
              <w:t>4</w:t>
            </w:r>
          </w:p>
        </w:tc>
      </w:tr>
      <w:tr w:rsidR="00B2786E" w14:paraId="2954211D"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7619D547" w14:textId="77777777" w:rsidR="00B2786E" w:rsidRDefault="00B2786E">
            <w:pPr>
              <w:rPr>
                <w:rFonts w:cs="Arial"/>
                <w:color w:val="1D1D1B" w:themeColor="text1"/>
              </w:rPr>
            </w:pPr>
            <w:r>
              <w:rPr>
                <w:rFonts w:cs="Arial"/>
                <w:color w:val="1D1D1B" w:themeColor="text1"/>
              </w:rPr>
              <w:t>40-49</w:t>
            </w:r>
          </w:p>
        </w:tc>
        <w:tc>
          <w:tcPr>
            <w:tcW w:w="994" w:type="dxa"/>
            <w:tcBorders>
              <w:top w:val="single" w:sz="4" w:space="0" w:color="auto"/>
              <w:left w:val="single" w:sz="4" w:space="0" w:color="auto"/>
              <w:bottom w:val="single" w:sz="4" w:space="0" w:color="auto"/>
              <w:right w:val="single" w:sz="4" w:space="0" w:color="auto"/>
            </w:tcBorders>
            <w:vAlign w:val="center"/>
            <w:hideMark/>
          </w:tcPr>
          <w:p w14:paraId="5817EFB7" w14:textId="77777777" w:rsidR="00B2786E" w:rsidRDefault="00B2786E">
            <w:pPr>
              <w:jc w:val="center"/>
              <w:rPr>
                <w:rFonts w:cs="Arial"/>
                <w:color w:val="1D1D1B" w:themeColor="text1"/>
              </w:rPr>
            </w:pPr>
            <w:r>
              <w:rPr>
                <w:rFonts w:cs="Arial"/>
                <w:color w:val="1D1D1B" w:themeColor="text1"/>
              </w:rPr>
              <w:t>5</w:t>
            </w:r>
          </w:p>
        </w:tc>
      </w:tr>
      <w:tr w:rsidR="00B2786E" w14:paraId="66305F4A"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1B872303" w14:textId="77777777" w:rsidR="00B2786E" w:rsidRDefault="00B2786E">
            <w:pPr>
              <w:rPr>
                <w:rFonts w:cs="Arial"/>
                <w:color w:val="1D1D1B" w:themeColor="text1"/>
              </w:rPr>
            </w:pPr>
            <w:r>
              <w:rPr>
                <w:rFonts w:cs="Arial"/>
                <w:color w:val="1D1D1B" w:themeColor="text1"/>
              </w:rPr>
              <w:t>50-59</w:t>
            </w:r>
          </w:p>
        </w:tc>
        <w:tc>
          <w:tcPr>
            <w:tcW w:w="994" w:type="dxa"/>
            <w:tcBorders>
              <w:top w:val="single" w:sz="4" w:space="0" w:color="auto"/>
              <w:left w:val="single" w:sz="4" w:space="0" w:color="auto"/>
              <w:bottom w:val="single" w:sz="4" w:space="0" w:color="auto"/>
              <w:right w:val="single" w:sz="4" w:space="0" w:color="auto"/>
            </w:tcBorders>
            <w:vAlign w:val="center"/>
            <w:hideMark/>
          </w:tcPr>
          <w:p w14:paraId="2A56FCE3" w14:textId="77777777" w:rsidR="00B2786E" w:rsidRDefault="00B2786E">
            <w:pPr>
              <w:jc w:val="center"/>
              <w:rPr>
                <w:rFonts w:cs="Arial"/>
                <w:color w:val="1D1D1B" w:themeColor="text1"/>
              </w:rPr>
            </w:pPr>
            <w:r>
              <w:rPr>
                <w:rFonts w:cs="Arial"/>
                <w:color w:val="1D1D1B" w:themeColor="text1"/>
              </w:rPr>
              <w:t>6</w:t>
            </w:r>
          </w:p>
        </w:tc>
      </w:tr>
      <w:tr w:rsidR="00B2786E" w14:paraId="09A43152"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68C47704" w14:textId="77777777" w:rsidR="00B2786E" w:rsidRDefault="00B2786E">
            <w:pPr>
              <w:rPr>
                <w:rFonts w:cs="Arial"/>
                <w:color w:val="1D1D1B" w:themeColor="text1"/>
              </w:rPr>
            </w:pPr>
            <w:r>
              <w:rPr>
                <w:rFonts w:cs="Arial"/>
                <w:color w:val="1D1D1B" w:themeColor="text1"/>
              </w:rPr>
              <w:t>60-69</w:t>
            </w:r>
          </w:p>
        </w:tc>
        <w:tc>
          <w:tcPr>
            <w:tcW w:w="994" w:type="dxa"/>
            <w:tcBorders>
              <w:top w:val="single" w:sz="4" w:space="0" w:color="auto"/>
              <w:left w:val="single" w:sz="4" w:space="0" w:color="auto"/>
              <w:bottom w:val="single" w:sz="4" w:space="0" w:color="auto"/>
              <w:right w:val="single" w:sz="4" w:space="0" w:color="auto"/>
            </w:tcBorders>
            <w:vAlign w:val="center"/>
            <w:hideMark/>
          </w:tcPr>
          <w:p w14:paraId="5416CC30" w14:textId="77777777" w:rsidR="00B2786E" w:rsidRDefault="00B2786E">
            <w:pPr>
              <w:jc w:val="center"/>
              <w:rPr>
                <w:rFonts w:cs="Arial"/>
                <w:color w:val="1D1D1B" w:themeColor="text1"/>
              </w:rPr>
            </w:pPr>
            <w:r>
              <w:rPr>
                <w:rFonts w:cs="Arial"/>
                <w:color w:val="1D1D1B" w:themeColor="text1"/>
              </w:rPr>
              <w:t>7</w:t>
            </w:r>
          </w:p>
        </w:tc>
      </w:tr>
      <w:tr w:rsidR="00B2786E" w14:paraId="3288733C"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7B04CF22" w14:textId="77777777" w:rsidR="00B2786E" w:rsidRDefault="00B2786E">
            <w:pPr>
              <w:rPr>
                <w:rFonts w:cs="Arial"/>
                <w:color w:val="1D1D1B" w:themeColor="text1"/>
              </w:rPr>
            </w:pPr>
            <w:r>
              <w:rPr>
                <w:rFonts w:cs="Arial"/>
                <w:color w:val="1D1D1B" w:themeColor="text1"/>
              </w:rPr>
              <w:t>70+</w:t>
            </w:r>
          </w:p>
        </w:tc>
        <w:tc>
          <w:tcPr>
            <w:tcW w:w="994" w:type="dxa"/>
            <w:tcBorders>
              <w:top w:val="single" w:sz="4" w:space="0" w:color="auto"/>
              <w:left w:val="single" w:sz="4" w:space="0" w:color="auto"/>
              <w:bottom w:val="single" w:sz="4" w:space="0" w:color="auto"/>
              <w:right w:val="single" w:sz="4" w:space="0" w:color="auto"/>
            </w:tcBorders>
            <w:vAlign w:val="center"/>
            <w:hideMark/>
          </w:tcPr>
          <w:p w14:paraId="028B3BF9" w14:textId="77777777" w:rsidR="00B2786E" w:rsidRDefault="00B2786E">
            <w:pPr>
              <w:jc w:val="center"/>
              <w:rPr>
                <w:rFonts w:cs="Arial"/>
                <w:color w:val="1D1D1B" w:themeColor="text1"/>
              </w:rPr>
            </w:pPr>
            <w:r>
              <w:rPr>
                <w:rFonts w:cs="Arial"/>
                <w:color w:val="1D1D1B" w:themeColor="text1"/>
              </w:rPr>
              <w:t>8</w:t>
            </w:r>
          </w:p>
        </w:tc>
      </w:tr>
      <w:tr w:rsidR="00B2786E" w14:paraId="6C42EB60"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37B98BFB" w14:textId="77777777" w:rsidR="00B2786E" w:rsidRDefault="00B2786E">
            <w:pPr>
              <w:rPr>
                <w:rFonts w:cs="Arial"/>
                <w:color w:val="1D1D1B" w:themeColor="text1"/>
              </w:rPr>
            </w:pPr>
            <w:r>
              <w:rPr>
                <w:rFonts w:cs="Arial"/>
                <w:color w:val="1D1D1B" w:themeColor="text1"/>
              </w:rPr>
              <w:lastRenderedPageBreak/>
              <w:t>Prefer not to say</w:t>
            </w:r>
          </w:p>
        </w:tc>
        <w:tc>
          <w:tcPr>
            <w:tcW w:w="994" w:type="dxa"/>
            <w:tcBorders>
              <w:top w:val="single" w:sz="4" w:space="0" w:color="auto"/>
              <w:left w:val="single" w:sz="4" w:space="0" w:color="auto"/>
              <w:bottom w:val="single" w:sz="4" w:space="0" w:color="auto"/>
              <w:right w:val="single" w:sz="4" w:space="0" w:color="auto"/>
            </w:tcBorders>
            <w:vAlign w:val="center"/>
            <w:hideMark/>
          </w:tcPr>
          <w:p w14:paraId="643BFC17" w14:textId="77777777" w:rsidR="00B2786E" w:rsidRDefault="00B2786E">
            <w:pPr>
              <w:jc w:val="center"/>
              <w:rPr>
                <w:rFonts w:cs="Arial"/>
                <w:color w:val="1D1D1B" w:themeColor="text1"/>
              </w:rPr>
            </w:pPr>
            <w:r>
              <w:rPr>
                <w:rFonts w:cs="Arial"/>
                <w:color w:val="1D1D1B" w:themeColor="text1"/>
              </w:rPr>
              <w:t>99</w:t>
            </w:r>
          </w:p>
        </w:tc>
      </w:tr>
      <w:tr w:rsidR="00B2786E" w14:paraId="01EE783B" w14:textId="77777777">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5E4CA6BA" w14:textId="77777777" w:rsidR="00B2786E" w:rsidRDefault="00B2786E">
            <w:pPr>
              <w:rPr>
                <w:rFonts w:cs="Arial"/>
                <w:color w:val="1D1D1B" w:themeColor="text1"/>
              </w:rPr>
            </w:pPr>
            <w:r>
              <w:rPr>
                <w:rFonts w:cs="Arial"/>
                <w:color w:val="1D1D1B" w:themeColor="text1"/>
              </w:rPr>
              <w:t>Don’t know</w:t>
            </w:r>
          </w:p>
        </w:tc>
        <w:tc>
          <w:tcPr>
            <w:tcW w:w="994" w:type="dxa"/>
            <w:tcBorders>
              <w:top w:val="single" w:sz="4" w:space="0" w:color="auto"/>
              <w:left w:val="single" w:sz="4" w:space="0" w:color="auto"/>
              <w:bottom w:val="single" w:sz="4" w:space="0" w:color="auto"/>
              <w:right w:val="single" w:sz="4" w:space="0" w:color="auto"/>
            </w:tcBorders>
            <w:vAlign w:val="center"/>
            <w:hideMark/>
          </w:tcPr>
          <w:p w14:paraId="3DA51A4B" w14:textId="77777777" w:rsidR="00B2786E" w:rsidRDefault="00B2786E">
            <w:pPr>
              <w:jc w:val="center"/>
              <w:rPr>
                <w:rFonts w:cs="Arial"/>
                <w:color w:val="1D1D1B" w:themeColor="text1"/>
              </w:rPr>
            </w:pPr>
            <w:r>
              <w:rPr>
                <w:rFonts w:cs="Arial"/>
                <w:color w:val="1D1D1B" w:themeColor="text1"/>
              </w:rPr>
              <w:t>98</w:t>
            </w:r>
          </w:p>
        </w:tc>
      </w:tr>
    </w:tbl>
    <w:p w14:paraId="34871FC3" w14:textId="77777777" w:rsidR="00B2786E" w:rsidRDefault="00B2786E" w:rsidP="00B2786E">
      <w:pPr>
        <w:rPr>
          <w:rFonts w:cs="Arial"/>
          <w:color w:val="1D1D1B" w:themeColor="text1"/>
          <w:sz w:val="22"/>
        </w:rPr>
      </w:pPr>
    </w:p>
    <w:p w14:paraId="3EDA5BC0" w14:textId="77777777" w:rsidR="00B2786E" w:rsidRDefault="00B2786E" w:rsidP="00B2786E">
      <w:pPr>
        <w:rPr>
          <w:rFonts w:cs="Arial"/>
          <w:color w:val="1D1D1B" w:themeColor="text1"/>
        </w:rPr>
      </w:pPr>
      <w:r>
        <w:rPr>
          <w:rFonts w:cs="Arial"/>
          <w:color w:val="1D1D1B" w:themeColor="text1"/>
        </w:rPr>
        <w:t>ASK IF FRESH SOLD TRADERS OR MISSING LONGITUDINAL SOLE TRADERS</w:t>
      </w:r>
    </w:p>
    <w:p w14:paraId="59FEB269" w14:textId="77777777" w:rsidR="00B2786E" w:rsidRDefault="00B2786E" w:rsidP="00B2786E">
      <w:pPr>
        <w:rPr>
          <w:rFonts w:cs="Arial"/>
          <w:color w:val="FF0000"/>
          <w:lang w:eastAsia="en-GB"/>
        </w:rPr>
      </w:pPr>
      <w:r>
        <w:rPr>
          <w:rFonts w:cs="Arial"/>
          <w:color w:val="FF0000"/>
          <w:lang w:eastAsia="en-GB"/>
        </w:rPr>
        <w:t xml:space="preserve"> (CODE 1 AT S</w:t>
      </w:r>
      <w:proofErr w:type="gramStart"/>
      <w:r>
        <w:rPr>
          <w:rFonts w:cs="Arial"/>
          <w:color w:val="FF0000"/>
          <w:lang w:eastAsia="en-GB"/>
        </w:rPr>
        <w:t>17 )</w:t>
      </w:r>
      <w:proofErr w:type="gramEnd"/>
    </w:p>
    <w:p w14:paraId="1B0F41EF" w14:textId="77777777" w:rsidR="00B2786E" w:rsidRPr="006F30CC" w:rsidRDefault="00B2786E" w:rsidP="00B2786E">
      <w:pPr>
        <w:rPr>
          <w:b/>
          <w:bCs/>
          <w:lang w:eastAsia="en-GB"/>
        </w:rPr>
      </w:pPr>
      <w:r w:rsidRPr="006F30CC">
        <w:rPr>
          <w:b/>
          <w:bCs/>
          <w:lang w:eastAsia="en-GB"/>
        </w:rPr>
        <w:t>E5. Do you have any physical or mental health conditions or illnesses lasting or expected to last 12 months or more?</w:t>
      </w:r>
    </w:p>
    <w:tbl>
      <w:tblPr>
        <w:tblW w:w="88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7811"/>
        <w:gridCol w:w="994"/>
      </w:tblGrid>
      <w:tr w:rsidR="00B2786E" w14:paraId="29EA80CC" w14:textId="77777777">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336134DB" w14:textId="77777777" w:rsidR="00B2786E" w:rsidRDefault="00B2786E">
            <w:pPr>
              <w:rPr>
                <w:rFonts w:cs="Arial"/>
                <w:color w:val="1D1D1B" w:themeColor="text1"/>
              </w:rPr>
            </w:pPr>
            <w:r>
              <w:rPr>
                <w:rFonts w:cs="Arial"/>
                <w:color w:val="1D1D1B" w:themeColor="text1"/>
              </w:rPr>
              <w:t xml:space="preserve">Yes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33596E4" w14:textId="77777777" w:rsidR="00B2786E" w:rsidRDefault="00B2786E">
            <w:pPr>
              <w:jc w:val="center"/>
              <w:rPr>
                <w:rFonts w:cs="Arial"/>
                <w:color w:val="1D1D1B" w:themeColor="text1"/>
              </w:rPr>
            </w:pPr>
            <w:r>
              <w:rPr>
                <w:rFonts w:cs="Arial"/>
                <w:color w:val="1D1D1B" w:themeColor="text1"/>
              </w:rPr>
              <w:t>1</w:t>
            </w:r>
          </w:p>
        </w:tc>
      </w:tr>
      <w:tr w:rsidR="00B2786E" w14:paraId="42548BDF" w14:textId="77777777">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245BCF07" w14:textId="77777777" w:rsidR="00B2786E" w:rsidRDefault="00B2786E">
            <w:pPr>
              <w:rPr>
                <w:rFonts w:cs="Arial"/>
                <w:color w:val="1D1D1B" w:themeColor="text1"/>
              </w:rPr>
            </w:pPr>
            <w:r>
              <w:rPr>
                <w:rFonts w:cs="Arial"/>
                <w:color w:val="1D1D1B" w:themeColor="text1"/>
              </w:rPr>
              <w:t>No</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220CDE" w14:textId="77777777" w:rsidR="00B2786E" w:rsidRDefault="00B2786E">
            <w:pPr>
              <w:jc w:val="center"/>
              <w:rPr>
                <w:rFonts w:cs="Arial"/>
                <w:color w:val="1D1D1B" w:themeColor="text1"/>
              </w:rPr>
            </w:pPr>
            <w:r>
              <w:rPr>
                <w:rFonts w:cs="Arial"/>
                <w:color w:val="1D1D1B" w:themeColor="text1"/>
              </w:rPr>
              <w:t>2</w:t>
            </w:r>
          </w:p>
        </w:tc>
      </w:tr>
      <w:tr w:rsidR="00B2786E" w14:paraId="5DFB60F9" w14:textId="77777777">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4086C127" w14:textId="77777777" w:rsidR="00B2786E" w:rsidRDefault="00B2786E">
            <w:pPr>
              <w:rPr>
                <w:rFonts w:cs="Arial"/>
                <w:color w:val="1D1D1B" w:themeColor="text1"/>
              </w:rPr>
            </w:pPr>
            <w:r>
              <w:rPr>
                <w:rFonts w:cs="Arial"/>
                <w:color w:val="1D1D1B" w:themeColor="text1"/>
              </w:rPr>
              <w:t>Don’t know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ACD887" w14:textId="77777777" w:rsidR="00B2786E" w:rsidRDefault="00B2786E">
            <w:pPr>
              <w:jc w:val="center"/>
              <w:rPr>
                <w:rFonts w:cs="Arial"/>
                <w:color w:val="1D1D1B" w:themeColor="text1"/>
              </w:rPr>
            </w:pPr>
            <w:r>
              <w:rPr>
                <w:rFonts w:cs="Arial"/>
                <w:color w:val="1D1D1B" w:themeColor="text1"/>
              </w:rPr>
              <w:t>98</w:t>
            </w:r>
          </w:p>
        </w:tc>
      </w:tr>
      <w:tr w:rsidR="00B2786E" w14:paraId="5BBDF531" w14:textId="77777777">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0FC41790" w14:textId="77777777" w:rsidR="00B2786E" w:rsidRDefault="00B2786E">
            <w:pPr>
              <w:rPr>
                <w:rFonts w:cs="Arial"/>
                <w:color w:val="1D1D1B" w:themeColor="text1"/>
              </w:rPr>
            </w:pPr>
            <w:r>
              <w:rPr>
                <w:rFonts w:cs="Arial"/>
                <w:color w:val="1D1D1B" w:themeColor="text1"/>
              </w:rPr>
              <w:t>Prefer not to say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C8A063" w14:textId="77777777" w:rsidR="00B2786E" w:rsidRDefault="00B2786E">
            <w:pPr>
              <w:jc w:val="center"/>
              <w:rPr>
                <w:rFonts w:cs="Arial"/>
                <w:color w:val="1D1D1B" w:themeColor="text1"/>
              </w:rPr>
            </w:pPr>
            <w:r>
              <w:rPr>
                <w:rFonts w:cs="Arial"/>
                <w:color w:val="1D1D1B" w:themeColor="text1"/>
              </w:rPr>
              <w:t>99</w:t>
            </w:r>
          </w:p>
        </w:tc>
      </w:tr>
    </w:tbl>
    <w:p w14:paraId="21744320" w14:textId="77777777" w:rsidR="00B2786E" w:rsidRDefault="00B2786E" w:rsidP="00B2786E">
      <w:pPr>
        <w:rPr>
          <w:rFonts w:cs="Arial"/>
          <w:lang w:eastAsia="en-GB"/>
        </w:rPr>
      </w:pPr>
    </w:p>
    <w:p w14:paraId="043FF2CD" w14:textId="77777777" w:rsidR="00B2786E" w:rsidRDefault="00B2786E" w:rsidP="00B2786E">
      <w:pPr>
        <w:rPr>
          <w:rFonts w:cs="Arial"/>
          <w:color w:val="FF0000"/>
          <w:lang w:eastAsia="en-GB"/>
        </w:rPr>
      </w:pPr>
      <w:r>
        <w:rPr>
          <w:rFonts w:cs="Arial"/>
          <w:color w:val="FF0000"/>
          <w:lang w:eastAsia="en-GB"/>
        </w:rPr>
        <w:t xml:space="preserve">ASK TURNOVER UNDER £45 </w:t>
      </w:r>
      <w:proofErr w:type="gramStart"/>
      <w:r>
        <w:rPr>
          <w:rFonts w:cs="Arial"/>
          <w:color w:val="FF0000"/>
          <w:lang w:eastAsia="en-GB"/>
        </w:rPr>
        <w:t>MILLION  (</w:t>
      </w:r>
      <w:proofErr w:type="gramEnd"/>
      <w:r>
        <w:rPr>
          <w:rFonts w:cs="Arial"/>
          <w:color w:val="FF0000"/>
          <w:lang w:eastAsia="en-GB"/>
        </w:rPr>
        <w:t>S4= LESS THAN £45 MILLION OR S5_AA= 1-11 OR S6_AA= 1-2 ) EXCEPT SOLE TRADERS (CODE 1 AT S17)</w:t>
      </w:r>
    </w:p>
    <w:p w14:paraId="24526396" w14:textId="77777777" w:rsidR="00B2786E" w:rsidRPr="006F30CC" w:rsidRDefault="00B2786E" w:rsidP="00B2786E">
      <w:pPr>
        <w:rPr>
          <w:rFonts w:cs="Arial"/>
          <w:b/>
          <w:bCs/>
          <w:lang w:eastAsia="en-GB"/>
        </w:rPr>
      </w:pPr>
      <w:r>
        <w:rPr>
          <w:rFonts w:cs="Arial"/>
          <w:b/>
          <w:bCs/>
          <w:lang w:eastAsia="en-GB"/>
        </w:rPr>
        <w:t xml:space="preserve">E6 </w:t>
      </w:r>
      <w:r>
        <w:rPr>
          <w:rFonts w:cs="Arial"/>
          <w:b/>
          <w:bCs/>
          <w:lang w:eastAsia="en-GB"/>
        </w:rPr>
        <w:tab/>
        <w:t xml:space="preserve">Thinking about the ownership of your business, approximately what percentage of your business would you say is owned by: </w:t>
      </w:r>
    </w:p>
    <w:p w14:paraId="07C3456A" w14:textId="77777777" w:rsidR="00B2786E" w:rsidRDefault="00B2786E" w:rsidP="00B2786E">
      <w:pPr>
        <w:pStyle w:val="ListParagraph"/>
        <w:keepLines/>
        <w:numPr>
          <w:ilvl w:val="0"/>
          <w:numId w:val="76"/>
        </w:numPr>
        <w:spacing w:after="0" w:line="240" w:lineRule="auto"/>
        <w:jc w:val="both"/>
        <w:rPr>
          <w:lang w:eastAsia="en-GB"/>
        </w:rPr>
      </w:pPr>
      <w:r>
        <w:rPr>
          <w:lang w:eastAsia="en-GB"/>
        </w:rPr>
        <w:t>women?</w:t>
      </w:r>
    </w:p>
    <w:p w14:paraId="694AB7C4" w14:textId="77777777" w:rsidR="00B2786E" w:rsidRDefault="00B2786E" w:rsidP="00B2786E">
      <w:pPr>
        <w:pStyle w:val="ListParagraph"/>
        <w:keepLines/>
        <w:numPr>
          <w:ilvl w:val="0"/>
          <w:numId w:val="76"/>
        </w:numPr>
        <w:spacing w:after="0" w:line="240" w:lineRule="auto"/>
        <w:jc w:val="both"/>
        <w:rPr>
          <w:lang w:eastAsia="en-GB"/>
        </w:rPr>
      </w:pPr>
      <w:r>
        <w:rPr>
          <w:lang w:eastAsia="en-GB"/>
        </w:rPr>
        <w:t>People who identify as being Asian/Black/Mixed/Multiple ethnic groups/another ethnic group other than White?</w:t>
      </w:r>
      <w:r>
        <w:rPr>
          <w:lang w:eastAsia="en-GB"/>
        </w:rPr>
        <w:tab/>
      </w:r>
    </w:p>
    <w:p w14:paraId="7278C63F" w14:textId="77777777" w:rsidR="00B2786E" w:rsidRDefault="00B2786E" w:rsidP="00B2786E">
      <w:pPr>
        <w:pStyle w:val="ListParagraph"/>
        <w:keepLines/>
        <w:numPr>
          <w:ilvl w:val="0"/>
          <w:numId w:val="76"/>
        </w:numPr>
        <w:spacing w:after="0" w:line="240" w:lineRule="auto"/>
        <w:jc w:val="both"/>
        <w:rPr>
          <w:lang w:eastAsia="en-GB"/>
        </w:rPr>
      </w:pPr>
      <w:r>
        <w:rPr>
          <w:lang w:eastAsia="en-GB"/>
        </w:rPr>
        <w:t>institutions (</w:t>
      </w:r>
      <w:proofErr w:type="gramStart"/>
      <w:r>
        <w:rPr>
          <w:lang w:eastAsia="en-GB"/>
        </w:rPr>
        <w:t>e.g.</w:t>
      </w:r>
      <w:proofErr w:type="gramEnd"/>
      <w:r>
        <w:rPr>
          <w:lang w:eastAsia="en-GB"/>
        </w:rPr>
        <w:t xml:space="preserve"> Venture Capital Funds)?</w:t>
      </w:r>
    </w:p>
    <w:p w14:paraId="1E5A5C3E" w14:textId="77777777" w:rsidR="00B2786E" w:rsidRDefault="00B2786E" w:rsidP="00B2786E">
      <w:pPr>
        <w:rPr>
          <w:rFonts w:cs="Arial"/>
          <w:lang w:eastAsia="en-GB"/>
        </w:rPr>
      </w:pPr>
    </w:p>
    <w:p w14:paraId="0B918C05" w14:textId="77777777" w:rsidR="00B2786E" w:rsidRDefault="00B2786E" w:rsidP="00B2786E">
      <w:pPr>
        <w:rPr>
          <w:rFonts w:cs="Arial"/>
          <w:color w:val="F06603" w:themeColor="accent6"/>
          <w:lang w:eastAsia="en-GB"/>
        </w:rPr>
      </w:pPr>
      <w:r>
        <w:rPr>
          <w:rFonts w:cs="Arial"/>
          <w:color w:val="FF0000"/>
          <w:lang w:eastAsia="en-GB"/>
        </w:rPr>
        <w:t>RECORD % AND CODE TO LIST BELOW FOR EACH. ALLOW OPTION FOR REFUSED.</w:t>
      </w:r>
      <w:r>
        <w:rPr>
          <w:rFonts w:cs="Arial"/>
          <w:color w:val="F06603" w:themeColor="accent6"/>
          <w:lang w:eastAsia="en-GB"/>
        </w:rPr>
        <w:t xml:space="preserve"> IF RESPONDENT SAYS THEY DON’T KNOW PLEASE PROMPT TO CODE</w:t>
      </w:r>
    </w:p>
    <w:tbl>
      <w:tblPr>
        <w:tblW w:w="82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1987"/>
        <w:gridCol w:w="1418"/>
        <w:gridCol w:w="2695"/>
        <w:gridCol w:w="2165"/>
      </w:tblGrid>
      <w:tr w:rsidR="00FA1B3F" w14:paraId="4E337E45" w14:textId="77777777">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tcPr>
          <w:p w14:paraId="69B558F5" w14:textId="77777777" w:rsidR="00B2786E" w:rsidRDefault="00B2786E">
            <w:pPr>
              <w:spacing w:line="254" w:lineRule="auto"/>
              <w:rPr>
                <w:rFonts w:cs="Arial"/>
                <w:color w:val="1D1D1B" w:themeColor="text1"/>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D22913C" w14:textId="77777777" w:rsidR="00B2786E" w:rsidRDefault="00B2786E">
            <w:pPr>
              <w:spacing w:line="254" w:lineRule="auto"/>
              <w:jc w:val="center"/>
              <w:rPr>
                <w:rFonts w:cs="Arial"/>
                <w:color w:val="1D1D1B" w:themeColor="text1"/>
              </w:rPr>
            </w:pPr>
            <w:r>
              <w:rPr>
                <w:rFonts w:cs="Arial"/>
                <w:color w:val="1D1D1B" w:themeColor="text1"/>
              </w:rPr>
              <w:t>Women</w:t>
            </w:r>
          </w:p>
        </w:tc>
        <w:tc>
          <w:tcPr>
            <w:tcW w:w="2693" w:type="dxa"/>
            <w:tcBorders>
              <w:top w:val="single" w:sz="4" w:space="0" w:color="auto"/>
              <w:left w:val="single" w:sz="4" w:space="0" w:color="auto"/>
              <w:bottom w:val="single" w:sz="4" w:space="0" w:color="auto"/>
              <w:right w:val="single" w:sz="4" w:space="0" w:color="auto"/>
            </w:tcBorders>
            <w:hideMark/>
          </w:tcPr>
          <w:p w14:paraId="622A89A8" w14:textId="77777777" w:rsidR="00B2786E" w:rsidRDefault="00B2786E">
            <w:pPr>
              <w:spacing w:line="254" w:lineRule="auto"/>
              <w:jc w:val="center"/>
              <w:rPr>
                <w:rFonts w:cs="Arial"/>
                <w:color w:val="1D1D1B" w:themeColor="text1"/>
              </w:rPr>
            </w:pPr>
            <w:r>
              <w:rPr>
                <w:rFonts w:cs="Arial"/>
                <w:lang w:eastAsia="en-GB"/>
              </w:rPr>
              <w:t>People who identify as being Asian/Black/Mixed/Multiple ethnic groups/another ethnic group other than White</w:t>
            </w:r>
          </w:p>
        </w:tc>
        <w:tc>
          <w:tcPr>
            <w:tcW w:w="2163" w:type="dxa"/>
            <w:tcBorders>
              <w:top w:val="single" w:sz="4" w:space="0" w:color="auto"/>
              <w:left w:val="single" w:sz="4" w:space="0" w:color="auto"/>
              <w:bottom w:val="single" w:sz="4" w:space="0" w:color="auto"/>
              <w:right w:val="single" w:sz="4" w:space="0" w:color="auto"/>
            </w:tcBorders>
            <w:hideMark/>
          </w:tcPr>
          <w:p w14:paraId="14EFCA60" w14:textId="77777777" w:rsidR="00B2786E" w:rsidRDefault="00B2786E">
            <w:pPr>
              <w:spacing w:line="254" w:lineRule="auto"/>
              <w:jc w:val="center"/>
              <w:rPr>
                <w:rFonts w:cs="Arial"/>
                <w:color w:val="1D1D1B" w:themeColor="text1"/>
              </w:rPr>
            </w:pPr>
            <w:r>
              <w:rPr>
                <w:rFonts w:cs="Arial"/>
                <w:lang w:eastAsia="en-GB"/>
              </w:rPr>
              <w:t>Institutions (</w:t>
            </w:r>
            <w:proofErr w:type="gramStart"/>
            <w:r>
              <w:rPr>
                <w:rFonts w:cs="Arial"/>
                <w:lang w:eastAsia="en-GB"/>
              </w:rPr>
              <w:t>e.g.</w:t>
            </w:r>
            <w:proofErr w:type="gramEnd"/>
            <w:r>
              <w:rPr>
                <w:rFonts w:cs="Arial"/>
                <w:lang w:eastAsia="en-GB"/>
              </w:rPr>
              <w:t xml:space="preserve"> Venture Capital Funds)</w:t>
            </w:r>
          </w:p>
        </w:tc>
      </w:tr>
      <w:tr w:rsidR="00FA1B3F" w14:paraId="0E1F1DF1" w14:textId="77777777">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287FFC27" w14:textId="77777777" w:rsidR="00B2786E" w:rsidRDefault="00B2786E">
            <w:pPr>
              <w:spacing w:line="254" w:lineRule="auto"/>
              <w:rPr>
                <w:rFonts w:cs="Arial"/>
                <w:color w:val="1D1D1B" w:themeColor="text1"/>
              </w:rPr>
            </w:pPr>
            <w:r>
              <w:rPr>
                <w:rFonts w:cs="Arial"/>
                <w:color w:val="1D1D1B" w:themeColor="text1"/>
              </w:rPr>
              <w:t xml:space="preserve">None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F92AE6" w14:textId="77777777" w:rsidR="00B2786E" w:rsidRDefault="00B2786E">
            <w:pPr>
              <w:spacing w:line="254" w:lineRule="auto"/>
              <w:jc w:val="center"/>
              <w:rPr>
                <w:rFonts w:cs="Arial"/>
                <w:color w:val="1D1D1B" w:themeColor="text1"/>
              </w:rPr>
            </w:pPr>
            <w:r>
              <w:rPr>
                <w:rFonts w:cs="Arial"/>
                <w:color w:val="1D1D1B" w:themeColor="text1"/>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EFA561" w14:textId="77777777" w:rsidR="00B2786E" w:rsidRDefault="00B2786E">
            <w:pPr>
              <w:spacing w:line="254" w:lineRule="auto"/>
              <w:jc w:val="center"/>
              <w:rPr>
                <w:rFonts w:cs="Arial"/>
                <w:color w:val="1D1D1B" w:themeColor="text1"/>
              </w:rPr>
            </w:pPr>
            <w:r>
              <w:rPr>
                <w:rFonts w:cs="Arial"/>
                <w:color w:val="1D1D1B" w:themeColor="text1"/>
              </w:rPr>
              <w:t>1</w:t>
            </w:r>
          </w:p>
        </w:tc>
        <w:tc>
          <w:tcPr>
            <w:tcW w:w="2163" w:type="dxa"/>
            <w:tcBorders>
              <w:top w:val="single" w:sz="4" w:space="0" w:color="auto"/>
              <w:left w:val="single" w:sz="4" w:space="0" w:color="auto"/>
              <w:bottom w:val="single" w:sz="4" w:space="0" w:color="auto"/>
              <w:right w:val="single" w:sz="4" w:space="0" w:color="auto"/>
            </w:tcBorders>
            <w:vAlign w:val="center"/>
            <w:hideMark/>
          </w:tcPr>
          <w:p w14:paraId="61A83C53" w14:textId="77777777" w:rsidR="00B2786E" w:rsidRDefault="00B2786E">
            <w:pPr>
              <w:spacing w:line="254" w:lineRule="auto"/>
              <w:jc w:val="center"/>
              <w:rPr>
                <w:rFonts w:cs="Arial"/>
                <w:color w:val="1D1D1B" w:themeColor="text1"/>
              </w:rPr>
            </w:pPr>
            <w:r>
              <w:rPr>
                <w:rFonts w:cs="Arial"/>
                <w:color w:val="1D1D1B" w:themeColor="text1"/>
              </w:rPr>
              <w:t>1</w:t>
            </w:r>
          </w:p>
        </w:tc>
      </w:tr>
      <w:tr w:rsidR="00FA1B3F" w14:paraId="2227D385" w14:textId="77777777">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5ACC4C3D" w14:textId="77777777" w:rsidR="00B2786E" w:rsidRDefault="00B2786E">
            <w:pPr>
              <w:spacing w:line="254" w:lineRule="auto"/>
              <w:rPr>
                <w:rFonts w:cs="Arial"/>
                <w:color w:val="1D1D1B" w:themeColor="text1"/>
              </w:rPr>
            </w:pPr>
            <w:r>
              <w:rPr>
                <w:rFonts w:cs="Arial"/>
                <w:color w:val="1D1D1B" w:themeColor="text1"/>
              </w:rPr>
              <w:t xml:space="preserve">More than one percent but less than 50%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95A802" w14:textId="77777777" w:rsidR="00B2786E" w:rsidRDefault="00B2786E">
            <w:pPr>
              <w:spacing w:line="254" w:lineRule="auto"/>
              <w:jc w:val="center"/>
              <w:rPr>
                <w:rFonts w:cs="Arial"/>
                <w:color w:val="1D1D1B" w:themeColor="text1"/>
              </w:rPr>
            </w:pPr>
            <w:r>
              <w:rPr>
                <w:rFonts w:cs="Arial"/>
                <w:color w:val="1D1D1B" w:themeColor="text1"/>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A5B4B7E" w14:textId="77777777" w:rsidR="00B2786E" w:rsidRDefault="00B2786E">
            <w:pPr>
              <w:spacing w:line="254" w:lineRule="auto"/>
              <w:jc w:val="center"/>
              <w:rPr>
                <w:rFonts w:cs="Arial"/>
                <w:color w:val="1D1D1B" w:themeColor="text1"/>
              </w:rPr>
            </w:pPr>
            <w:r>
              <w:rPr>
                <w:rFonts w:cs="Arial"/>
                <w:color w:val="1D1D1B" w:themeColor="text1"/>
              </w:rPr>
              <w:t>2</w:t>
            </w:r>
          </w:p>
        </w:tc>
        <w:tc>
          <w:tcPr>
            <w:tcW w:w="2163" w:type="dxa"/>
            <w:tcBorders>
              <w:top w:val="single" w:sz="4" w:space="0" w:color="auto"/>
              <w:left w:val="single" w:sz="4" w:space="0" w:color="auto"/>
              <w:bottom w:val="single" w:sz="4" w:space="0" w:color="auto"/>
              <w:right w:val="single" w:sz="4" w:space="0" w:color="auto"/>
            </w:tcBorders>
            <w:vAlign w:val="center"/>
            <w:hideMark/>
          </w:tcPr>
          <w:p w14:paraId="6B6BD06D" w14:textId="77777777" w:rsidR="00B2786E" w:rsidRDefault="00B2786E">
            <w:pPr>
              <w:spacing w:line="254" w:lineRule="auto"/>
              <w:jc w:val="center"/>
              <w:rPr>
                <w:rFonts w:cs="Arial"/>
                <w:color w:val="1D1D1B" w:themeColor="text1"/>
              </w:rPr>
            </w:pPr>
            <w:r>
              <w:rPr>
                <w:rFonts w:cs="Arial"/>
                <w:color w:val="1D1D1B" w:themeColor="text1"/>
              </w:rPr>
              <w:t>2</w:t>
            </w:r>
          </w:p>
        </w:tc>
      </w:tr>
      <w:tr w:rsidR="00FA1B3F" w14:paraId="691D05B6" w14:textId="77777777">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6CEA5AC6" w14:textId="77777777" w:rsidR="00B2786E" w:rsidRDefault="00B2786E">
            <w:pPr>
              <w:spacing w:line="254" w:lineRule="auto"/>
              <w:rPr>
                <w:rFonts w:cs="Arial"/>
                <w:color w:val="1D1D1B" w:themeColor="text1"/>
              </w:rPr>
            </w:pPr>
            <w:r>
              <w:rPr>
                <w:rFonts w:cs="Arial"/>
                <w:color w:val="1D1D1B" w:themeColor="text1"/>
              </w:rPr>
              <w:t>50% or more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A94660" w14:textId="77777777" w:rsidR="00B2786E" w:rsidRDefault="00B2786E">
            <w:pPr>
              <w:spacing w:line="254" w:lineRule="auto"/>
              <w:jc w:val="center"/>
              <w:rPr>
                <w:rFonts w:cs="Arial"/>
                <w:color w:val="1D1D1B" w:themeColor="text1"/>
              </w:rPr>
            </w:pPr>
            <w:r>
              <w:rPr>
                <w:rFonts w:cs="Arial"/>
                <w:color w:val="1D1D1B" w:themeColor="text1"/>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9FDD92B" w14:textId="77777777" w:rsidR="00B2786E" w:rsidRDefault="00B2786E">
            <w:pPr>
              <w:spacing w:line="254" w:lineRule="auto"/>
              <w:jc w:val="center"/>
              <w:rPr>
                <w:rFonts w:cs="Arial"/>
                <w:color w:val="1D1D1B" w:themeColor="text1"/>
              </w:rPr>
            </w:pPr>
            <w:r>
              <w:rPr>
                <w:rFonts w:cs="Arial"/>
                <w:color w:val="1D1D1B" w:themeColor="text1"/>
              </w:rPr>
              <w:t>3</w:t>
            </w:r>
          </w:p>
        </w:tc>
        <w:tc>
          <w:tcPr>
            <w:tcW w:w="2163" w:type="dxa"/>
            <w:tcBorders>
              <w:top w:val="single" w:sz="4" w:space="0" w:color="auto"/>
              <w:left w:val="single" w:sz="4" w:space="0" w:color="auto"/>
              <w:bottom w:val="single" w:sz="4" w:space="0" w:color="auto"/>
              <w:right w:val="single" w:sz="4" w:space="0" w:color="auto"/>
            </w:tcBorders>
            <w:vAlign w:val="center"/>
            <w:hideMark/>
          </w:tcPr>
          <w:p w14:paraId="1A81300C" w14:textId="77777777" w:rsidR="00B2786E" w:rsidRDefault="00B2786E">
            <w:pPr>
              <w:spacing w:line="254" w:lineRule="auto"/>
              <w:jc w:val="center"/>
              <w:rPr>
                <w:rFonts w:cs="Arial"/>
                <w:color w:val="1D1D1B" w:themeColor="text1"/>
              </w:rPr>
            </w:pPr>
            <w:r>
              <w:rPr>
                <w:rFonts w:cs="Arial"/>
                <w:color w:val="1D1D1B" w:themeColor="text1"/>
              </w:rPr>
              <w:t>3</w:t>
            </w:r>
          </w:p>
        </w:tc>
      </w:tr>
      <w:tr w:rsidR="00FA1B3F" w14:paraId="5B5F76E0" w14:textId="77777777">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197110A7" w14:textId="77777777" w:rsidR="00B2786E" w:rsidRDefault="00B2786E">
            <w:pPr>
              <w:spacing w:line="254" w:lineRule="auto"/>
              <w:rPr>
                <w:rFonts w:cs="Arial"/>
                <w:color w:val="1D1D1B" w:themeColor="text1"/>
              </w:rPr>
            </w:pPr>
            <w:r>
              <w:rPr>
                <w:rFonts w:cs="Arial"/>
                <w:color w:val="1D1D1B" w:themeColor="text1"/>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98A1F9" w14:textId="77777777" w:rsidR="00B2786E" w:rsidRDefault="00B2786E">
            <w:pPr>
              <w:spacing w:line="254" w:lineRule="auto"/>
              <w:jc w:val="center"/>
              <w:rPr>
                <w:rFonts w:cs="Arial"/>
                <w:color w:val="1D1D1B" w:themeColor="text1"/>
              </w:rPr>
            </w:pPr>
            <w:r>
              <w:rPr>
                <w:rFonts w:cs="Arial"/>
                <w:color w:val="1D1D1B" w:themeColor="text1"/>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8A95FC" w14:textId="77777777" w:rsidR="00B2786E" w:rsidRDefault="00B2786E">
            <w:pPr>
              <w:spacing w:line="254" w:lineRule="auto"/>
              <w:jc w:val="center"/>
              <w:rPr>
                <w:rFonts w:cs="Arial"/>
                <w:color w:val="1D1D1B" w:themeColor="text1"/>
              </w:rPr>
            </w:pPr>
            <w:r>
              <w:rPr>
                <w:rFonts w:cs="Arial"/>
                <w:color w:val="1D1D1B" w:themeColor="text1"/>
              </w:rPr>
              <w:t>4</w:t>
            </w:r>
          </w:p>
        </w:tc>
        <w:tc>
          <w:tcPr>
            <w:tcW w:w="2163" w:type="dxa"/>
            <w:tcBorders>
              <w:top w:val="single" w:sz="4" w:space="0" w:color="auto"/>
              <w:left w:val="single" w:sz="4" w:space="0" w:color="auto"/>
              <w:bottom w:val="single" w:sz="4" w:space="0" w:color="auto"/>
              <w:right w:val="single" w:sz="4" w:space="0" w:color="auto"/>
            </w:tcBorders>
            <w:vAlign w:val="center"/>
            <w:hideMark/>
          </w:tcPr>
          <w:p w14:paraId="1AA8DE28" w14:textId="77777777" w:rsidR="00B2786E" w:rsidRDefault="00B2786E">
            <w:pPr>
              <w:spacing w:line="254" w:lineRule="auto"/>
              <w:jc w:val="center"/>
              <w:rPr>
                <w:rFonts w:cs="Arial"/>
                <w:color w:val="1D1D1B" w:themeColor="text1"/>
              </w:rPr>
            </w:pPr>
            <w:r>
              <w:rPr>
                <w:rFonts w:cs="Arial"/>
                <w:color w:val="1D1D1B" w:themeColor="text1"/>
              </w:rPr>
              <w:t>4</w:t>
            </w:r>
          </w:p>
        </w:tc>
      </w:tr>
      <w:tr w:rsidR="00FA1B3F" w14:paraId="3F77FE33" w14:textId="77777777">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7860611D" w14:textId="77777777" w:rsidR="00B2786E" w:rsidRDefault="00B2786E">
            <w:pPr>
              <w:spacing w:line="254" w:lineRule="auto"/>
              <w:rPr>
                <w:rFonts w:cs="Arial"/>
                <w:color w:val="1D1D1B" w:themeColor="text1"/>
              </w:rPr>
            </w:pPr>
            <w:r>
              <w:rPr>
                <w:rFonts w:cs="Arial"/>
                <w:color w:val="1D1D1B" w:themeColor="text1"/>
              </w:rPr>
              <w:t>Don’t know</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7A8B66" w14:textId="77777777" w:rsidR="00B2786E" w:rsidRDefault="00B2786E">
            <w:pPr>
              <w:spacing w:line="254" w:lineRule="auto"/>
              <w:jc w:val="center"/>
              <w:rPr>
                <w:rFonts w:cs="Arial"/>
                <w:color w:val="1D1D1B" w:themeColor="text1"/>
              </w:rPr>
            </w:pPr>
            <w:r>
              <w:rPr>
                <w:rFonts w:cs="Arial"/>
                <w:color w:val="1D1D1B" w:themeColor="text1"/>
              </w:rPr>
              <w:t>98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429742" w14:textId="77777777" w:rsidR="00B2786E" w:rsidRDefault="00B2786E">
            <w:pPr>
              <w:spacing w:line="254" w:lineRule="auto"/>
              <w:jc w:val="center"/>
              <w:rPr>
                <w:rFonts w:cs="Arial"/>
                <w:color w:val="1D1D1B" w:themeColor="text1"/>
              </w:rPr>
            </w:pPr>
            <w:r>
              <w:rPr>
                <w:rFonts w:cs="Arial"/>
                <w:color w:val="1D1D1B" w:themeColor="text1"/>
              </w:rPr>
              <w:t>98</w:t>
            </w:r>
          </w:p>
        </w:tc>
        <w:tc>
          <w:tcPr>
            <w:tcW w:w="2163" w:type="dxa"/>
            <w:tcBorders>
              <w:top w:val="single" w:sz="4" w:space="0" w:color="auto"/>
              <w:left w:val="single" w:sz="4" w:space="0" w:color="auto"/>
              <w:bottom w:val="single" w:sz="4" w:space="0" w:color="auto"/>
              <w:right w:val="single" w:sz="4" w:space="0" w:color="auto"/>
            </w:tcBorders>
            <w:vAlign w:val="center"/>
            <w:hideMark/>
          </w:tcPr>
          <w:p w14:paraId="71B1723A" w14:textId="77777777" w:rsidR="00B2786E" w:rsidRDefault="00B2786E">
            <w:pPr>
              <w:spacing w:line="254" w:lineRule="auto"/>
              <w:jc w:val="center"/>
              <w:rPr>
                <w:rFonts w:cs="Arial"/>
                <w:color w:val="1D1D1B" w:themeColor="text1"/>
              </w:rPr>
            </w:pPr>
            <w:r>
              <w:rPr>
                <w:rFonts w:cs="Arial"/>
                <w:color w:val="1D1D1B" w:themeColor="text1"/>
              </w:rPr>
              <w:t>98</w:t>
            </w:r>
          </w:p>
        </w:tc>
      </w:tr>
      <w:tr w:rsidR="00FA1B3F" w14:paraId="4B5BC022" w14:textId="77777777">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795FD05A" w14:textId="77777777" w:rsidR="00B2786E" w:rsidRDefault="00B2786E">
            <w:pPr>
              <w:spacing w:line="254" w:lineRule="auto"/>
              <w:rPr>
                <w:rFonts w:cs="Arial"/>
                <w:color w:val="1D1D1B" w:themeColor="text1"/>
              </w:rPr>
            </w:pPr>
            <w:r>
              <w:rPr>
                <w:rFonts w:cs="Arial"/>
                <w:color w:val="1D1D1B" w:themeColor="text1"/>
              </w:rPr>
              <w:t xml:space="preserve">Refused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C90720" w14:textId="77777777" w:rsidR="00B2786E" w:rsidRDefault="00B2786E">
            <w:pPr>
              <w:spacing w:line="254" w:lineRule="auto"/>
              <w:jc w:val="center"/>
              <w:rPr>
                <w:rFonts w:cs="Arial"/>
                <w:color w:val="1D1D1B" w:themeColor="text1"/>
              </w:rPr>
            </w:pPr>
            <w:r>
              <w:rPr>
                <w:rFonts w:cs="Arial"/>
                <w:color w:val="1D1D1B" w:themeColor="text1"/>
              </w:rPr>
              <w:t>99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234F56" w14:textId="77777777" w:rsidR="00B2786E" w:rsidRDefault="00B2786E">
            <w:pPr>
              <w:spacing w:line="254" w:lineRule="auto"/>
              <w:jc w:val="center"/>
              <w:rPr>
                <w:rFonts w:cs="Arial"/>
                <w:color w:val="1D1D1B" w:themeColor="text1"/>
              </w:rPr>
            </w:pPr>
            <w:r>
              <w:rPr>
                <w:rFonts w:cs="Arial"/>
                <w:color w:val="1D1D1B" w:themeColor="text1"/>
              </w:rPr>
              <w:t>99</w:t>
            </w:r>
          </w:p>
        </w:tc>
        <w:tc>
          <w:tcPr>
            <w:tcW w:w="2163" w:type="dxa"/>
            <w:tcBorders>
              <w:top w:val="single" w:sz="4" w:space="0" w:color="auto"/>
              <w:left w:val="single" w:sz="4" w:space="0" w:color="auto"/>
              <w:bottom w:val="single" w:sz="4" w:space="0" w:color="auto"/>
              <w:right w:val="single" w:sz="4" w:space="0" w:color="auto"/>
            </w:tcBorders>
            <w:vAlign w:val="center"/>
            <w:hideMark/>
          </w:tcPr>
          <w:p w14:paraId="57A761B2" w14:textId="77777777" w:rsidR="00B2786E" w:rsidRDefault="00B2786E">
            <w:pPr>
              <w:spacing w:line="254" w:lineRule="auto"/>
              <w:jc w:val="center"/>
              <w:rPr>
                <w:rFonts w:cs="Arial"/>
                <w:color w:val="1D1D1B" w:themeColor="text1"/>
              </w:rPr>
            </w:pPr>
            <w:r>
              <w:rPr>
                <w:rFonts w:cs="Arial"/>
                <w:color w:val="1D1D1B" w:themeColor="text1"/>
              </w:rPr>
              <w:t>99</w:t>
            </w:r>
          </w:p>
        </w:tc>
      </w:tr>
    </w:tbl>
    <w:p w14:paraId="19E6A35C" w14:textId="77777777" w:rsidR="00B2786E" w:rsidRDefault="00B2786E" w:rsidP="00B2786E">
      <w:pPr>
        <w:rPr>
          <w:rFonts w:cs="Arial"/>
          <w:color w:val="FF0000"/>
          <w:sz w:val="22"/>
          <w:lang w:eastAsia="en-GB"/>
        </w:rPr>
      </w:pPr>
    </w:p>
    <w:p w14:paraId="4015AD14" w14:textId="77777777" w:rsidR="00B2786E" w:rsidRDefault="00B2786E" w:rsidP="00B2786E">
      <w:pPr>
        <w:rPr>
          <w:rFonts w:cs="Arial"/>
          <w:color w:val="FF0000"/>
          <w:lang w:eastAsia="en-GB"/>
        </w:rPr>
      </w:pPr>
      <w:bookmarkStart w:id="240" w:name="_Hlk46914106"/>
      <w:r>
        <w:rPr>
          <w:rFonts w:cs="Arial"/>
          <w:color w:val="FF0000"/>
          <w:lang w:eastAsia="en-GB"/>
        </w:rPr>
        <w:t>ASK TURNOVER OVER £45 MILLION (S4= MORE THAN £45 MILLION OR S5= 12-14 OR S6= 3-</w:t>
      </w:r>
      <w:proofErr w:type="gramStart"/>
      <w:r>
        <w:rPr>
          <w:rFonts w:cs="Arial"/>
          <w:color w:val="FF0000"/>
          <w:lang w:eastAsia="en-GB"/>
        </w:rPr>
        <w:t>4 )</w:t>
      </w:r>
      <w:proofErr w:type="gramEnd"/>
      <w:r>
        <w:rPr>
          <w:rFonts w:cs="Arial"/>
          <w:color w:val="FF0000"/>
          <w:lang w:eastAsia="en-GB"/>
        </w:rPr>
        <w:t xml:space="preserve"> EXCEPT SOLE TRADERS (CODE 1 AT S17)</w:t>
      </w:r>
    </w:p>
    <w:bookmarkEnd w:id="240"/>
    <w:p w14:paraId="1A9DBBFF" w14:textId="77777777" w:rsidR="00B2786E" w:rsidRPr="006F30CC" w:rsidRDefault="00B2786E" w:rsidP="00B2786E">
      <w:pPr>
        <w:rPr>
          <w:rFonts w:cs="Arial"/>
          <w:b/>
          <w:bCs/>
          <w:lang w:eastAsia="en-GB"/>
        </w:rPr>
      </w:pPr>
      <w:r>
        <w:rPr>
          <w:rFonts w:cs="Arial"/>
          <w:b/>
          <w:bCs/>
          <w:lang w:eastAsia="en-GB"/>
        </w:rPr>
        <w:t>E7. Thinking about the senior leadership team in your business, approximately what percentage of the senior leadership team would you say…</w:t>
      </w:r>
    </w:p>
    <w:p w14:paraId="3041F669" w14:textId="77777777" w:rsidR="00B2786E" w:rsidRDefault="00B2786E" w:rsidP="00B2786E">
      <w:pPr>
        <w:pStyle w:val="ListParagraph"/>
        <w:keepLines/>
        <w:numPr>
          <w:ilvl w:val="0"/>
          <w:numId w:val="77"/>
        </w:numPr>
        <w:spacing w:after="0" w:line="240" w:lineRule="auto"/>
        <w:jc w:val="both"/>
        <w:rPr>
          <w:lang w:eastAsia="en-GB"/>
        </w:rPr>
      </w:pPr>
      <w:r>
        <w:rPr>
          <w:lang w:eastAsia="en-GB"/>
        </w:rPr>
        <w:t>Are women?</w:t>
      </w:r>
    </w:p>
    <w:p w14:paraId="6D96ECA3" w14:textId="77777777" w:rsidR="00B2786E" w:rsidRPr="002E2415" w:rsidRDefault="00B2786E" w:rsidP="00B2786E">
      <w:pPr>
        <w:pStyle w:val="ListParagraph"/>
        <w:keepLines/>
        <w:numPr>
          <w:ilvl w:val="0"/>
          <w:numId w:val="77"/>
        </w:numPr>
        <w:spacing w:after="0" w:line="240" w:lineRule="auto"/>
        <w:jc w:val="both"/>
        <w:rPr>
          <w:lang w:eastAsia="en-GB"/>
        </w:rPr>
      </w:pPr>
      <w:r>
        <w:rPr>
          <w:lang w:eastAsia="en-GB"/>
        </w:rPr>
        <w:t>Identify as being Asian/Black/Mixed/Multiple ethnic groups/another ethnic group other than White?</w:t>
      </w:r>
      <w:r>
        <w:rPr>
          <w:lang w:eastAsia="en-GB"/>
        </w:rPr>
        <w:tab/>
      </w:r>
    </w:p>
    <w:p w14:paraId="520128E4" w14:textId="77777777" w:rsidR="00B2786E" w:rsidRDefault="00B2786E" w:rsidP="00B2786E">
      <w:pPr>
        <w:rPr>
          <w:rFonts w:cs="Arial"/>
          <w:color w:val="FF0000"/>
          <w:lang w:eastAsia="en-GB"/>
        </w:rPr>
      </w:pPr>
    </w:p>
    <w:p w14:paraId="118AA074" w14:textId="77777777" w:rsidR="00B2786E" w:rsidRDefault="00B2786E" w:rsidP="00B2786E">
      <w:pPr>
        <w:rPr>
          <w:rFonts w:cs="Arial"/>
          <w:color w:val="F06603" w:themeColor="accent6"/>
          <w:lang w:eastAsia="en-GB"/>
        </w:rPr>
      </w:pPr>
      <w:r>
        <w:rPr>
          <w:rFonts w:cs="Arial"/>
          <w:color w:val="FF0000"/>
          <w:lang w:eastAsia="en-GB"/>
        </w:rPr>
        <w:t xml:space="preserve">RECORD % AND CODE TO LIST BELOW FOR EACH. ALLOW OPTION FOR REFUSED. </w:t>
      </w:r>
      <w:r>
        <w:rPr>
          <w:rFonts w:cs="Arial"/>
          <w:color w:val="F06603" w:themeColor="accent6"/>
          <w:lang w:eastAsia="en-GB"/>
        </w:rPr>
        <w:t>IF RESPONDENT SAYS THEY DON’T KNOW PLEASE PROMPT TO CODE</w:t>
      </w:r>
    </w:p>
    <w:tbl>
      <w:tblPr>
        <w:tblW w:w="979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3969"/>
        <w:gridCol w:w="2693"/>
        <w:gridCol w:w="3133"/>
      </w:tblGrid>
      <w:tr w:rsidR="00B2786E" w14:paraId="79C80CB7" w14:textId="77777777">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tcPr>
          <w:p w14:paraId="0E3A2BA7" w14:textId="77777777" w:rsidR="00B2786E" w:rsidRDefault="00B2786E">
            <w:pPr>
              <w:spacing w:line="254" w:lineRule="auto"/>
              <w:rPr>
                <w:rFonts w:cs="Arial"/>
                <w:color w:val="1D1D1B" w:themeColor="text1"/>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8A97145" w14:textId="77777777" w:rsidR="00B2786E" w:rsidRDefault="00B2786E">
            <w:pPr>
              <w:spacing w:line="254" w:lineRule="auto"/>
              <w:jc w:val="center"/>
              <w:rPr>
                <w:rFonts w:cs="Arial"/>
                <w:color w:val="1D1D1B" w:themeColor="text1"/>
              </w:rPr>
            </w:pPr>
            <w:r>
              <w:rPr>
                <w:rFonts w:cs="Arial"/>
                <w:color w:val="1D1D1B" w:themeColor="text1"/>
              </w:rPr>
              <w:t>Women</w:t>
            </w:r>
          </w:p>
        </w:tc>
        <w:tc>
          <w:tcPr>
            <w:tcW w:w="3133" w:type="dxa"/>
            <w:tcBorders>
              <w:top w:val="single" w:sz="4" w:space="0" w:color="auto"/>
              <w:left w:val="single" w:sz="4" w:space="0" w:color="auto"/>
              <w:bottom w:val="single" w:sz="4" w:space="0" w:color="auto"/>
              <w:right w:val="single" w:sz="4" w:space="0" w:color="auto"/>
            </w:tcBorders>
            <w:hideMark/>
          </w:tcPr>
          <w:p w14:paraId="476B4878" w14:textId="77777777" w:rsidR="00B2786E" w:rsidRDefault="00B2786E">
            <w:pPr>
              <w:spacing w:line="254" w:lineRule="auto"/>
              <w:jc w:val="center"/>
              <w:rPr>
                <w:rFonts w:cs="Arial"/>
                <w:color w:val="1D1D1B" w:themeColor="text1"/>
              </w:rPr>
            </w:pPr>
            <w:r>
              <w:rPr>
                <w:rFonts w:cs="Arial"/>
                <w:lang w:eastAsia="en-GB"/>
              </w:rPr>
              <w:t>People who identify as being Asian/Black/Mixed/Multiple ethnic groups/another ethnic group other than White</w:t>
            </w:r>
          </w:p>
        </w:tc>
      </w:tr>
      <w:tr w:rsidR="00B2786E" w14:paraId="75AA525F" w14:textId="77777777">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0A9CC29E" w14:textId="77777777" w:rsidR="00B2786E" w:rsidRDefault="00B2786E">
            <w:pPr>
              <w:spacing w:line="254" w:lineRule="auto"/>
              <w:rPr>
                <w:rFonts w:cs="Arial"/>
                <w:color w:val="1D1D1B" w:themeColor="text1"/>
              </w:rPr>
            </w:pPr>
            <w:r>
              <w:rPr>
                <w:rFonts w:cs="Arial"/>
                <w:color w:val="1D1D1B" w:themeColor="text1"/>
              </w:rPr>
              <w:t xml:space="preserve">None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E2DDDF" w14:textId="77777777" w:rsidR="00B2786E" w:rsidRDefault="00B2786E">
            <w:pPr>
              <w:spacing w:line="254" w:lineRule="auto"/>
              <w:jc w:val="center"/>
              <w:rPr>
                <w:rFonts w:cs="Arial"/>
                <w:color w:val="1D1D1B" w:themeColor="text1"/>
              </w:rPr>
            </w:pPr>
            <w:r>
              <w:rPr>
                <w:rFonts w:cs="Arial"/>
                <w:color w:val="1D1D1B" w:themeColor="text1"/>
              </w:rPr>
              <w:t>1</w:t>
            </w:r>
          </w:p>
        </w:tc>
        <w:tc>
          <w:tcPr>
            <w:tcW w:w="3133" w:type="dxa"/>
            <w:tcBorders>
              <w:top w:val="single" w:sz="4" w:space="0" w:color="auto"/>
              <w:left w:val="single" w:sz="4" w:space="0" w:color="auto"/>
              <w:bottom w:val="single" w:sz="4" w:space="0" w:color="auto"/>
              <w:right w:val="single" w:sz="4" w:space="0" w:color="auto"/>
            </w:tcBorders>
            <w:vAlign w:val="center"/>
            <w:hideMark/>
          </w:tcPr>
          <w:p w14:paraId="2C668FE0" w14:textId="77777777" w:rsidR="00B2786E" w:rsidRDefault="00B2786E">
            <w:pPr>
              <w:spacing w:line="254" w:lineRule="auto"/>
              <w:jc w:val="center"/>
              <w:rPr>
                <w:rFonts w:cs="Arial"/>
                <w:color w:val="1D1D1B" w:themeColor="text1"/>
              </w:rPr>
            </w:pPr>
            <w:r>
              <w:rPr>
                <w:rFonts w:cs="Arial"/>
                <w:color w:val="1D1D1B" w:themeColor="text1"/>
              </w:rPr>
              <w:t>1</w:t>
            </w:r>
          </w:p>
        </w:tc>
      </w:tr>
      <w:tr w:rsidR="00B2786E" w14:paraId="2F6E6E4D" w14:textId="77777777">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22270A17" w14:textId="77777777" w:rsidR="00B2786E" w:rsidRDefault="00B2786E">
            <w:pPr>
              <w:spacing w:line="254" w:lineRule="auto"/>
              <w:rPr>
                <w:rFonts w:cs="Arial"/>
                <w:color w:val="1D1D1B" w:themeColor="text1"/>
              </w:rPr>
            </w:pPr>
            <w:r>
              <w:rPr>
                <w:rFonts w:cs="Arial"/>
                <w:color w:val="1D1D1B" w:themeColor="text1"/>
              </w:rPr>
              <w:t xml:space="preserve">More than one percent but less than 50%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EBAC655" w14:textId="77777777" w:rsidR="00B2786E" w:rsidRDefault="00B2786E">
            <w:pPr>
              <w:spacing w:line="254" w:lineRule="auto"/>
              <w:jc w:val="center"/>
              <w:rPr>
                <w:rFonts w:cs="Arial"/>
                <w:color w:val="1D1D1B" w:themeColor="text1"/>
              </w:rPr>
            </w:pPr>
            <w:r>
              <w:rPr>
                <w:rFonts w:cs="Arial"/>
                <w:color w:val="1D1D1B" w:themeColor="text1"/>
              </w:rPr>
              <w:t>2</w:t>
            </w:r>
          </w:p>
        </w:tc>
        <w:tc>
          <w:tcPr>
            <w:tcW w:w="3133" w:type="dxa"/>
            <w:tcBorders>
              <w:top w:val="single" w:sz="4" w:space="0" w:color="auto"/>
              <w:left w:val="single" w:sz="4" w:space="0" w:color="auto"/>
              <w:bottom w:val="single" w:sz="4" w:space="0" w:color="auto"/>
              <w:right w:val="single" w:sz="4" w:space="0" w:color="auto"/>
            </w:tcBorders>
            <w:vAlign w:val="center"/>
            <w:hideMark/>
          </w:tcPr>
          <w:p w14:paraId="6E578AA2" w14:textId="77777777" w:rsidR="00B2786E" w:rsidRDefault="00B2786E">
            <w:pPr>
              <w:spacing w:line="254" w:lineRule="auto"/>
              <w:jc w:val="center"/>
              <w:rPr>
                <w:rFonts w:cs="Arial"/>
                <w:color w:val="1D1D1B" w:themeColor="text1"/>
              </w:rPr>
            </w:pPr>
            <w:r>
              <w:rPr>
                <w:rFonts w:cs="Arial"/>
                <w:color w:val="1D1D1B" w:themeColor="text1"/>
              </w:rPr>
              <w:t>2</w:t>
            </w:r>
          </w:p>
        </w:tc>
      </w:tr>
      <w:tr w:rsidR="00B2786E" w14:paraId="11C3E92A" w14:textId="77777777">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3A8A46C8" w14:textId="77777777" w:rsidR="00B2786E" w:rsidRDefault="00B2786E">
            <w:pPr>
              <w:spacing w:line="254" w:lineRule="auto"/>
              <w:rPr>
                <w:rFonts w:cs="Arial"/>
                <w:color w:val="1D1D1B" w:themeColor="text1"/>
              </w:rPr>
            </w:pPr>
            <w:r>
              <w:rPr>
                <w:rFonts w:cs="Arial"/>
                <w:color w:val="1D1D1B" w:themeColor="text1"/>
              </w:rPr>
              <w:lastRenderedPageBreak/>
              <w:t>50% or more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CA3315" w14:textId="77777777" w:rsidR="00B2786E" w:rsidRDefault="00B2786E">
            <w:pPr>
              <w:spacing w:line="254" w:lineRule="auto"/>
              <w:jc w:val="center"/>
              <w:rPr>
                <w:rFonts w:cs="Arial"/>
                <w:color w:val="1D1D1B" w:themeColor="text1"/>
              </w:rPr>
            </w:pPr>
            <w:r>
              <w:rPr>
                <w:rFonts w:cs="Arial"/>
                <w:color w:val="1D1D1B" w:themeColor="text1"/>
              </w:rPr>
              <w:t>3</w:t>
            </w:r>
          </w:p>
        </w:tc>
        <w:tc>
          <w:tcPr>
            <w:tcW w:w="3133" w:type="dxa"/>
            <w:tcBorders>
              <w:top w:val="single" w:sz="4" w:space="0" w:color="auto"/>
              <w:left w:val="single" w:sz="4" w:space="0" w:color="auto"/>
              <w:bottom w:val="single" w:sz="4" w:space="0" w:color="auto"/>
              <w:right w:val="single" w:sz="4" w:space="0" w:color="auto"/>
            </w:tcBorders>
            <w:vAlign w:val="center"/>
            <w:hideMark/>
          </w:tcPr>
          <w:p w14:paraId="191690F6" w14:textId="77777777" w:rsidR="00B2786E" w:rsidRDefault="00B2786E">
            <w:pPr>
              <w:spacing w:line="254" w:lineRule="auto"/>
              <w:jc w:val="center"/>
              <w:rPr>
                <w:rFonts w:cs="Arial"/>
                <w:color w:val="1D1D1B" w:themeColor="text1"/>
              </w:rPr>
            </w:pPr>
            <w:r>
              <w:rPr>
                <w:rFonts w:cs="Arial"/>
                <w:color w:val="1D1D1B" w:themeColor="text1"/>
              </w:rPr>
              <w:t>3</w:t>
            </w:r>
          </w:p>
        </w:tc>
      </w:tr>
      <w:tr w:rsidR="00B2786E" w14:paraId="17732901" w14:textId="77777777">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23D4A1CA" w14:textId="77777777" w:rsidR="00B2786E" w:rsidRDefault="00B2786E">
            <w:pPr>
              <w:spacing w:line="254" w:lineRule="auto"/>
              <w:rPr>
                <w:rFonts w:cs="Arial"/>
                <w:color w:val="1D1D1B" w:themeColor="text1"/>
              </w:rPr>
            </w:pPr>
            <w:r>
              <w:rPr>
                <w:rFonts w:cs="Arial"/>
                <w:color w:val="1D1D1B" w:themeColor="text1"/>
              </w:rPr>
              <w:t>100%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F4F7855" w14:textId="77777777" w:rsidR="00B2786E" w:rsidRDefault="00B2786E">
            <w:pPr>
              <w:spacing w:line="254" w:lineRule="auto"/>
              <w:jc w:val="center"/>
              <w:rPr>
                <w:rFonts w:cs="Arial"/>
                <w:color w:val="1D1D1B" w:themeColor="text1"/>
              </w:rPr>
            </w:pPr>
            <w:r>
              <w:rPr>
                <w:rFonts w:cs="Arial"/>
                <w:color w:val="1D1D1B" w:themeColor="text1"/>
              </w:rPr>
              <w:t>4</w:t>
            </w:r>
          </w:p>
        </w:tc>
        <w:tc>
          <w:tcPr>
            <w:tcW w:w="3133" w:type="dxa"/>
            <w:tcBorders>
              <w:top w:val="single" w:sz="4" w:space="0" w:color="auto"/>
              <w:left w:val="single" w:sz="4" w:space="0" w:color="auto"/>
              <w:bottom w:val="single" w:sz="4" w:space="0" w:color="auto"/>
              <w:right w:val="single" w:sz="4" w:space="0" w:color="auto"/>
            </w:tcBorders>
            <w:vAlign w:val="center"/>
            <w:hideMark/>
          </w:tcPr>
          <w:p w14:paraId="16C82654" w14:textId="77777777" w:rsidR="00B2786E" w:rsidRDefault="00B2786E">
            <w:pPr>
              <w:spacing w:line="254" w:lineRule="auto"/>
              <w:jc w:val="center"/>
              <w:rPr>
                <w:rFonts w:cs="Arial"/>
                <w:color w:val="1D1D1B" w:themeColor="text1"/>
              </w:rPr>
            </w:pPr>
            <w:r>
              <w:rPr>
                <w:rFonts w:cs="Arial"/>
                <w:color w:val="1D1D1B" w:themeColor="text1"/>
              </w:rPr>
              <w:t>4</w:t>
            </w:r>
          </w:p>
        </w:tc>
      </w:tr>
      <w:tr w:rsidR="00B2786E" w14:paraId="43510FD4" w14:textId="77777777">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37F8BF97" w14:textId="77777777" w:rsidR="00B2786E" w:rsidRDefault="00B2786E">
            <w:pPr>
              <w:spacing w:line="254" w:lineRule="auto"/>
              <w:rPr>
                <w:rFonts w:cs="Arial"/>
                <w:color w:val="1D1D1B" w:themeColor="text1"/>
              </w:rPr>
            </w:pPr>
            <w:r>
              <w:rPr>
                <w:rFonts w:cs="Arial"/>
                <w:color w:val="1D1D1B" w:themeColor="text1"/>
              </w:rPr>
              <w:t>Don’t know</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DACE7C" w14:textId="77777777" w:rsidR="00B2786E" w:rsidRDefault="00B2786E">
            <w:pPr>
              <w:spacing w:line="254" w:lineRule="auto"/>
              <w:jc w:val="center"/>
              <w:rPr>
                <w:rFonts w:cs="Arial"/>
                <w:color w:val="1D1D1B" w:themeColor="text1"/>
              </w:rPr>
            </w:pPr>
            <w:r>
              <w:rPr>
                <w:rFonts w:cs="Arial"/>
                <w:color w:val="1D1D1B" w:themeColor="text1"/>
              </w:rPr>
              <w:t>98</w:t>
            </w:r>
          </w:p>
        </w:tc>
        <w:tc>
          <w:tcPr>
            <w:tcW w:w="3133" w:type="dxa"/>
            <w:tcBorders>
              <w:top w:val="single" w:sz="4" w:space="0" w:color="auto"/>
              <w:left w:val="single" w:sz="4" w:space="0" w:color="auto"/>
              <w:bottom w:val="single" w:sz="4" w:space="0" w:color="auto"/>
              <w:right w:val="single" w:sz="4" w:space="0" w:color="auto"/>
            </w:tcBorders>
            <w:vAlign w:val="center"/>
            <w:hideMark/>
          </w:tcPr>
          <w:p w14:paraId="51304197" w14:textId="77777777" w:rsidR="00B2786E" w:rsidRDefault="00B2786E">
            <w:pPr>
              <w:spacing w:line="254" w:lineRule="auto"/>
              <w:jc w:val="center"/>
              <w:rPr>
                <w:rFonts w:cs="Arial"/>
                <w:color w:val="1D1D1B" w:themeColor="text1"/>
              </w:rPr>
            </w:pPr>
            <w:r>
              <w:rPr>
                <w:rFonts w:cs="Arial"/>
                <w:color w:val="1D1D1B" w:themeColor="text1"/>
              </w:rPr>
              <w:t>98</w:t>
            </w:r>
          </w:p>
        </w:tc>
      </w:tr>
      <w:tr w:rsidR="00B2786E" w14:paraId="7D58EF58" w14:textId="77777777">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17D906EB" w14:textId="77777777" w:rsidR="00B2786E" w:rsidRDefault="00B2786E">
            <w:pPr>
              <w:spacing w:line="254" w:lineRule="auto"/>
              <w:rPr>
                <w:rFonts w:cs="Arial"/>
                <w:color w:val="1D1D1B" w:themeColor="text1"/>
              </w:rPr>
            </w:pPr>
            <w:r>
              <w:rPr>
                <w:rFonts w:cs="Arial"/>
                <w:color w:val="1D1D1B" w:themeColor="text1"/>
              </w:rPr>
              <w:t xml:space="preserve">Refused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BEB231C" w14:textId="77777777" w:rsidR="00B2786E" w:rsidRDefault="00B2786E">
            <w:pPr>
              <w:spacing w:line="254" w:lineRule="auto"/>
              <w:jc w:val="center"/>
              <w:rPr>
                <w:rFonts w:cs="Arial"/>
                <w:color w:val="1D1D1B" w:themeColor="text1"/>
              </w:rPr>
            </w:pPr>
            <w:r>
              <w:rPr>
                <w:rFonts w:cs="Arial"/>
                <w:color w:val="1D1D1B" w:themeColor="text1"/>
              </w:rPr>
              <w:t>99</w:t>
            </w:r>
          </w:p>
        </w:tc>
        <w:tc>
          <w:tcPr>
            <w:tcW w:w="3133" w:type="dxa"/>
            <w:tcBorders>
              <w:top w:val="single" w:sz="4" w:space="0" w:color="auto"/>
              <w:left w:val="single" w:sz="4" w:space="0" w:color="auto"/>
              <w:bottom w:val="single" w:sz="4" w:space="0" w:color="auto"/>
              <w:right w:val="single" w:sz="4" w:space="0" w:color="auto"/>
            </w:tcBorders>
            <w:vAlign w:val="center"/>
            <w:hideMark/>
          </w:tcPr>
          <w:p w14:paraId="06AEDCCA" w14:textId="77777777" w:rsidR="00B2786E" w:rsidRDefault="00B2786E">
            <w:pPr>
              <w:spacing w:line="254" w:lineRule="auto"/>
              <w:jc w:val="center"/>
              <w:rPr>
                <w:rFonts w:cs="Arial"/>
                <w:color w:val="1D1D1B" w:themeColor="text1"/>
              </w:rPr>
            </w:pPr>
            <w:r>
              <w:rPr>
                <w:rFonts w:cs="Arial"/>
                <w:color w:val="1D1D1B" w:themeColor="text1"/>
              </w:rPr>
              <w:t>99</w:t>
            </w:r>
          </w:p>
        </w:tc>
      </w:tr>
      <w:bookmarkEnd w:id="239"/>
    </w:tbl>
    <w:p w14:paraId="57E30B7D" w14:textId="77777777" w:rsidR="00B2786E" w:rsidRDefault="00B2786E" w:rsidP="00B2786E">
      <w:pPr>
        <w:rPr>
          <w:rFonts w:cs="Arial"/>
          <w:color w:val="FF0000"/>
          <w:lang w:eastAsia="en-GB"/>
        </w:rPr>
      </w:pPr>
    </w:p>
    <w:p w14:paraId="3C3C9274" w14:textId="77777777" w:rsidR="00B2786E" w:rsidRDefault="00B2786E" w:rsidP="00B2786E">
      <w:pPr>
        <w:rPr>
          <w:rFonts w:cs="Arial"/>
          <w:color w:val="FF0000"/>
          <w:lang w:eastAsia="en-GB"/>
        </w:rPr>
      </w:pPr>
      <w:r>
        <w:rPr>
          <w:rFonts w:cs="Arial"/>
          <w:color w:val="FF0000"/>
          <w:lang w:eastAsia="en-GB"/>
        </w:rPr>
        <w:t>ASK ALL</w:t>
      </w:r>
    </w:p>
    <w:p w14:paraId="7ACB3006" w14:textId="77777777" w:rsidR="00B2786E" w:rsidRDefault="00B2786E" w:rsidP="00B2786E">
      <w:pPr>
        <w:rPr>
          <w:rFonts w:cs="Arial"/>
          <w:b/>
          <w:bCs/>
        </w:rPr>
      </w:pPr>
      <w:r>
        <w:rPr>
          <w:rFonts w:cs="Arial"/>
          <w:b/>
          <w:bCs/>
          <w:lang w:eastAsia="en-GB"/>
        </w:rPr>
        <w:t xml:space="preserve">E8. </w:t>
      </w:r>
      <w:r>
        <w:rPr>
          <w:rFonts w:cs="Arial"/>
          <w:b/>
          <w:bCs/>
        </w:rPr>
        <w:t xml:space="preserve">On behalf of Ipsos and the British Business Bank, we would like to thank you very much for your time.  </w:t>
      </w:r>
    </w:p>
    <w:p w14:paraId="5FFE45BF" w14:textId="77777777" w:rsidR="00B2786E" w:rsidRPr="006F30CC" w:rsidRDefault="00B2786E" w:rsidP="00B2786E">
      <w:pPr>
        <w:rPr>
          <w:rFonts w:cs="Arial"/>
        </w:rPr>
      </w:pPr>
      <w:r>
        <w:rPr>
          <w:rFonts w:cs="Arial"/>
          <w:b/>
          <w:bCs/>
        </w:rPr>
        <w:t>The British Business Bank may want to do some follow up research on this subject within the next few months. This would involve an in-depth interview lasting c. 45-60 minutes with one of our researchers. Would you be happy to take part in the follow up interviews? You do not have to commit to anything now, just indicate a willingness to be contacted again.</w:t>
      </w:r>
      <w:r>
        <w:rPr>
          <w:rFonts w:cs="Arial"/>
        </w:rPr>
        <w:t xml:space="preserve"> </w:t>
      </w:r>
      <w:r>
        <w:rPr>
          <w:rFonts w:cs="Arial"/>
          <w:color w:val="FF0000"/>
        </w:rPr>
        <w:t>SINGLE CODE ONLY</w:t>
      </w:r>
    </w:p>
    <w:p w14:paraId="38C69C0F" w14:textId="77777777" w:rsidR="00B2786E" w:rsidRPr="006F30CC" w:rsidRDefault="00B2786E" w:rsidP="00B2786E">
      <w:pPr>
        <w:rPr>
          <w:rFonts w:cs="Arial"/>
          <w:b/>
        </w:rPr>
      </w:pPr>
      <w:r>
        <w:rPr>
          <w:rFonts w:cs="Arial"/>
          <w:b/>
        </w:rPr>
        <w:t xml:space="preserve">We can assure you that everything you say will be treated in the strictest confidence and we’ll combine your responses with those from the other participating businesses in a way which will ensure that the British Business Bank won’t be able to identify you from our report. </w:t>
      </w:r>
      <w:r>
        <w:rPr>
          <w:rFonts w:cs="Arial"/>
          <w:b/>
          <w:lang w:eastAsia="en-GB"/>
        </w:rPr>
        <w:t>You would only be re-contacted for British Business Bank research and not for any other purpose.</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9223"/>
        <w:gridCol w:w="921"/>
      </w:tblGrid>
      <w:tr w:rsidR="00B2786E" w14:paraId="44CBCEFE" w14:textId="77777777">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365DC5F7" w14:textId="77777777" w:rsidR="00B2786E" w:rsidRDefault="00B2786E">
            <w:pPr>
              <w:rPr>
                <w:rFonts w:cs="Arial"/>
                <w:color w:val="1D1D1B" w:themeColor="text1"/>
              </w:rPr>
            </w:pPr>
            <w:r>
              <w:rPr>
                <w:rFonts w:cs="Arial"/>
                <w:color w:val="1D1D1B" w:themeColor="text1"/>
              </w:rPr>
              <w:t xml:space="preserve">Yes </w:t>
            </w:r>
            <w:proofErr w:type="gramStart"/>
            <w:r>
              <w:rPr>
                <w:rFonts w:cs="Arial"/>
                <w:color w:val="1D1D1B" w:themeColor="text1"/>
              </w:rPr>
              <w:t>–  Ipsos</w:t>
            </w:r>
            <w:proofErr w:type="gramEnd"/>
            <w:r>
              <w:rPr>
                <w:rFonts w:cs="Arial"/>
                <w:color w:val="1D1D1B" w:themeColor="text1"/>
              </w:rPr>
              <w:t xml:space="preserve"> can contact me</w:t>
            </w:r>
          </w:p>
        </w:tc>
        <w:tc>
          <w:tcPr>
            <w:tcW w:w="454" w:type="pct"/>
            <w:tcBorders>
              <w:top w:val="single" w:sz="4" w:space="0" w:color="auto"/>
              <w:left w:val="single" w:sz="4" w:space="0" w:color="auto"/>
              <w:bottom w:val="single" w:sz="4" w:space="0" w:color="auto"/>
              <w:right w:val="single" w:sz="4" w:space="0" w:color="auto"/>
            </w:tcBorders>
            <w:vAlign w:val="center"/>
            <w:hideMark/>
          </w:tcPr>
          <w:p w14:paraId="46805864" w14:textId="77777777" w:rsidR="00B2786E" w:rsidRDefault="00B2786E">
            <w:pPr>
              <w:jc w:val="center"/>
              <w:rPr>
                <w:rFonts w:cs="Arial"/>
                <w:smallCaps/>
                <w:color w:val="1D1D1B" w:themeColor="text1"/>
              </w:rPr>
            </w:pPr>
            <w:r>
              <w:rPr>
                <w:rFonts w:cs="Arial"/>
                <w:smallCaps/>
                <w:color w:val="1D1D1B" w:themeColor="text1"/>
              </w:rPr>
              <w:t>1</w:t>
            </w:r>
          </w:p>
        </w:tc>
      </w:tr>
      <w:tr w:rsidR="00B2786E" w14:paraId="7CF24CAB" w14:textId="77777777">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59D0B7DE" w14:textId="77777777" w:rsidR="00B2786E" w:rsidRDefault="00B2786E">
            <w:pPr>
              <w:rPr>
                <w:rFonts w:cs="Arial"/>
                <w:color w:val="1D1D1B" w:themeColor="text1"/>
              </w:rPr>
            </w:pPr>
            <w:r>
              <w:rPr>
                <w:rFonts w:cs="Arial"/>
                <w:color w:val="1D1D1B" w:themeColor="text1"/>
              </w:rPr>
              <w:t xml:space="preserve">No </w:t>
            </w:r>
          </w:p>
        </w:tc>
        <w:tc>
          <w:tcPr>
            <w:tcW w:w="454" w:type="pct"/>
            <w:tcBorders>
              <w:top w:val="single" w:sz="4" w:space="0" w:color="auto"/>
              <w:left w:val="single" w:sz="4" w:space="0" w:color="auto"/>
              <w:bottom w:val="single" w:sz="4" w:space="0" w:color="auto"/>
              <w:right w:val="single" w:sz="4" w:space="0" w:color="auto"/>
            </w:tcBorders>
            <w:vAlign w:val="center"/>
            <w:hideMark/>
          </w:tcPr>
          <w:p w14:paraId="372AB86F" w14:textId="77777777" w:rsidR="00B2786E" w:rsidRDefault="00B2786E">
            <w:pPr>
              <w:jc w:val="center"/>
              <w:rPr>
                <w:rFonts w:cs="Arial"/>
                <w:smallCaps/>
                <w:color w:val="1D1D1B" w:themeColor="text1"/>
              </w:rPr>
            </w:pPr>
            <w:r>
              <w:rPr>
                <w:rFonts w:cs="Arial"/>
                <w:smallCaps/>
                <w:color w:val="1D1D1B" w:themeColor="text1"/>
              </w:rPr>
              <w:t>2</w:t>
            </w:r>
          </w:p>
        </w:tc>
      </w:tr>
    </w:tbl>
    <w:p w14:paraId="76742DDC" w14:textId="77777777" w:rsidR="00B2786E" w:rsidRDefault="00B2786E" w:rsidP="00B2786E">
      <w:pPr>
        <w:rPr>
          <w:rFonts w:cs="Arial"/>
          <w:color w:val="FF0000"/>
          <w:lang w:eastAsia="en-GB"/>
        </w:rPr>
      </w:pPr>
      <w:r>
        <w:rPr>
          <w:rFonts w:cs="Arial"/>
          <w:color w:val="FF0000"/>
          <w:lang w:eastAsia="en-GB"/>
        </w:rPr>
        <w:t>ASK ALL</w:t>
      </w:r>
    </w:p>
    <w:p w14:paraId="621046EF" w14:textId="77777777" w:rsidR="00B2786E" w:rsidRPr="006F30CC" w:rsidRDefault="00B2786E" w:rsidP="00B2786E">
      <w:pPr>
        <w:rPr>
          <w:rFonts w:cs="Arial"/>
        </w:rPr>
      </w:pPr>
      <w:r>
        <w:rPr>
          <w:rFonts w:cs="Arial"/>
          <w:b/>
          <w:bCs/>
          <w:lang w:eastAsia="en-GB"/>
        </w:rPr>
        <w:t xml:space="preserve">E9 </w:t>
      </w:r>
      <w:r>
        <w:rPr>
          <w:rFonts w:cs="Arial"/>
          <w:b/>
          <w:bCs/>
        </w:rPr>
        <w:t xml:space="preserve">The British Business Bank may also want to do some follow up research on this or other subjects within the next three years. Would you be happy to take part in further research within the next three years? </w:t>
      </w:r>
      <w:r>
        <w:rPr>
          <w:rFonts w:cs="Arial"/>
          <w:color w:val="FF0000"/>
        </w:rPr>
        <w:t>MULTI CODE OK</w:t>
      </w:r>
    </w:p>
    <w:p w14:paraId="257E1BF6" w14:textId="77777777" w:rsidR="00B2786E" w:rsidRDefault="00B2786E" w:rsidP="00B2786E">
      <w:pPr>
        <w:rPr>
          <w:rFonts w:cs="Arial"/>
          <w:b/>
          <w:color w:val="1D1D1B" w:themeColor="text1"/>
          <w:lang w:eastAsia="en-GB"/>
        </w:rPr>
      </w:pPr>
      <w:r>
        <w:rPr>
          <w:rFonts w:cs="Arial"/>
          <w:b/>
          <w:color w:val="1D1D1B" w:themeColor="text1"/>
          <w:lang w:eastAsia="en-GB"/>
        </w:rPr>
        <w:t>REPEAT IF NECESSARY:</w:t>
      </w:r>
    </w:p>
    <w:p w14:paraId="72037DBD" w14:textId="77777777" w:rsidR="00B2786E" w:rsidRPr="006F30CC" w:rsidRDefault="00B2786E" w:rsidP="00B2786E">
      <w:pPr>
        <w:rPr>
          <w:rFonts w:cs="Arial"/>
          <w:b/>
        </w:rPr>
      </w:pPr>
      <w:r>
        <w:rPr>
          <w:rFonts w:cs="Arial"/>
          <w:b/>
        </w:rPr>
        <w:t xml:space="preserve">We can assure you that everything you say will be treated in the strictest confidence and we’ll combine your responses with those from the other participating businesses in a </w:t>
      </w:r>
      <w:r>
        <w:rPr>
          <w:rFonts w:cs="Arial"/>
          <w:b/>
        </w:rPr>
        <w:lastRenderedPageBreak/>
        <w:t xml:space="preserve">way which will ensure that the British Business Bank won’t be able to identify you from our report. </w:t>
      </w:r>
      <w:r>
        <w:rPr>
          <w:rFonts w:cs="Arial"/>
          <w:b/>
          <w:lang w:eastAsia="en-GB"/>
        </w:rPr>
        <w:t>You would only be re-contacted for British Business Bank research and not for any other purpose.</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9223"/>
        <w:gridCol w:w="921"/>
      </w:tblGrid>
      <w:tr w:rsidR="00B2786E" w14:paraId="761ABB97" w14:textId="77777777">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0AFB9F8B" w14:textId="77777777" w:rsidR="00B2786E" w:rsidRDefault="00B2786E">
            <w:pPr>
              <w:rPr>
                <w:rFonts w:cs="Arial"/>
                <w:color w:val="1D1D1B" w:themeColor="text1"/>
              </w:rPr>
            </w:pPr>
            <w:r>
              <w:rPr>
                <w:rFonts w:cs="Arial"/>
                <w:color w:val="1D1D1B" w:themeColor="text1"/>
              </w:rPr>
              <w:t xml:space="preserve">Yes </w:t>
            </w:r>
            <w:proofErr w:type="gramStart"/>
            <w:r>
              <w:rPr>
                <w:rFonts w:cs="Arial"/>
                <w:color w:val="1D1D1B" w:themeColor="text1"/>
              </w:rPr>
              <w:t>–  Ipsos</w:t>
            </w:r>
            <w:proofErr w:type="gramEnd"/>
            <w:r>
              <w:rPr>
                <w:rFonts w:cs="Arial"/>
                <w:color w:val="1D1D1B" w:themeColor="text1"/>
              </w:rPr>
              <w:t xml:space="preserve"> can contact me</w:t>
            </w:r>
          </w:p>
        </w:tc>
        <w:tc>
          <w:tcPr>
            <w:tcW w:w="454" w:type="pct"/>
            <w:tcBorders>
              <w:top w:val="single" w:sz="4" w:space="0" w:color="auto"/>
              <w:left w:val="single" w:sz="4" w:space="0" w:color="auto"/>
              <w:bottom w:val="single" w:sz="4" w:space="0" w:color="auto"/>
              <w:right w:val="single" w:sz="4" w:space="0" w:color="auto"/>
            </w:tcBorders>
            <w:vAlign w:val="center"/>
            <w:hideMark/>
          </w:tcPr>
          <w:p w14:paraId="72244FEA" w14:textId="77777777" w:rsidR="00B2786E" w:rsidRDefault="00B2786E">
            <w:pPr>
              <w:jc w:val="center"/>
              <w:rPr>
                <w:rFonts w:cs="Arial"/>
                <w:smallCaps/>
                <w:color w:val="1D1D1B" w:themeColor="text1"/>
              </w:rPr>
            </w:pPr>
            <w:r>
              <w:rPr>
                <w:rFonts w:cs="Arial"/>
                <w:smallCaps/>
                <w:color w:val="1D1D1B" w:themeColor="text1"/>
              </w:rPr>
              <w:t>1</w:t>
            </w:r>
          </w:p>
        </w:tc>
      </w:tr>
      <w:tr w:rsidR="00B2786E" w14:paraId="533A1948" w14:textId="77777777">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7A9B8C29" w14:textId="77777777" w:rsidR="00B2786E" w:rsidRDefault="00B2786E">
            <w:pPr>
              <w:rPr>
                <w:rFonts w:cs="Arial"/>
                <w:color w:val="1D1D1B" w:themeColor="text1"/>
              </w:rPr>
            </w:pPr>
            <w:r>
              <w:rPr>
                <w:rFonts w:cs="Arial"/>
                <w:color w:val="1D1D1B" w:themeColor="text1"/>
              </w:rPr>
              <w:t>Yes –   Another research agency can contact me</w:t>
            </w:r>
          </w:p>
        </w:tc>
        <w:tc>
          <w:tcPr>
            <w:tcW w:w="454" w:type="pct"/>
            <w:tcBorders>
              <w:top w:val="single" w:sz="4" w:space="0" w:color="auto"/>
              <w:left w:val="single" w:sz="4" w:space="0" w:color="auto"/>
              <w:bottom w:val="single" w:sz="4" w:space="0" w:color="auto"/>
              <w:right w:val="single" w:sz="4" w:space="0" w:color="auto"/>
            </w:tcBorders>
            <w:vAlign w:val="center"/>
            <w:hideMark/>
          </w:tcPr>
          <w:p w14:paraId="3C5CE7EC" w14:textId="77777777" w:rsidR="00B2786E" w:rsidRDefault="00B2786E">
            <w:pPr>
              <w:jc w:val="center"/>
              <w:rPr>
                <w:rFonts w:cs="Arial"/>
                <w:smallCaps/>
                <w:color w:val="1D1D1B" w:themeColor="text1"/>
              </w:rPr>
            </w:pPr>
            <w:r>
              <w:rPr>
                <w:rFonts w:cs="Arial"/>
                <w:smallCaps/>
                <w:color w:val="1D1D1B" w:themeColor="text1"/>
              </w:rPr>
              <w:t>2</w:t>
            </w:r>
          </w:p>
        </w:tc>
      </w:tr>
      <w:tr w:rsidR="00B2786E" w14:paraId="2B84E768" w14:textId="77777777">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76E8C31C" w14:textId="77777777" w:rsidR="00B2786E" w:rsidRDefault="00B2786E">
            <w:pPr>
              <w:rPr>
                <w:rFonts w:cs="Arial"/>
                <w:color w:val="1D1D1B" w:themeColor="text1"/>
              </w:rPr>
            </w:pPr>
            <w:r>
              <w:rPr>
                <w:rFonts w:cs="Arial"/>
                <w:color w:val="1D1D1B" w:themeColor="text1"/>
              </w:rPr>
              <w:t>Yes – British Business Bank can contact me</w:t>
            </w:r>
          </w:p>
        </w:tc>
        <w:tc>
          <w:tcPr>
            <w:tcW w:w="454" w:type="pct"/>
            <w:tcBorders>
              <w:top w:val="single" w:sz="4" w:space="0" w:color="auto"/>
              <w:left w:val="single" w:sz="4" w:space="0" w:color="auto"/>
              <w:bottom w:val="single" w:sz="4" w:space="0" w:color="auto"/>
              <w:right w:val="single" w:sz="4" w:space="0" w:color="auto"/>
            </w:tcBorders>
            <w:vAlign w:val="center"/>
            <w:hideMark/>
          </w:tcPr>
          <w:p w14:paraId="5A91EED9" w14:textId="77777777" w:rsidR="00B2786E" w:rsidRDefault="00B2786E">
            <w:pPr>
              <w:jc w:val="center"/>
              <w:rPr>
                <w:rFonts w:cs="Arial"/>
                <w:smallCaps/>
                <w:color w:val="1D1D1B" w:themeColor="text1"/>
              </w:rPr>
            </w:pPr>
            <w:r>
              <w:rPr>
                <w:rFonts w:cs="Arial"/>
                <w:smallCaps/>
                <w:color w:val="1D1D1B" w:themeColor="text1"/>
              </w:rPr>
              <w:t>3</w:t>
            </w:r>
          </w:p>
        </w:tc>
      </w:tr>
      <w:tr w:rsidR="00B2786E" w14:paraId="083615A8" w14:textId="77777777">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24AE3BD4" w14:textId="77777777" w:rsidR="00B2786E" w:rsidRDefault="00B2786E">
            <w:pPr>
              <w:rPr>
                <w:rFonts w:cs="Arial"/>
                <w:color w:val="1D1D1B" w:themeColor="text1"/>
              </w:rPr>
            </w:pPr>
            <w:r>
              <w:rPr>
                <w:rFonts w:cs="Arial"/>
                <w:color w:val="1D1D1B" w:themeColor="text1"/>
              </w:rPr>
              <w:t xml:space="preserve">No  </w:t>
            </w:r>
            <w:r>
              <w:rPr>
                <w:rFonts w:cs="Arial"/>
                <w:color w:val="FF0000"/>
              </w:rPr>
              <w:t xml:space="preserve"> EXCLUSIVE</w:t>
            </w:r>
          </w:p>
        </w:tc>
        <w:tc>
          <w:tcPr>
            <w:tcW w:w="454" w:type="pct"/>
            <w:tcBorders>
              <w:top w:val="single" w:sz="4" w:space="0" w:color="auto"/>
              <w:left w:val="single" w:sz="4" w:space="0" w:color="auto"/>
              <w:bottom w:val="single" w:sz="4" w:space="0" w:color="auto"/>
              <w:right w:val="single" w:sz="4" w:space="0" w:color="auto"/>
            </w:tcBorders>
            <w:vAlign w:val="center"/>
            <w:hideMark/>
          </w:tcPr>
          <w:p w14:paraId="4B39EC96" w14:textId="77777777" w:rsidR="00B2786E" w:rsidRDefault="00B2786E">
            <w:pPr>
              <w:jc w:val="center"/>
              <w:rPr>
                <w:rFonts w:cs="Arial"/>
                <w:smallCaps/>
                <w:color w:val="1D1D1B" w:themeColor="text1"/>
              </w:rPr>
            </w:pPr>
            <w:r>
              <w:rPr>
                <w:rFonts w:cs="Arial"/>
                <w:smallCaps/>
                <w:color w:val="1D1D1B" w:themeColor="text1"/>
              </w:rPr>
              <w:t>4</w:t>
            </w:r>
          </w:p>
        </w:tc>
      </w:tr>
    </w:tbl>
    <w:p w14:paraId="1DE9755F" w14:textId="77777777" w:rsidR="00B2786E" w:rsidRDefault="00B2786E" w:rsidP="00B2786E">
      <w:pPr>
        <w:tabs>
          <w:tab w:val="left" w:pos="709"/>
        </w:tabs>
        <w:rPr>
          <w:rFonts w:cs="Arial"/>
          <w:bCs/>
          <w:color w:val="FF0000"/>
        </w:rPr>
      </w:pPr>
      <w:r>
        <w:rPr>
          <w:rFonts w:cs="Arial"/>
          <w:bCs/>
          <w:color w:val="FF0000"/>
        </w:rPr>
        <w:t>ASK IF AGREE TO RECONTACT (CODE 1, 2 AND/OR 3) AT E8 and/or E9</w:t>
      </w:r>
    </w:p>
    <w:p w14:paraId="20487EDA" w14:textId="77777777" w:rsidR="00B2786E" w:rsidRDefault="00B2786E" w:rsidP="00B2786E">
      <w:pPr>
        <w:rPr>
          <w:rFonts w:cs="Arial"/>
          <w:b/>
          <w:bCs/>
        </w:rPr>
      </w:pPr>
      <w:r>
        <w:rPr>
          <w:rFonts w:cs="Arial"/>
          <w:b/>
          <w:bCs/>
        </w:rPr>
        <w:t>E10 You may be contacted via telephone or email. Please could you confirm your email address and/or your preferred telephone number?</w:t>
      </w:r>
    </w:p>
    <w:tbl>
      <w:tblPr>
        <w:tblW w:w="5000" w:type="pct"/>
        <w:tblCellMar>
          <w:left w:w="0" w:type="dxa"/>
          <w:right w:w="0" w:type="dxa"/>
        </w:tblCellMar>
        <w:tblLook w:val="04A0" w:firstRow="1" w:lastRow="0" w:firstColumn="1" w:lastColumn="0" w:noHBand="0" w:noVBand="1"/>
      </w:tblPr>
      <w:tblGrid>
        <w:gridCol w:w="9281"/>
        <w:gridCol w:w="853"/>
      </w:tblGrid>
      <w:tr w:rsidR="00B2786E" w14:paraId="6E8A0E0D" w14:textId="77777777">
        <w:tc>
          <w:tcPr>
            <w:tcW w:w="457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3733A9" w14:textId="77777777" w:rsidR="00B2786E" w:rsidRDefault="00B2786E">
            <w:pPr>
              <w:ind w:left="993" w:hanging="993"/>
              <w:rPr>
                <w:rFonts w:cs="Arial"/>
                <w:color w:val="1D1D1B" w:themeColor="text1"/>
              </w:rPr>
            </w:pPr>
            <w:r>
              <w:rPr>
                <w:rFonts w:cs="Arial"/>
                <w:color w:val="1D1D1B" w:themeColor="text1"/>
              </w:rPr>
              <w:t xml:space="preserve">Yes </w:t>
            </w:r>
            <w:r>
              <w:rPr>
                <w:rFonts w:cs="Arial"/>
                <w:color w:val="FF0000"/>
              </w:rPr>
              <w:t>[COLLECT EMAIL]</w:t>
            </w:r>
          </w:p>
        </w:tc>
        <w:tc>
          <w:tcPr>
            <w:tcW w:w="42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8C5924B" w14:textId="77777777" w:rsidR="00B2786E" w:rsidRDefault="00B2786E">
            <w:pPr>
              <w:ind w:left="993" w:hanging="993"/>
              <w:jc w:val="center"/>
              <w:rPr>
                <w:rFonts w:cs="Arial"/>
                <w:color w:val="1D1D1B" w:themeColor="text1"/>
              </w:rPr>
            </w:pPr>
            <w:r>
              <w:rPr>
                <w:rFonts w:cs="Arial"/>
                <w:color w:val="1D1D1B" w:themeColor="text1"/>
              </w:rPr>
              <w:t>1</w:t>
            </w:r>
          </w:p>
        </w:tc>
      </w:tr>
      <w:tr w:rsidR="00B2786E" w14:paraId="70237D86" w14:textId="77777777">
        <w:tc>
          <w:tcPr>
            <w:tcW w:w="457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49FB83" w14:textId="77777777" w:rsidR="00B2786E" w:rsidRDefault="00B2786E">
            <w:pPr>
              <w:ind w:left="993" w:hanging="993"/>
              <w:rPr>
                <w:rFonts w:cs="Arial"/>
                <w:color w:val="1D1D1B" w:themeColor="text1"/>
              </w:rPr>
            </w:pPr>
            <w:r>
              <w:rPr>
                <w:rFonts w:cs="Arial"/>
                <w:color w:val="1D1D1B" w:themeColor="text1"/>
              </w:rPr>
              <w:t>Yes [</w:t>
            </w:r>
            <w:r>
              <w:rPr>
                <w:rFonts w:cs="Arial"/>
                <w:color w:val="FF0000"/>
              </w:rPr>
              <w:t>COLLECT TELEPHONE NO]</w:t>
            </w:r>
          </w:p>
        </w:tc>
        <w:tc>
          <w:tcPr>
            <w:tcW w:w="42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42B4EB" w14:textId="77777777" w:rsidR="00B2786E" w:rsidRDefault="00B2786E">
            <w:pPr>
              <w:ind w:left="993" w:hanging="993"/>
              <w:jc w:val="center"/>
              <w:rPr>
                <w:rFonts w:cs="Arial"/>
                <w:color w:val="1D1D1B" w:themeColor="text1"/>
              </w:rPr>
            </w:pPr>
            <w:r>
              <w:rPr>
                <w:rFonts w:cs="Arial"/>
                <w:color w:val="1D1D1B" w:themeColor="text1"/>
              </w:rPr>
              <w:t>3</w:t>
            </w:r>
          </w:p>
        </w:tc>
      </w:tr>
      <w:tr w:rsidR="00B2786E" w14:paraId="4C0C5C08" w14:textId="77777777">
        <w:tc>
          <w:tcPr>
            <w:tcW w:w="4579"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937BF0" w14:textId="77777777" w:rsidR="00B2786E" w:rsidRDefault="00B2786E">
            <w:pPr>
              <w:ind w:left="993" w:hanging="993"/>
              <w:rPr>
                <w:rFonts w:cs="Arial"/>
                <w:color w:val="1D1D1B" w:themeColor="text1"/>
              </w:rPr>
            </w:pPr>
            <w:r>
              <w:rPr>
                <w:rFonts w:cs="Arial"/>
                <w:color w:val="1D1D1B" w:themeColor="text1"/>
              </w:rPr>
              <w:t>Refused</w:t>
            </w:r>
          </w:p>
        </w:tc>
        <w:tc>
          <w:tcPr>
            <w:tcW w:w="421" w:type="pct"/>
            <w:tcBorders>
              <w:top w:val="nil"/>
              <w:left w:val="nil"/>
              <w:bottom w:val="single" w:sz="8" w:space="0" w:color="000000"/>
              <w:right w:val="single" w:sz="8" w:space="0" w:color="000000"/>
            </w:tcBorders>
            <w:tcMar>
              <w:top w:w="0" w:type="dxa"/>
              <w:left w:w="108" w:type="dxa"/>
              <w:bottom w:w="0" w:type="dxa"/>
              <w:right w:w="108" w:type="dxa"/>
            </w:tcMar>
            <w:hideMark/>
          </w:tcPr>
          <w:p w14:paraId="61065C36" w14:textId="77777777" w:rsidR="00B2786E" w:rsidRDefault="00B2786E">
            <w:pPr>
              <w:ind w:left="993" w:hanging="993"/>
              <w:jc w:val="center"/>
              <w:rPr>
                <w:rFonts w:cs="Arial"/>
                <w:color w:val="1D1D1B" w:themeColor="text1"/>
              </w:rPr>
            </w:pPr>
            <w:r>
              <w:rPr>
                <w:rFonts w:cs="Arial"/>
                <w:color w:val="1D1D1B" w:themeColor="text1"/>
              </w:rPr>
              <w:t>99</w:t>
            </w:r>
          </w:p>
        </w:tc>
      </w:tr>
    </w:tbl>
    <w:p w14:paraId="113385A3" w14:textId="77777777" w:rsidR="00B2786E" w:rsidRDefault="00B2786E" w:rsidP="00B2786E">
      <w:pPr>
        <w:tabs>
          <w:tab w:val="left" w:pos="709"/>
        </w:tabs>
        <w:rPr>
          <w:rFonts w:cs="Arial"/>
          <w:bCs/>
          <w:color w:val="1D1D1B" w:themeColor="text1"/>
          <w:sz w:val="22"/>
        </w:rPr>
      </w:pPr>
    </w:p>
    <w:p w14:paraId="009A72D2" w14:textId="77777777" w:rsidR="00B2786E" w:rsidRDefault="00B2786E" w:rsidP="00B2786E">
      <w:pPr>
        <w:rPr>
          <w:rFonts w:cs="Arial"/>
          <w:color w:val="FF0000"/>
          <w:lang w:eastAsia="en-GB"/>
        </w:rPr>
      </w:pPr>
      <w:r>
        <w:rPr>
          <w:rFonts w:cs="Arial"/>
          <w:color w:val="FF0000"/>
          <w:lang w:eastAsia="en-GB"/>
        </w:rPr>
        <w:t>ASK ALL</w:t>
      </w:r>
    </w:p>
    <w:p w14:paraId="40338308" w14:textId="77777777" w:rsidR="00B2786E" w:rsidRPr="006F30CC" w:rsidRDefault="00B2786E" w:rsidP="00B2786E">
      <w:pPr>
        <w:rPr>
          <w:rFonts w:eastAsia="SimSun" w:cs="Arial"/>
          <w:b/>
          <w:bCs/>
        </w:rPr>
      </w:pPr>
      <w:r>
        <w:rPr>
          <w:rFonts w:eastAsia="SimSun" w:cs="Arial"/>
          <w:b/>
          <w:bCs/>
        </w:rPr>
        <w:t xml:space="preserve">E11. We would like to check your postcode as this allows us to classify your business by region or nation. We have your business postcode as </w:t>
      </w:r>
      <w:r>
        <w:rPr>
          <w:rFonts w:eastAsia="SimSun" w:cs="Arial"/>
          <w:bCs/>
          <w:color w:val="FF0000"/>
        </w:rPr>
        <w:t>[POSTCODE FROM SAMPLE].</w:t>
      </w:r>
      <w:r>
        <w:rPr>
          <w:rFonts w:eastAsia="SimSun" w:cs="Arial"/>
          <w:b/>
          <w:bCs/>
          <w:color w:val="FF0000"/>
        </w:rPr>
        <w:t xml:space="preserve"> </w:t>
      </w:r>
      <w:r>
        <w:rPr>
          <w:rFonts w:eastAsia="SimSun" w:cs="Arial"/>
          <w:b/>
          <w:bCs/>
        </w:rPr>
        <w:t>Is this correct?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gridCol w:w="899"/>
      </w:tblGrid>
      <w:tr w:rsidR="00B2786E" w14:paraId="4DEDC1F3" w14:textId="77777777">
        <w:tc>
          <w:tcPr>
            <w:tcW w:w="4557" w:type="pct"/>
            <w:tcBorders>
              <w:top w:val="single" w:sz="4" w:space="0" w:color="000000"/>
              <w:left w:val="single" w:sz="4" w:space="0" w:color="000000"/>
              <w:bottom w:val="single" w:sz="4" w:space="0" w:color="000000"/>
              <w:right w:val="single" w:sz="4" w:space="0" w:color="000000"/>
            </w:tcBorders>
            <w:hideMark/>
          </w:tcPr>
          <w:p w14:paraId="1336B236" w14:textId="77777777" w:rsidR="00B2786E" w:rsidRDefault="00B2786E">
            <w:pPr>
              <w:spacing w:before="60"/>
              <w:rPr>
                <w:rFonts w:eastAsia="SimSun" w:cs="Arial"/>
                <w:color w:val="1D1D1B" w:themeColor="text1"/>
              </w:rPr>
            </w:pPr>
            <w:r>
              <w:rPr>
                <w:rFonts w:eastAsia="SimSun" w:cs="Arial"/>
                <w:color w:val="1D1D1B" w:themeColor="text1"/>
              </w:rPr>
              <w:t>Yes</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345F7A90" w14:textId="77777777" w:rsidR="00B2786E" w:rsidRDefault="00B2786E">
            <w:pPr>
              <w:spacing w:before="60"/>
              <w:jc w:val="center"/>
              <w:rPr>
                <w:rFonts w:eastAsia="SimSun" w:cs="Arial"/>
                <w:color w:val="1D1D1B" w:themeColor="text1"/>
              </w:rPr>
            </w:pPr>
            <w:r>
              <w:rPr>
                <w:rFonts w:eastAsia="SimSun" w:cs="Arial"/>
                <w:color w:val="1D1D1B" w:themeColor="text1"/>
              </w:rPr>
              <w:t>1</w:t>
            </w:r>
          </w:p>
        </w:tc>
      </w:tr>
      <w:tr w:rsidR="00B2786E" w14:paraId="1D3CF93B" w14:textId="77777777">
        <w:tc>
          <w:tcPr>
            <w:tcW w:w="4557" w:type="pct"/>
            <w:tcBorders>
              <w:top w:val="single" w:sz="4" w:space="0" w:color="000000"/>
              <w:left w:val="single" w:sz="4" w:space="0" w:color="000000"/>
              <w:bottom w:val="single" w:sz="4" w:space="0" w:color="000000"/>
              <w:right w:val="single" w:sz="4" w:space="0" w:color="000000"/>
            </w:tcBorders>
            <w:hideMark/>
          </w:tcPr>
          <w:p w14:paraId="353666BD" w14:textId="77777777" w:rsidR="00B2786E" w:rsidRDefault="00B2786E">
            <w:pPr>
              <w:spacing w:before="60"/>
              <w:rPr>
                <w:rFonts w:eastAsia="SimSun" w:cs="Arial"/>
                <w:color w:val="1D1D1B" w:themeColor="text1"/>
              </w:rPr>
            </w:pPr>
            <w:r>
              <w:rPr>
                <w:rFonts w:eastAsia="SimSun" w:cs="Arial"/>
                <w:color w:val="1D1D1B" w:themeColor="text1"/>
              </w:rPr>
              <w:t>No</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031023E0" w14:textId="77777777" w:rsidR="00B2786E" w:rsidRDefault="00B2786E">
            <w:pPr>
              <w:spacing w:before="60"/>
              <w:jc w:val="center"/>
              <w:rPr>
                <w:rFonts w:eastAsia="SimSun" w:cs="Arial"/>
                <w:color w:val="1D1D1B" w:themeColor="text1"/>
              </w:rPr>
            </w:pPr>
            <w:r>
              <w:rPr>
                <w:rFonts w:eastAsia="SimSun" w:cs="Arial"/>
                <w:color w:val="1D1D1B" w:themeColor="text1"/>
              </w:rPr>
              <w:t>2</w:t>
            </w:r>
          </w:p>
        </w:tc>
      </w:tr>
    </w:tbl>
    <w:p w14:paraId="47321065" w14:textId="77777777" w:rsidR="00B2786E" w:rsidRDefault="00B2786E" w:rsidP="00B2786E">
      <w:pPr>
        <w:ind w:right="-284"/>
        <w:rPr>
          <w:rFonts w:eastAsia="SimSun" w:cs="Arial"/>
          <w:b/>
          <w:color w:val="1D1D1B" w:themeColor="text1"/>
          <w:sz w:val="22"/>
        </w:rPr>
      </w:pPr>
    </w:p>
    <w:p w14:paraId="66ABD9DE" w14:textId="77777777" w:rsidR="00B2786E" w:rsidRDefault="00B2786E" w:rsidP="00B2786E">
      <w:pPr>
        <w:ind w:right="-284"/>
        <w:rPr>
          <w:rFonts w:eastAsia="SimSun" w:cs="Arial"/>
          <w:color w:val="FF0000"/>
        </w:rPr>
      </w:pPr>
      <w:r>
        <w:rPr>
          <w:rFonts w:eastAsia="SimSun" w:cs="Arial"/>
          <w:color w:val="FF0000"/>
        </w:rPr>
        <w:t>ASK IF POSTCODE IS INCORRECT (CODE 2) AT E10</w:t>
      </w:r>
    </w:p>
    <w:p w14:paraId="69D1F80E" w14:textId="77777777" w:rsidR="00B2786E" w:rsidRDefault="00B2786E" w:rsidP="00B2786E">
      <w:pPr>
        <w:rPr>
          <w:rFonts w:eastAsia="SimSun" w:cs="Arial"/>
          <w:color w:val="FF0000"/>
        </w:rPr>
      </w:pPr>
      <w:r>
        <w:rPr>
          <w:rFonts w:eastAsia="SimSun" w:cs="Arial"/>
          <w:b/>
          <w:bCs/>
        </w:rPr>
        <w:t xml:space="preserve">E12. </w:t>
      </w:r>
      <w:r>
        <w:rPr>
          <w:rFonts w:eastAsia="SimSun" w:cs="Arial"/>
          <w:b/>
        </w:rPr>
        <w:t>What is your postcode</w:t>
      </w:r>
      <w:r>
        <w:rPr>
          <w:rFonts w:eastAsia="SimSun" w:cs="Arial"/>
        </w:rPr>
        <w:t xml:space="preserve">? </w:t>
      </w:r>
      <w:r>
        <w:rPr>
          <w:rFonts w:eastAsia="SimSun" w:cs="Arial"/>
          <w:color w:val="F06603" w:themeColor="accent6"/>
        </w:rPr>
        <w:t>PROBE, AS NECESSARY. WRITE IN TWICE TO VERIFY</w:t>
      </w:r>
    </w:p>
    <w:p w14:paraId="37262C32" w14:textId="77777777" w:rsidR="00B2786E" w:rsidRDefault="00B2786E" w:rsidP="00B2786E">
      <w:pPr>
        <w:rPr>
          <w:rFonts w:eastAsia="SimSun"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4"/>
      </w:tblGrid>
      <w:tr w:rsidR="00B2786E" w14:paraId="42B6C169" w14:textId="77777777">
        <w:tc>
          <w:tcPr>
            <w:tcW w:w="5000" w:type="pct"/>
            <w:tcBorders>
              <w:top w:val="single" w:sz="4" w:space="0" w:color="auto"/>
              <w:left w:val="single" w:sz="4" w:space="0" w:color="auto"/>
              <w:bottom w:val="single" w:sz="4" w:space="0" w:color="auto"/>
              <w:right w:val="single" w:sz="4" w:space="0" w:color="auto"/>
            </w:tcBorders>
          </w:tcPr>
          <w:p w14:paraId="4E7A3E59" w14:textId="77777777" w:rsidR="00B2786E" w:rsidRDefault="00B2786E">
            <w:pPr>
              <w:spacing w:before="120"/>
              <w:outlineLvl w:val="0"/>
              <w:rPr>
                <w:rFonts w:eastAsia="SimSun" w:cs="Arial"/>
                <w:bCs/>
                <w:strike/>
                <w:color w:val="1D1D1B" w:themeColor="text1"/>
              </w:rPr>
            </w:pPr>
          </w:p>
        </w:tc>
      </w:tr>
    </w:tbl>
    <w:p w14:paraId="7826B441" w14:textId="77777777" w:rsidR="00B2786E" w:rsidRDefault="00B2786E" w:rsidP="00B2786E">
      <w:pPr>
        <w:tabs>
          <w:tab w:val="left" w:pos="709"/>
        </w:tabs>
        <w:ind w:left="709" w:hanging="709"/>
        <w:rPr>
          <w:rFonts w:cs="Arial"/>
          <w:bCs/>
          <w:color w:val="1D1D1B" w:themeColor="text1"/>
          <w:sz w:val="22"/>
        </w:rPr>
      </w:pPr>
    </w:p>
    <w:p w14:paraId="7FDE1D04" w14:textId="77777777" w:rsidR="00B2786E" w:rsidRDefault="00B2786E" w:rsidP="00B2786E">
      <w:pPr>
        <w:tabs>
          <w:tab w:val="left" w:pos="709"/>
        </w:tabs>
        <w:ind w:left="709" w:hanging="709"/>
        <w:rPr>
          <w:rFonts w:cs="Arial"/>
          <w:bCs/>
          <w:color w:val="FF0000"/>
        </w:rPr>
      </w:pPr>
      <w:r>
        <w:rPr>
          <w:rFonts w:cs="Arial"/>
          <w:bCs/>
          <w:color w:val="FF0000"/>
        </w:rPr>
        <w:t>ASK ALL</w:t>
      </w:r>
    </w:p>
    <w:p w14:paraId="070C28F4" w14:textId="77777777" w:rsidR="00B2786E" w:rsidRDefault="00B2786E" w:rsidP="00B2786E">
      <w:pPr>
        <w:shd w:val="clear" w:color="auto" w:fill="FFFFFF"/>
        <w:spacing w:after="150"/>
        <w:rPr>
          <w:color w:val="000000"/>
          <w:lang w:eastAsia="en-GB"/>
        </w:rPr>
      </w:pPr>
      <w:r>
        <w:rPr>
          <w:rFonts w:cs="Arial"/>
          <w:b/>
        </w:rPr>
        <w:t xml:space="preserve">E13. </w:t>
      </w:r>
    </w:p>
    <w:p w14:paraId="788BCDE9" w14:textId="77777777" w:rsidR="00B2786E" w:rsidRDefault="00B2786E" w:rsidP="00B2786E">
      <w:pPr>
        <w:shd w:val="clear" w:color="auto" w:fill="FFFFFF"/>
        <w:spacing w:after="150"/>
        <w:rPr>
          <w:color w:val="000000"/>
          <w:lang w:eastAsia="en-GB"/>
        </w:rPr>
      </w:pPr>
      <w:r>
        <w:rPr>
          <w:color w:val="000000"/>
          <w:lang w:eastAsia="en-GB"/>
        </w:rPr>
        <w:t xml:space="preserve">The British Business Bank or London Economics may want to undertake further analysis of the survey results by linking your answers to other available data. </w:t>
      </w:r>
    </w:p>
    <w:p w14:paraId="26676978" w14:textId="77777777" w:rsidR="00B2786E" w:rsidRDefault="00B2786E" w:rsidP="00B2786E">
      <w:pPr>
        <w:shd w:val="clear" w:color="auto" w:fill="FFFFFF"/>
        <w:spacing w:after="150"/>
        <w:rPr>
          <w:color w:val="000000"/>
          <w:lang w:eastAsia="en-GB"/>
        </w:rPr>
      </w:pPr>
      <w:r>
        <w:rPr>
          <w:color w:val="000000"/>
          <w:lang w:eastAsia="en-GB"/>
        </w:rPr>
        <w:t>[</w:t>
      </w:r>
      <w:r>
        <w:rPr>
          <w:rFonts w:cs="Arial"/>
          <w:color w:val="FF0000"/>
        </w:rPr>
        <w:t>READ OUT IF NECESSARY / SHOW AS INFO BUTTON FOR ONLINE SURVEY</w:t>
      </w:r>
      <w:r>
        <w:rPr>
          <w:color w:val="000000"/>
          <w:lang w:eastAsia="en-GB"/>
        </w:rPr>
        <w:t xml:space="preserve">: This may include analysing the data by local authority, information to categorise your business and other information about your loan held by the British Business Bank or held by commercial sources such as your credit score, turnover, size or other types of finance or support accessed by your business in previous years.] </w:t>
      </w:r>
    </w:p>
    <w:p w14:paraId="6845E3F4" w14:textId="77777777" w:rsidR="00B2786E" w:rsidRDefault="00B2786E" w:rsidP="00B2786E">
      <w:pPr>
        <w:shd w:val="clear" w:color="auto" w:fill="FFFFFF"/>
        <w:spacing w:after="150"/>
        <w:rPr>
          <w:rFonts w:ascii="Calibri" w:hAnsi="Calibri"/>
          <w:b/>
          <w:bCs/>
          <w:lang w:eastAsia="en-GB"/>
        </w:rPr>
      </w:pPr>
      <w:r>
        <w:rPr>
          <w:b/>
          <w:bCs/>
          <w:color w:val="000000"/>
          <w:lang w:eastAsia="en-GB"/>
        </w:rPr>
        <w:t>Are you happy for your survey responses to be used in this way?</w:t>
      </w:r>
    </w:p>
    <w:p w14:paraId="5C46ECCB" w14:textId="77777777" w:rsidR="00B2786E" w:rsidRPr="006F30CC" w:rsidRDefault="00B2786E" w:rsidP="00B2786E">
      <w:pPr>
        <w:rPr>
          <w:rFonts w:cs="Arial"/>
          <w:color w:val="1D1D1B" w:themeColor="text1"/>
        </w:rPr>
      </w:pPr>
      <w:r>
        <w:rPr>
          <w:rFonts w:cs="Arial"/>
          <w:color w:val="FF0000"/>
        </w:rPr>
        <w:t xml:space="preserve">READ OUT IF NECESSARY / SHOW AS INFO BUTTON FOR ONLINE SURVEY: </w:t>
      </w:r>
      <w:r>
        <w:rPr>
          <w:rFonts w:cs="Arial"/>
          <w:bCs/>
        </w:rPr>
        <w:t>The British Business Bank commissioned another research organisation, London Economics to undertake an economic impact analysis of the Coronavirus loans the Bank provided to businesses. The extra information would only be used for aggregate level analysis. At no point would your business be identified in any reporting of this analysis.</w:t>
      </w:r>
      <w:r>
        <w:rPr>
          <w:rFonts w:cs="Arial"/>
        </w:rPr>
        <w:t xml:space="preserve"> </w:t>
      </w:r>
    </w:p>
    <w:p w14:paraId="27F709D4" w14:textId="77777777" w:rsidR="00B2786E" w:rsidRDefault="00B2786E" w:rsidP="00B2786E">
      <w:pPr>
        <w:rPr>
          <w:rFonts w:cs="Arial"/>
        </w:rPr>
      </w:pPr>
      <w:r>
        <w:rPr>
          <w:rFonts w:cs="Arial"/>
          <w:color w:val="FF0000"/>
        </w:rPr>
        <w:t xml:space="preserve">READ OUT IF NECESSARY / SHOW AS INFO BUTTON FOR ONLINE SURVEY: </w:t>
      </w:r>
      <w:r>
        <w:rPr>
          <w:rFonts w:cs="Arial"/>
        </w:rPr>
        <w:t>Your data will not be shared with credit rating agencies. It will be used only for research purposes by the British Business Bank and London Economics. Any matching to other datasets will not affect your credit scores or your business in any other way.</w:t>
      </w:r>
    </w:p>
    <w:p w14:paraId="4B40DAF0" w14:textId="77777777" w:rsidR="00B2786E" w:rsidRPr="006F30CC" w:rsidRDefault="00B2786E" w:rsidP="00B2786E">
      <w:pPr>
        <w:rPr>
          <w:rFonts w:cs="Arial"/>
          <w:color w:val="1D1D1B" w:themeColor="text1"/>
        </w:rPr>
      </w:pPr>
      <w:r>
        <w:rPr>
          <w:rFonts w:cs="Arial"/>
          <w:color w:val="FF0000"/>
        </w:rPr>
        <w:t>SINGLE CODE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gridCol w:w="899"/>
      </w:tblGrid>
      <w:tr w:rsidR="00B2786E" w14:paraId="097C7EC0" w14:textId="77777777">
        <w:tc>
          <w:tcPr>
            <w:tcW w:w="4557" w:type="pct"/>
            <w:tcBorders>
              <w:top w:val="single" w:sz="4" w:space="0" w:color="000000"/>
              <w:left w:val="single" w:sz="4" w:space="0" w:color="000000"/>
              <w:bottom w:val="single" w:sz="4" w:space="0" w:color="000000"/>
              <w:right w:val="single" w:sz="4" w:space="0" w:color="000000"/>
            </w:tcBorders>
            <w:vAlign w:val="center"/>
            <w:hideMark/>
          </w:tcPr>
          <w:p w14:paraId="121C09A0" w14:textId="77777777" w:rsidR="00B2786E" w:rsidRDefault="00B2786E">
            <w:pPr>
              <w:pStyle w:val="CommentText"/>
              <w:spacing w:line="256" w:lineRule="auto"/>
              <w:rPr>
                <w:rFonts w:cs="Arial"/>
                <w:color w:val="1D1D1B" w:themeColor="text1"/>
              </w:rPr>
            </w:pPr>
            <w:r>
              <w:rPr>
                <w:rFonts w:cs="Arial"/>
                <w:color w:val="1D1D1B" w:themeColor="text1"/>
              </w:rPr>
              <w:t>Yes - British Business Bank can undertake the analysis using credit scores and other available data</w:t>
            </w:r>
          </w:p>
        </w:tc>
        <w:tc>
          <w:tcPr>
            <w:tcW w:w="443" w:type="pct"/>
            <w:tcBorders>
              <w:top w:val="single" w:sz="4" w:space="0" w:color="000000"/>
              <w:left w:val="single" w:sz="4" w:space="0" w:color="000000"/>
              <w:bottom w:val="single" w:sz="4" w:space="0" w:color="000000"/>
              <w:right w:val="single" w:sz="4" w:space="0" w:color="000000"/>
            </w:tcBorders>
            <w:hideMark/>
          </w:tcPr>
          <w:p w14:paraId="58A9E9D5" w14:textId="77777777" w:rsidR="00B2786E" w:rsidRDefault="00B2786E">
            <w:pPr>
              <w:ind w:left="993" w:hanging="993"/>
              <w:jc w:val="center"/>
              <w:rPr>
                <w:rFonts w:cs="Arial"/>
                <w:color w:val="1D1D1B" w:themeColor="text1"/>
              </w:rPr>
            </w:pPr>
            <w:r>
              <w:rPr>
                <w:rFonts w:cs="Arial"/>
                <w:color w:val="1D1D1B" w:themeColor="text1"/>
              </w:rPr>
              <w:t>1</w:t>
            </w:r>
          </w:p>
        </w:tc>
      </w:tr>
      <w:tr w:rsidR="00B2786E" w14:paraId="6C6CE640" w14:textId="77777777">
        <w:tc>
          <w:tcPr>
            <w:tcW w:w="4557" w:type="pct"/>
            <w:tcBorders>
              <w:top w:val="single" w:sz="4" w:space="0" w:color="000000"/>
              <w:left w:val="single" w:sz="4" w:space="0" w:color="000000"/>
              <w:bottom w:val="single" w:sz="4" w:space="0" w:color="000000"/>
              <w:right w:val="single" w:sz="4" w:space="0" w:color="000000"/>
            </w:tcBorders>
            <w:vAlign w:val="center"/>
            <w:hideMark/>
          </w:tcPr>
          <w:p w14:paraId="08175496" w14:textId="77777777" w:rsidR="00B2786E" w:rsidRDefault="00B2786E">
            <w:pPr>
              <w:pStyle w:val="CommentText"/>
              <w:spacing w:line="256" w:lineRule="auto"/>
              <w:rPr>
                <w:rFonts w:cs="Arial"/>
                <w:color w:val="1D1D1B" w:themeColor="text1"/>
              </w:rPr>
            </w:pPr>
            <w:r>
              <w:rPr>
                <w:rFonts w:cs="Arial"/>
                <w:color w:val="1D1D1B" w:themeColor="text1"/>
              </w:rPr>
              <w:t>Yes – London Economics can undertake the analysis using credit scores and other available data</w:t>
            </w:r>
          </w:p>
        </w:tc>
        <w:tc>
          <w:tcPr>
            <w:tcW w:w="443" w:type="pct"/>
            <w:tcBorders>
              <w:top w:val="single" w:sz="4" w:space="0" w:color="000000"/>
              <w:left w:val="single" w:sz="4" w:space="0" w:color="000000"/>
              <w:bottom w:val="single" w:sz="4" w:space="0" w:color="000000"/>
              <w:right w:val="single" w:sz="4" w:space="0" w:color="000000"/>
            </w:tcBorders>
            <w:hideMark/>
          </w:tcPr>
          <w:p w14:paraId="0214A0E3" w14:textId="77777777" w:rsidR="00B2786E" w:rsidRDefault="00B2786E">
            <w:pPr>
              <w:ind w:left="993" w:hanging="993"/>
              <w:jc w:val="center"/>
              <w:rPr>
                <w:rFonts w:cs="Arial"/>
                <w:color w:val="1D1D1B" w:themeColor="text1"/>
              </w:rPr>
            </w:pPr>
            <w:r>
              <w:rPr>
                <w:rFonts w:cs="Arial"/>
                <w:color w:val="1D1D1B" w:themeColor="text1"/>
              </w:rPr>
              <w:t>2</w:t>
            </w:r>
          </w:p>
        </w:tc>
      </w:tr>
      <w:tr w:rsidR="00B2786E" w14:paraId="3E070A55" w14:textId="77777777">
        <w:tc>
          <w:tcPr>
            <w:tcW w:w="4557" w:type="pct"/>
            <w:tcBorders>
              <w:top w:val="single" w:sz="4" w:space="0" w:color="000000"/>
              <w:left w:val="single" w:sz="4" w:space="0" w:color="000000"/>
              <w:bottom w:val="single" w:sz="4" w:space="0" w:color="000000"/>
              <w:right w:val="single" w:sz="4" w:space="0" w:color="000000"/>
            </w:tcBorders>
            <w:vAlign w:val="center"/>
            <w:hideMark/>
          </w:tcPr>
          <w:p w14:paraId="28CA1187" w14:textId="77777777" w:rsidR="00B2786E" w:rsidRDefault="00B2786E">
            <w:pPr>
              <w:ind w:left="993" w:hanging="993"/>
              <w:rPr>
                <w:rFonts w:cs="Arial"/>
                <w:color w:val="1D1D1B" w:themeColor="text1"/>
              </w:rPr>
            </w:pPr>
            <w:r>
              <w:rPr>
                <w:rFonts w:cs="Arial"/>
                <w:color w:val="1D1D1B" w:themeColor="text1"/>
              </w:rPr>
              <w:t xml:space="preserve">No </w:t>
            </w:r>
            <w:r>
              <w:rPr>
                <w:rFonts w:cs="Arial"/>
                <w:color w:val="FF0000"/>
              </w:rPr>
              <w:t>[EXCLUSIVE]</w:t>
            </w:r>
          </w:p>
        </w:tc>
        <w:tc>
          <w:tcPr>
            <w:tcW w:w="443" w:type="pct"/>
            <w:tcBorders>
              <w:top w:val="single" w:sz="4" w:space="0" w:color="000000"/>
              <w:left w:val="single" w:sz="4" w:space="0" w:color="000000"/>
              <w:bottom w:val="single" w:sz="4" w:space="0" w:color="000000"/>
              <w:right w:val="single" w:sz="4" w:space="0" w:color="000000"/>
            </w:tcBorders>
            <w:hideMark/>
          </w:tcPr>
          <w:p w14:paraId="6B0F1E37" w14:textId="77777777" w:rsidR="00B2786E" w:rsidRDefault="00B2786E">
            <w:pPr>
              <w:ind w:left="993" w:hanging="993"/>
              <w:jc w:val="center"/>
              <w:rPr>
                <w:rFonts w:cs="Arial"/>
                <w:color w:val="1D1D1B" w:themeColor="text1"/>
              </w:rPr>
            </w:pPr>
            <w:r>
              <w:rPr>
                <w:rFonts w:cs="Arial"/>
                <w:color w:val="1D1D1B" w:themeColor="text1"/>
              </w:rPr>
              <w:t>3</w:t>
            </w:r>
          </w:p>
        </w:tc>
      </w:tr>
    </w:tbl>
    <w:p w14:paraId="2F243D84" w14:textId="77777777" w:rsidR="00B2786E" w:rsidRDefault="00B2786E" w:rsidP="00B2786E">
      <w:pPr>
        <w:rPr>
          <w:rFonts w:cs="Arial"/>
          <w:b/>
          <w:color w:val="FF0000"/>
        </w:rPr>
      </w:pPr>
      <w:r>
        <w:rPr>
          <w:rFonts w:cs="Arial"/>
          <w:b/>
          <w:color w:val="FF0000"/>
        </w:rPr>
        <w:lastRenderedPageBreak/>
        <w:t>ASK ALL</w:t>
      </w:r>
    </w:p>
    <w:p w14:paraId="1C58B43E" w14:textId="77777777" w:rsidR="00B2786E" w:rsidRDefault="00B2786E" w:rsidP="00B2786E">
      <w:pPr>
        <w:spacing w:after="240"/>
        <w:rPr>
          <w:rFonts w:cs="Arial"/>
          <w:b/>
        </w:rPr>
      </w:pPr>
      <w:r>
        <w:rPr>
          <w:rFonts w:cs="Arial"/>
          <w:b/>
          <w:color w:val="FF0000"/>
        </w:rPr>
        <w:t xml:space="preserve">E15. </w:t>
      </w:r>
      <w:r>
        <w:rPr>
          <w:rFonts w:cs="Arial"/>
          <w:b/>
        </w:rPr>
        <w:t>Finally, with your consent we would like to email you a summary of the research findings once published. Please confirm whether you would like to receive this report?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gridCol w:w="899"/>
      </w:tblGrid>
      <w:tr w:rsidR="00B2786E" w14:paraId="0AEE7C89" w14:textId="77777777">
        <w:tc>
          <w:tcPr>
            <w:tcW w:w="4557" w:type="pct"/>
            <w:tcBorders>
              <w:top w:val="single" w:sz="4" w:space="0" w:color="000000"/>
              <w:left w:val="single" w:sz="4" w:space="0" w:color="000000"/>
              <w:bottom w:val="single" w:sz="4" w:space="0" w:color="000000"/>
              <w:right w:val="single" w:sz="4" w:space="0" w:color="000000"/>
            </w:tcBorders>
            <w:vAlign w:val="center"/>
            <w:hideMark/>
          </w:tcPr>
          <w:p w14:paraId="12076659" w14:textId="77777777" w:rsidR="00B2786E" w:rsidRDefault="00B2786E">
            <w:pPr>
              <w:pStyle w:val="CommentText"/>
              <w:spacing w:line="256" w:lineRule="auto"/>
              <w:rPr>
                <w:rFonts w:cs="Arial"/>
                <w:color w:val="1D1D1B" w:themeColor="text1"/>
              </w:rPr>
            </w:pPr>
            <w:r>
              <w:rPr>
                <w:rFonts w:cs="Arial"/>
              </w:rPr>
              <w:t xml:space="preserve">Yes (same email address) </w:t>
            </w:r>
            <w:r>
              <w:rPr>
                <w:rFonts w:cs="Arial"/>
                <w:color w:val="0070C0"/>
              </w:rPr>
              <w:t>[FEED IN EMAIL ADDRESS FROM INTRODUCTION/ REASSURANCES/ DATA SHEET]</w:t>
            </w:r>
          </w:p>
        </w:tc>
        <w:tc>
          <w:tcPr>
            <w:tcW w:w="443" w:type="pct"/>
            <w:tcBorders>
              <w:top w:val="single" w:sz="4" w:space="0" w:color="000000"/>
              <w:left w:val="single" w:sz="4" w:space="0" w:color="000000"/>
              <w:bottom w:val="single" w:sz="4" w:space="0" w:color="000000"/>
              <w:right w:val="single" w:sz="4" w:space="0" w:color="000000"/>
            </w:tcBorders>
            <w:hideMark/>
          </w:tcPr>
          <w:p w14:paraId="40EE242C" w14:textId="77777777" w:rsidR="00B2786E" w:rsidRDefault="00B2786E">
            <w:pPr>
              <w:ind w:left="993" w:hanging="993"/>
              <w:jc w:val="center"/>
              <w:rPr>
                <w:rFonts w:cs="Arial"/>
                <w:color w:val="1D1D1B" w:themeColor="text1"/>
              </w:rPr>
            </w:pPr>
            <w:r>
              <w:rPr>
                <w:rFonts w:cs="Arial"/>
                <w:color w:val="1D1D1B" w:themeColor="text1"/>
              </w:rPr>
              <w:t>1</w:t>
            </w:r>
          </w:p>
        </w:tc>
      </w:tr>
      <w:tr w:rsidR="00B2786E" w14:paraId="7D54D7A6" w14:textId="77777777">
        <w:tc>
          <w:tcPr>
            <w:tcW w:w="4557" w:type="pct"/>
            <w:tcBorders>
              <w:top w:val="single" w:sz="4" w:space="0" w:color="000000"/>
              <w:left w:val="single" w:sz="4" w:space="0" w:color="000000"/>
              <w:bottom w:val="single" w:sz="4" w:space="0" w:color="000000"/>
              <w:right w:val="single" w:sz="4" w:space="0" w:color="000000"/>
            </w:tcBorders>
            <w:vAlign w:val="center"/>
            <w:hideMark/>
          </w:tcPr>
          <w:p w14:paraId="7A2C515B" w14:textId="77777777" w:rsidR="00B2786E" w:rsidRDefault="00B2786E">
            <w:pPr>
              <w:pStyle w:val="CommentText"/>
              <w:spacing w:line="256" w:lineRule="auto"/>
              <w:rPr>
                <w:rFonts w:cs="Arial"/>
                <w:color w:val="1D1D1B" w:themeColor="text1"/>
              </w:rPr>
            </w:pPr>
            <w:r>
              <w:rPr>
                <w:rFonts w:cs="Arial"/>
              </w:rPr>
              <w:t xml:space="preserve">Yes (different address) </w:t>
            </w:r>
            <w:r>
              <w:rPr>
                <w:rFonts w:cs="Arial"/>
                <w:color w:val="0070C0"/>
              </w:rPr>
              <w:t>[OPEN BOX FOR EMAIL ADDRESS]</w:t>
            </w:r>
          </w:p>
        </w:tc>
        <w:tc>
          <w:tcPr>
            <w:tcW w:w="443" w:type="pct"/>
            <w:tcBorders>
              <w:top w:val="single" w:sz="4" w:space="0" w:color="000000"/>
              <w:left w:val="single" w:sz="4" w:space="0" w:color="000000"/>
              <w:bottom w:val="single" w:sz="4" w:space="0" w:color="000000"/>
              <w:right w:val="single" w:sz="4" w:space="0" w:color="000000"/>
            </w:tcBorders>
            <w:hideMark/>
          </w:tcPr>
          <w:p w14:paraId="113A1C1A" w14:textId="77777777" w:rsidR="00B2786E" w:rsidRDefault="00B2786E">
            <w:pPr>
              <w:ind w:left="993" w:hanging="993"/>
              <w:jc w:val="center"/>
              <w:rPr>
                <w:rFonts w:cs="Arial"/>
                <w:color w:val="1D1D1B" w:themeColor="text1"/>
              </w:rPr>
            </w:pPr>
            <w:r>
              <w:rPr>
                <w:rFonts w:cs="Arial"/>
                <w:color w:val="1D1D1B" w:themeColor="text1"/>
              </w:rPr>
              <w:t>2</w:t>
            </w:r>
          </w:p>
        </w:tc>
      </w:tr>
      <w:tr w:rsidR="00B2786E" w14:paraId="19B7C6E7" w14:textId="77777777">
        <w:tc>
          <w:tcPr>
            <w:tcW w:w="4557" w:type="pct"/>
            <w:tcBorders>
              <w:top w:val="single" w:sz="4" w:space="0" w:color="000000"/>
              <w:left w:val="single" w:sz="4" w:space="0" w:color="000000"/>
              <w:bottom w:val="single" w:sz="4" w:space="0" w:color="000000"/>
              <w:right w:val="single" w:sz="4" w:space="0" w:color="000000"/>
            </w:tcBorders>
            <w:vAlign w:val="center"/>
            <w:hideMark/>
          </w:tcPr>
          <w:p w14:paraId="3AE20313" w14:textId="77777777" w:rsidR="00B2786E" w:rsidRDefault="00B2786E">
            <w:pPr>
              <w:ind w:left="993" w:hanging="993"/>
              <w:rPr>
                <w:rFonts w:cs="Arial"/>
                <w:color w:val="1D1D1B" w:themeColor="text1"/>
              </w:rPr>
            </w:pPr>
            <w:r>
              <w:rPr>
                <w:rFonts w:cs="Arial"/>
                <w:color w:val="1D1D1B" w:themeColor="text1"/>
              </w:rPr>
              <w:t xml:space="preserve">No </w:t>
            </w:r>
          </w:p>
        </w:tc>
        <w:tc>
          <w:tcPr>
            <w:tcW w:w="443" w:type="pct"/>
            <w:tcBorders>
              <w:top w:val="single" w:sz="4" w:space="0" w:color="000000"/>
              <w:left w:val="single" w:sz="4" w:space="0" w:color="000000"/>
              <w:bottom w:val="single" w:sz="4" w:space="0" w:color="000000"/>
              <w:right w:val="single" w:sz="4" w:space="0" w:color="000000"/>
            </w:tcBorders>
            <w:hideMark/>
          </w:tcPr>
          <w:p w14:paraId="0B9CCED7" w14:textId="77777777" w:rsidR="00B2786E" w:rsidRDefault="00B2786E">
            <w:pPr>
              <w:ind w:left="993" w:hanging="993"/>
              <w:jc w:val="center"/>
              <w:rPr>
                <w:rFonts w:cs="Arial"/>
                <w:color w:val="1D1D1B" w:themeColor="text1"/>
              </w:rPr>
            </w:pPr>
            <w:r>
              <w:rPr>
                <w:rFonts w:cs="Arial"/>
                <w:color w:val="1D1D1B" w:themeColor="text1"/>
              </w:rPr>
              <w:t>3</w:t>
            </w:r>
          </w:p>
        </w:tc>
      </w:tr>
    </w:tbl>
    <w:p w14:paraId="3A56599F" w14:textId="77777777" w:rsidR="00B2786E" w:rsidRDefault="00B2786E" w:rsidP="00B2786E">
      <w:pPr>
        <w:rPr>
          <w:rFonts w:cs="Arial"/>
          <w:b/>
          <w:color w:val="FF0000"/>
          <w:sz w:val="22"/>
        </w:rPr>
      </w:pPr>
    </w:p>
    <w:p w14:paraId="1DB8EA1A" w14:textId="77777777" w:rsidR="00B2786E" w:rsidRPr="006F30CC" w:rsidRDefault="00B2786E" w:rsidP="00B2786E">
      <w:pPr>
        <w:rPr>
          <w:rFonts w:cs="Arial"/>
          <w:b/>
          <w:color w:val="1D1D1B" w:themeColor="text1"/>
        </w:rPr>
      </w:pPr>
      <w:r>
        <w:rPr>
          <w:rFonts w:cs="Arial"/>
          <w:b/>
          <w:color w:val="1D1D1B" w:themeColor="text1"/>
        </w:rPr>
        <w:t xml:space="preserve">Thank you for taking the time to participate in this study. You can access the privacy notice here: </w:t>
      </w:r>
      <w:r>
        <w:rPr>
          <w:rFonts w:cs="Arial"/>
          <w:b/>
          <w:color w:val="FF0000"/>
        </w:rPr>
        <w:t xml:space="preserve">&lt;link&gt;. </w:t>
      </w:r>
      <w:r>
        <w:rPr>
          <w:rFonts w:cs="Arial"/>
          <w:b/>
          <w:color w:val="1D1D1B" w:themeColor="text1"/>
        </w:rPr>
        <w:t>This explains the purposes for processing your personal data as well as your rights under data protection regulations to access your personal data, withdraw consent, object to processing of your personal data and other required information.</w:t>
      </w:r>
    </w:p>
    <w:p w14:paraId="59F9A9E8" w14:textId="77777777" w:rsidR="00B2786E" w:rsidRDefault="00B2786E" w:rsidP="00B2786E">
      <w:pPr>
        <w:rPr>
          <w:rFonts w:cs="Arial"/>
          <w:b/>
          <w:color w:val="1D1D1B" w:themeColor="text1"/>
        </w:rPr>
      </w:pPr>
      <w:r>
        <w:rPr>
          <w:rFonts w:cs="Arial"/>
          <w:b/>
          <w:color w:val="1D1D1B" w:themeColor="text1"/>
        </w:rPr>
        <w:t xml:space="preserve">If you do have any further comments or queries relating to this project, please contact </w:t>
      </w:r>
      <w:r>
        <w:rPr>
          <w:rFonts w:cs="Arial"/>
          <w:b/>
          <w:color w:val="FF0000"/>
        </w:rPr>
        <w:t>[Insert contact name].</w:t>
      </w:r>
    </w:p>
    <w:p w14:paraId="59F8078A" w14:textId="77777777" w:rsidR="00B2786E" w:rsidRDefault="00B2786E" w:rsidP="00B2786E">
      <w:pPr>
        <w:rPr>
          <w:rFonts w:cs="Arial"/>
          <w:b/>
          <w:bCs/>
          <w:color w:val="FF0000"/>
          <w:lang w:eastAsia="en-GB"/>
        </w:rPr>
      </w:pPr>
      <w:r>
        <w:rPr>
          <w:rFonts w:cs="Arial"/>
          <w:color w:val="FF0000"/>
        </w:rPr>
        <w:t>THANK AND CLOSE</w:t>
      </w:r>
    </w:p>
    <w:p w14:paraId="55EF7F50" w14:textId="23E1A28E" w:rsidR="00967F71" w:rsidRPr="00490C53" w:rsidRDefault="00967F71" w:rsidP="00967F71"/>
    <w:p w14:paraId="2225EF97" w14:textId="17E3F55E" w:rsidR="00427B94" w:rsidRPr="00490C53" w:rsidRDefault="00427B94">
      <w:pPr>
        <w:spacing w:after="160" w:line="259" w:lineRule="auto"/>
      </w:pPr>
      <w:r w:rsidRPr="00490C53">
        <w:br w:type="page"/>
      </w:r>
    </w:p>
    <w:p w14:paraId="0AFBEB0D" w14:textId="0D7BE1B2" w:rsidR="00427B94" w:rsidRPr="00490C53" w:rsidRDefault="00427B94" w:rsidP="00427B94">
      <w:pPr>
        <w:pStyle w:val="Heading1"/>
      </w:pPr>
      <w:bookmarkStart w:id="241" w:name="_Ref90811574"/>
      <w:bookmarkStart w:id="242" w:name="_Toc105749909"/>
      <w:bookmarkStart w:id="243" w:name="_Ref121909617"/>
      <w:bookmarkStart w:id="244" w:name="_Ref121909655"/>
      <w:bookmarkStart w:id="245" w:name="_Ref122005749"/>
      <w:bookmarkStart w:id="246" w:name="_Ref122005768"/>
      <w:bookmarkStart w:id="247" w:name="_Toc151549902"/>
      <w:r w:rsidRPr="00490C53">
        <w:lastRenderedPageBreak/>
        <w:t xml:space="preserve">Annex </w:t>
      </w:r>
      <w:bookmarkEnd w:id="241"/>
      <w:bookmarkEnd w:id="242"/>
      <w:r w:rsidRPr="00490C53">
        <w:t>3</w:t>
      </w:r>
      <w:bookmarkEnd w:id="243"/>
      <w:bookmarkEnd w:id="244"/>
      <w:bookmarkEnd w:id="245"/>
      <w:bookmarkEnd w:id="246"/>
      <w:r w:rsidR="002A20D0">
        <w:t xml:space="preserve"> </w:t>
      </w:r>
      <w:r w:rsidR="000F6F15">
        <w:t>–</w:t>
      </w:r>
      <w:r w:rsidR="002A20D0">
        <w:t xml:space="preserve"> </w:t>
      </w:r>
      <w:r w:rsidR="000F6F15">
        <w:t xml:space="preserve">Impact Evaluation </w:t>
      </w:r>
      <w:r w:rsidR="00F8341F">
        <w:t>Methodology</w:t>
      </w:r>
      <w:bookmarkEnd w:id="247"/>
    </w:p>
    <w:p w14:paraId="7D75032C" w14:textId="0A474656" w:rsidR="00427B94" w:rsidRPr="00490C53" w:rsidRDefault="00427B94" w:rsidP="00236B73">
      <w:pPr>
        <w:pStyle w:val="Heading2"/>
      </w:pPr>
      <w:bookmarkStart w:id="248" w:name="_Toc105749910"/>
      <w:bookmarkStart w:id="249" w:name="_Toc149801270"/>
      <w:bookmarkStart w:id="250" w:name="_Toc151016589"/>
      <w:bookmarkStart w:id="251" w:name="_Toc151549903"/>
      <w:r w:rsidRPr="00490C53">
        <w:t>Analysis of business surviva</w:t>
      </w:r>
      <w:r w:rsidR="00846F78">
        <w:t>l</w:t>
      </w:r>
      <w:bookmarkEnd w:id="248"/>
      <w:bookmarkEnd w:id="249"/>
      <w:bookmarkEnd w:id="250"/>
      <w:bookmarkEnd w:id="251"/>
    </w:p>
    <w:p w14:paraId="0D07AAB2" w14:textId="77777777" w:rsidR="00427B94" w:rsidRPr="00490C53" w:rsidRDefault="00427B94" w:rsidP="00427B94">
      <w:r w:rsidRPr="00490C53">
        <w:t>This annex section describes the approach used to quantify the impact of the Covid-19 Loan Guarantee Schemes on business survival.</w:t>
      </w:r>
    </w:p>
    <w:p w14:paraId="7A2C1DF1" w14:textId="1FFA0B91" w:rsidR="00427B94" w:rsidRPr="005D5D23" w:rsidRDefault="00427B94" w:rsidP="00236B73">
      <w:r w:rsidRPr="00236B73">
        <w:rPr>
          <w:color w:val="142855" w:themeColor="text2"/>
        </w:rPr>
        <w:t xml:space="preserve">Calculating the observed </w:t>
      </w:r>
      <w:r w:rsidR="004550ED" w:rsidRPr="00236B73">
        <w:rPr>
          <w:color w:val="142855" w:themeColor="text2"/>
        </w:rPr>
        <w:t xml:space="preserve">closure </w:t>
      </w:r>
      <w:r w:rsidRPr="00236B73">
        <w:rPr>
          <w:color w:val="142855" w:themeColor="text2"/>
        </w:rPr>
        <w:t>rate of businesses</w:t>
      </w:r>
    </w:p>
    <w:p w14:paraId="40C4B961" w14:textId="1A46BC0E" w:rsidR="004F029F" w:rsidRPr="00490C53" w:rsidRDefault="00427B94" w:rsidP="004F029F">
      <w:r w:rsidRPr="00490C53">
        <w:t xml:space="preserve">As mentioned in the section on the </w:t>
      </w:r>
      <w:r w:rsidRPr="00490C53">
        <w:rPr>
          <w:rFonts w:cstheme="minorHAnsi"/>
          <w:szCs w:val="24"/>
        </w:rPr>
        <w:t>Covid-19 Loan Guarantee Schemes</w:t>
      </w:r>
      <w:r w:rsidRPr="00490C53">
        <w:t xml:space="preserve">’ impact on business survival, the observed </w:t>
      </w:r>
      <w:r w:rsidR="004550ED">
        <w:t>closure</w:t>
      </w:r>
      <w:r w:rsidR="004550ED" w:rsidRPr="00490C53">
        <w:t xml:space="preserve"> </w:t>
      </w:r>
      <w:r w:rsidRPr="00490C53">
        <w:t xml:space="preserve">rate of businesses is estimated </w:t>
      </w:r>
      <w:r w:rsidR="00EA4F73">
        <w:t>using BBB Portal Data</w:t>
      </w:r>
      <w:r w:rsidR="004F029F" w:rsidRPr="00490C53">
        <w:t xml:space="preserve">. This exercise is based on estimating </w:t>
      </w:r>
      <w:r w:rsidR="004550ED">
        <w:t>closure</w:t>
      </w:r>
      <w:r w:rsidR="004550ED" w:rsidRPr="00490C53">
        <w:t xml:space="preserve">s </w:t>
      </w:r>
      <w:r w:rsidR="004F029F" w:rsidRPr="00490C53">
        <w:t xml:space="preserve">resulting from liquidations due to insolvency, so it will not include all business </w:t>
      </w:r>
      <w:r w:rsidR="004550ED">
        <w:t>closure</w:t>
      </w:r>
      <w:r w:rsidR="004550ED" w:rsidRPr="00490C53">
        <w:t xml:space="preserve">s </w:t>
      </w:r>
      <w:r w:rsidR="004F029F" w:rsidRPr="00490C53">
        <w:t>(</w:t>
      </w:r>
      <w:r w:rsidR="00994BE7">
        <w:t xml:space="preserve">for example </w:t>
      </w:r>
      <w:r w:rsidR="004F029F" w:rsidRPr="00490C53">
        <w:t xml:space="preserve">voluntary liquidations for reasons other than insolvency). </w:t>
      </w:r>
    </w:p>
    <w:p w14:paraId="09D2688C" w14:textId="0517DCC3" w:rsidR="00427B94" w:rsidRPr="00490C53" w:rsidRDefault="004F029F" w:rsidP="00427B94">
      <w:r w:rsidRPr="00490C53">
        <w:t xml:space="preserve">The estimated </w:t>
      </w:r>
      <w:r w:rsidR="004550ED">
        <w:t>closure</w:t>
      </w:r>
      <w:r w:rsidR="004550ED" w:rsidRPr="00490C53">
        <w:t xml:space="preserve"> </w:t>
      </w:r>
      <w:r w:rsidRPr="00490C53">
        <w:t xml:space="preserve">rate from liquidations is computed in two steps: </w:t>
      </w:r>
    </w:p>
    <w:p w14:paraId="5605A811" w14:textId="0DFD040C" w:rsidR="00214005" w:rsidRPr="00490C53" w:rsidRDefault="00AF200E" w:rsidP="00B710E7">
      <w:pPr>
        <w:pStyle w:val="ListParagraph"/>
        <w:numPr>
          <w:ilvl w:val="0"/>
          <w:numId w:val="19"/>
        </w:numPr>
      </w:pPr>
      <w:r w:rsidRPr="00490C53">
        <w:t xml:space="preserve">The first step consists in estimating the share of borrowers that have defaulted on </w:t>
      </w:r>
      <w:r w:rsidR="00F3414A" w:rsidRPr="00490C53">
        <w:t>obligations</w:t>
      </w:r>
      <w:r w:rsidR="00461356" w:rsidRPr="00490C53">
        <w:t xml:space="preserve">. </w:t>
      </w:r>
      <w:r w:rsidR="00B710E7" w:rsidRPr="00490C53">
        <w:t xml:space="preserve">A business was defined as having defaulted if one or more </w:t>
      </w:r>
      <w:r w:rsidR="00013371" w:rsidRPr="00490C53">
        <w:t xml:space="preserve">of its BBLS/CBILS/CLBILS </w:t>
      </w:r>
      <w:r w:rsidR="00B710E7" w:rsidRPr="00490C53">
        <w:t>facilit</w:t>
      </w:r>
      <w:r w:rsidR="00013371" w:rsidRPr="00490C53">
        <w:t>ies</w:t>
      </w:r>
      <w:r w:rsidR="00B710E7" w:rsidRPr="00490C53">
        <w:t xml:space="preserve"> ha</w:t>
      </w:r>
      <w:r w:rsidR="00214005" w:rsidRPr="00490C53">
        <w:t>d</w:t>
      </w:r>
      <w:r w:rsidR="00B710E7" w:rsidRPr="00490C53">
        <w:t xml:space="preserve"> a default date on or before 31</w:t>
      </w:r>
      <w:r w:rsidR="00B710E7" w:rsidRPr="00490C53">
        <w:rPr>
          <w:vertAlign w:val="superscript"/>
        </w:rPr>
        <w:t>st</w:t>
      </w:r>
      <w:r w:rsidR="00B710E7" w:rsidRPr="00490C53">
        <w:t xml:space="preserve"> December 2021.</w:t>
      </w:r>
      <w:r w:rsidR="00C63256" w:rsidRPr="00490C53">
        <w:t xml:space="preserve"> </w:t>
      </w:r>
    </w:p>
    <w:p w14:paraId="0CC0AB26" w14:textId="7F7CCB93" w:rsidR="00214005" w:rsidRPr="00490C53" w:rsidRDefault="00214005" w:rsidP="00A36500">
      <w:pPr>
        <w:ind w:left="360"/>
      </w:pPr>
      <w:r w:rsidRPr="00490C53">
        <w:t xml:space="preserve">Although it is possible for a business to have multiple facilities which may not all be in default, for the purpose of the analysis of </w:t>
      </w:r>
      <w:r w:rsidR="004550ED">
        <w:t>closure</w:t>
      </w:r>
      <w:r w:rsidR="004550ED" w:rsidRPr="00490C53">
        <w:t xml:space="preserve"> </w:t>
      </w:r>
      <w:r w:rsidRPr="00490C53">
        <w:t xml:space="preserve">rates, the default state needs to be assigned at the level of the company rather than the facility. Therefore, a business is assumed to be in default if at least one of its facilities </w:t>
      </w:r>
      <w:r w:rsidR="00103E9A" w:rsidRPr="00490C53">
        <w:t>had been in default by 31</w:t>
      </w:r>
      <w:r w:rsidR="00103E9A" w:rsidRPr="00490C53">
        <w:rPr>
          <w:vertAlign w:val="superscript"/>
        </w:rPr>
        <w:t>st</w:t>
      </w:r>
      <w:r w:rsidR="00103E9A" w:rsidRPr="00490C53">
        <w:t xml:space="preserve"> December 2021</w:t>
      </w:r>
      <w:r w:rsidRPr="00490C53">
        <w:t xml:space="preserve">. </w:t>
      </w:r>
    </w:p>
    <w:p w14:paraId="56728F5E" w14:textId="77777777" w:rsidR="00214005" w:rsidRPr="00490C53" w:rsidRDefault="00214005" w:rsidP="00A36500">
      <w:pPr>
        <w:ind w:left="360"/>
      </w:pPr>
      <w:r w:rsidRPr="00490C53">
        <w:t xml:space="preserve">Not all these businesses will cease trading. For instance, some may re-structure their debt, or enter administration without ceasing to trade etc. Therefore, to approximate the share of businesses that ceased trading, it is necessary to estimate the likelihood with which defaulting businesses enter liquidation.  </w:t>
      </w:r>
    </w:p>
    <w:p w14:paraId="5FF3FA46" w14:textId="1478929D" w:rsidR="00427B94" w:rsidRPr="00490C53" w:rsidRDefault="000F2D88" w:rsidP="00B710E7">
      <w:pPr>
        <w:pStyle w:val="ListParagraph"/>
        <w:numPr>
          <w:ilvl w:val="0"/>
          <w:numId w:val="19"/>
        </w:numPr>
      </w:pPr>
      <w:r w:rsidRPr="00490C53">
        <w:t>The second step therefore consists in estimating the probability with which businesses enter liquidation, conditional on being in default. The following states are assumed to indicate that liquidation proceedings have taken place:</w:t>
      </w:r>
    </w:p>
    <w:p w14:paraId="6C1A27E3" w14:textId="4C5F9FFD" w:rsidR="00016DE0" w:rsidRPr="00490C53" w:rsidRDefault="00016DE0" w:rsidP="00635476">
      <w:pPr>
        <w:pStyle w:val="ListBullet"/>
        <w:numPr>
          <w:ilvl w:val="1"/>
          <w:numId w:val="12"/>
        </w:numPr>
        <w:spacing w:after="240"/>
      </w:pPr>
      <w:r w:rsidRPr="00490C53">
        <w:lastRenderedPageBreak/>
        <w:t>Demanded</w:t>
      </w:r>
      <w:r w:rsidR="00635476" w:rsidRPr="00490C53">
        <w:t xml:space="preserve"> – the lender is claiming on the guarantee entered with HM Government. </w:t>
      </w:r>
      <w:r w:rsidR="00A13BDA" w:rsidRPr="00490C53">
        <w:t xml:space="preserve">It is </w:t>
      </w:r>
      <w:r w:rsidR="002F34A3" w:rsidRPr="00490C53">
        <w:t xml:space="preserve">assumed that lenders would only claim on the guarantee after liquidation proceedings have taken place. </w:t>
      </w:r>
    </w:p>
    <w:p w14:paraId="1E512A89" w14:textId="4A156D2A" w:rsidR="002F34A3" w:rsidRPr="00490C53" w:rsidRDefault="002F34A3" w:rsidP="00635476">
      <w:pPr>
        <w:pStyle w:val="ListBullet"/>
        <w:numPr>
          <w:ilvl w:val="1"/>
          <w:numId w:val="12"/>
        </w:numPr>
        <w:spacing w:after="240"/>
      </w:pPr>
      <w:r w:rsidRPr="00490C53">
        <w:t xml:space="preserve">Settled – the claim has been settled. </w:t>
      </w:r>
    </w:p>
    <w:p w14:paraId="42DC99BA" w14:textId="2EFEF0F1" w:rsidR="00C21A5A" w:rsidRPr="00490C53" w:rsidRDefault="00203858" w:rsidP="00A36500">
      <w:pPr>
        <w:ind w:left="227"/>
      </w:pPr>
      <w:r w:rsidRPr="00490C53">
        <w:t>Liquidation proceedings were assumed to have taken place for a</w:t>
      </w:r>
      <w:r w:rsidR="00C21A5A" w:rsidRPr="00490C53">
        <w:t xml:space="preserve"> business </w:t>
      </w:r>
      <w:r w:rsidRPr="00490C53">
        <w:t xml:space="preserve">if it had one or more facilities in either the </w:t>
      </w:r>
      <w:r w:rsidR="00C75234" w:rsidRPr="00490C53">
        <w:t xml:space="preserve">‘demanded’ or ‘settled’ states, given that </w:t>
      </w:r>
      <w:r w:rsidR="00F712EE" w:rsidRPr="00490C53">
        <w:t xml:space="preserve">these facilities </w:t>
      </w:r>
      <w:r w:rsidR="0087300A" w:rsidRPr="00490C53">
        <w:t>had a default date on or before 31</w:t>
      </w:r>
      <w:r w:rsidR="0087300A" w:rsidRPr="00490C53">
        <w:rPr>
          <w:vertAlign w:val="superscript"/>
        </w:rPr>
        <w:t>st</w:t>
      </w:r>
      <w:r w:rsidR="0087300A" w:rsidRPr="00490C53">
        <w:t xml:space="preserve"> December 2021. </w:t>
      </w:r>
    </w:p>
    <w:p w14:paraId="675F9CD3" w14:textId="61CACF4F" w:rsidR="002F34A3" w:rsidRPr="00490C53" w:rsidRDefault="007A16DF" w:rsidP="00A36500">
      <w:pPr>
        <w:ind w:left="227"/>
      </w:pPr>
      <w:r w:rsidRPr="00490C53">
        <w:t xml:space="preserve">The probability with which businesses enter liquidation </w:t>
      </w:r>
      <w:r w:rsidR="00294701" w:rsidRPr="00490C53">
        <w:t xml:space="preserve">(the liquidation rate) </w:t>
      </w:r>
      <w:r w:rsidRPr="00490C53">
        <w:t xml:space="preserve">was </w:t>
      </w:r>
      <w:r w:rsidR="0087300A" w:rsidRPr="00490C53">
        <w:t xml:space="preserve">then </w:t>
      </w:r>
      <w:r w:rsidRPr="00490C53">
        <w:t xml:space="preserve">calculated by dividing the number of </w:t>
      </w:r>
      <w:r w:rsidR="00656477" w:rsidRPr="00490C53">
        <w:t xml:space="preserve">liquidated </w:t>
      </w:r>
      <w:r w:rsidRPr="00490C53">
        <w:t xml:space="preserve">businesses </w:t>
      </w:r>
      <w:r w:rsidR="00656477" w:rsidRPr="00490C53">
        <w:t xml:space="preserve">by the number of </w:t>
      </w:r>
      <w:r w:rsidR="00ED22A3" w:rsidRPr="00490C53">
        <w:t>defaulting b</w:t>
      </w:r>
      <w:r w:rsidR="00656477" w:rsidRPr="00490C53">
        <w:t>usinesses</w:t>
      </w:r>
      <w:r w:rsidR="00ED22A3" w:rsidRPr="00490C53">
        <w:t>.</w:t>
      </w:r>
    </w:p>
    <w:p w14:paraId="1EA5AC7C" w14:textId="719AC315" w:rsidR="00200EFA" w:rsidRPr="00490C53" w:rsidRDefault="00200EFA" w:rsidP="00A36500">
      <w:pPr>
        <w:ind w:left="227"/>
      </w:pPr>
      <w:r w:rsidRPr="00490C53">
        <w:t xml:space="preserve">It should be noted that, if the outstanding balance of a loan was recovered following a liquidation, the loan state would be marked as ‘repaid’ in the management information data, but these businesses are not included as they could not be distinguished from businesses that have fully repaid their loan. Therefore, the estimated number of liquidated businesses should be treated as a lower bound (another reason for this may be that, in some cases, the loan state may not have been updated). The estimated </w:t>
      </w:r>
      <w:r w:rsidR="004550ED">
        <w:t>closure</w:t>
      </w:r>
      <w:r w:rsidR="004550ED" w:rsidRPr="00490C53">
        <w:t xml:space="preserve"> </w:t>
      </w:r>
      <w:r w:rsidRPr="00490C53">
        <w:t xml:space="preserve">rate is computed by multiplying the estimated default and liquidation rates. </w:t>
      </w:r>
    </w:p>
    <w:p w14:paraId="3329FB1F" w14:textId="77777777" w:rsidR="00697700" w:rsidRPr="005D5D23" w:rsidRDefault="00697700" w:rsidP="00236B73">
      <w:r w:rsidRPr="00236B73">
        <w:rPr>
          <w:color w:val="142855" w:themeColor="text2"/>
        </w:rPr>
        <w:t>Assigning companies to one of the Covid-19 Loan Guarantee Schemes</w:t>
      </w:r>
    </w:p>
    <w:p w14:paraId="2D7FC512" w14:textId="688B4193" w:rsidR="005949DA" w:rsidRPr="00490C53" w:rsidRDefault="005949DA" w:rsidP="005949DA">
      <w:r w:rsidRPr="00490C53">
        <w:t xml:space="preserve">When a company took out only one facility, it is assigned to the scheme of the facility. However, for borrowers that took out a facility in more than one Covid-19 Loan Guarantee Scheme, businesses were assigned to the scheme based on the following rules: </w:t>
      </w:r>
    </w:p>
    <w:p w14:paraId="4192F459" w14:textId="2FAB64B1" w:rsidR="00AB4289" w:rsidRPr="00490C53" w:rsidRDefault="00AB4289" w:rsidP="00AB4289">
      <w:pPr>
        <w:pStyle w:val="ListBullet"/>
      </w:pPr>
      <w:r>
        <w:t xml:space="preserve">When the date drawn was available for each facility, a business was assigned to the scheme of the facility that was drawn first. </w:t>
      </w:r>
    </w:p>
    <w:p w14:paraId="25899513" w14:textId="7D141401" w:rsidR="00AB4289" w:rsidRPr="00490C53" w:rsidRDefault="005949DA" w:rsidP="005949DA">
      <w:pPr>
        <w:pStyle w:val="ListBullet"/>
      </w:pPr>
      <w:r>
        <w:t>If date drawn was missing for at least one facility, a business was assigned to the scheme in which it had a repaid facility, assuming that there were not repaid facilities in both schemes.</w:t>
      </w:r>
      <w:r w:rsidR="007750F9">
        <w:t xml:space="preserve"> If there were repaid facilities in both schemes, </w:t>
      </w:r>
      <w:r w:rsidR="00D25BB1">
        <w:t xml:space="preserve">a business was assigned to the scheme in which all its facilities were repaid, assuming </w:t>
      </w:r>
      <w:r w:rsidR="007C6EB7">
        <w:t>all facilities had only been repaid in one scheme.</w:t>
      </w:r>
    </w:p>
    <w:p w14:paraId="5DC1ABC8" w14:textId="265A2ABE" w:rsidR="00AB4289" w:rsidRPr="00490C53" w:rsidRDefault="005949DA" w:rsidP="005949DA">
      <w:pPr>
        <w:pStyle w:val="ListBullet"/>
      </w:pPr>
      <w:r>
        <w:lastRenderedPageBreak/>
        <w:t xml:space="preserve">If no loan has been repaid, </w:t>
      </w:r>
      <w:r w:rsidR="00D13237">
        <w:t xml:space="preserve">some but not all </w:t>
      </w:r>
      <w:r>
        <w:t>loans under both schemes were repaid</w:t>
      </w:r>
      <w:r w:rsidR="00D13237">
        <w:t>,</w:t>
      </w:r>
      <w:r w:rsidR="00715A23">
        <w:t xml:space="preserve"> or </w:t>
      </w:r>
      <w:r>
        <w:t>a</w:t>
      </w:r>
      <w:r w:rsidR="00D13237">
        <w:t>ll loans under both schemes were repaid</w:t>
      </w:r>
      <w:r>
        <w:t xml:space="preserve">, a business was assigned to BBLS if the total CBILS loan amount was larger than the total BBLS amount. This assumes that these businesses are likely to have refinanced a BBLS loan to obtain a larger amount of funds through the CBILS scheme. For these businesses, the loan that was used to meet their immediate financial needs was the first loan they received, </w:t>
      </w:r>
      <w:proofErr w:type="gramStart"/>
      <w:r>
        <w:t>i.e.</w:t>
      </w:r>
      <w:proofErr w:type="gramEnd"/>
      <w:r>
        <w:t xml:space="preserve"> the BBLS loan. </w:t>
      </w:r>
    </w:p>
    <w:p w14:paraId="4C988F06" w14:textId="52C82B41" w:rsidR="00697700" w:rsidRPr="00490C53" w:rsidRDefault="005949DA" w:rsidP="005949DA">
      <w:pPr>
        <w:pStyle w:val="ListBullet"/>
      </w:pPr>
      <w:r>
        <w:t xml:space="preserve">If no loan has been repaid, </w:t>
      </w:r>
      <w:r w:rsidR="00640961">
        <w:t xml:space="preserve">some but not all loans under both schemes were repaid, </w:t>
      </w:r>
      <w:r>
        <w:t xml:space="preserve">or </w:t>
      </w:r>
      <w:r w:rsidR="00640961">
        <w:t>all</w:t>
      </w:r>
      <w:r>
        <w:t xml:space="preserve"> loans under both schemes were repaid, a business was assigned to the CBILS if the total CBILS loan amount was less than or equal to the total BBLS amount. This assumes that these businesses are likely to have refinanced a CBILS loan using a BBLS loan to obtain more advantageous terms and conditions. For these businesses, the loan that was used to meet their immediate financial needs was the CBILS loan.</w:t>
      </w:r>
    </w:p>
    <w:p w14:paraId="21D1A7E3" w14:textId="593AE00F" w:rsidR="007018D3" w:rsidRPr="005D5D23" w:rsidRDefault="007018D3" w:rsidP="00236B73">
      <w:r w:rsidRPr="00236B73">
        <w:rPr>
          <w:color w:val="142855" w:themeColor="text2"/>
        </w:rPr>
        <w:t xml:space="preserve">Possible impact of fraud on estimated </w:t>
      </w:r>
      <w:r w:rsidR="004550ED" w:rsidRPr="00236B73">
        <w:rPr>
          <w:color w:val="142855" w:themeColor="text2"/>
        </w:rPr>
        <w:t xml:space="preserve">closure </w:t>
      </w:r>
      <w:r w:rsidRPr="00236B73">
        <w:rPr>
          <w:color w:val="142855" w:themeColor="text2"/>
        </w:rPr>
        <w:t>rates of businesses</w:t>
      </w:r>
    </w:p>
    <w:p w14:paraId="12B3AE0F" w14:textId="320ABD2F" w:rsidR="006B45C2" w:rsidRPr="00490C53" w:rsidRDefault="007018D3" w:rsidP="006B45C2">
      <w:r w:rsidRPr="00846F78">
        <w:t xml:space="preserve">It should be noted that the </w:t>
      </w:r>
      <w:r w:rsidR="004550ED">
        <w:t>closure</w:t>
      </w:r>
      <w:r w:rsidR="004550ED" w:rsidRPr="00846F78">
        <w:t xml:space="preserve"> </w:t>
      </w:r>
      <w:r w:rsidRPr="00846F78">
        <w:t>rate may be biased by fraud – an issue likely to be most prevalent among BBLS businesses.</w:t>
      </w:r>
      <w:r w:rsidR="00F0304B">
        <w:rPr>
          <w:rStyle w:val="FootnoteReference"/>
        </w:rPr>
        <w:footnoteReference w:id="127"/>
      </w:r>
      <w:r w:rsidRPr="00846F78">
        <w:t xml:space="preserve"> For instance, there is anecdotal evidence that BBLS loans were in some cases taken out by fictional companies, which should not be included in the calculations, as they will upwardly bias the </w:t>
      </w:r>
      <w:r w:rsidR="004550ED">
        <w:t>closure</w:t>
      </w:r>
      <w:r w:rsidR="004550ED" w:rsidRPr="00846F78">
        <w:t xml:space="preserve"> </w:t>
      </w:r>
      <w:r w:rsidRPr="00846F78">
        <w:t xml:space="preserve">rate if they tend not to be repaid (as this would incorrectly inflate the number of insolvent businesses), and they would downwardly bias the </w:t>
      </w:r>
      <w:r w:rsidR="004550ED">
        <w:t>closure</w:t>
      </w:r>
      <w:r w:rsidR="004550ED" w:rsidRPr="00846F78">
        <w:t xml:space="preserve"> </w:t>
      </w:r>
      <w:r w:rsidRPr="00846F78">
        <w:t xml:space="preserve">rate if they tended to be repaid (as this would incorrectly inflate the number of solvent businesses). BEIS has estimated that </w:t>
      </w:r>
      <w:r w:rsidR="00741037">
        <w:t>8</w:t>
      </w:r>
      <w:r w:rsidRPr="00846F78">
        <w:t>% of BBLS loan volume related to fraudulent loans,</w:t>
      </w:r>
      <w:r w:rsidRPr="00846F78">
        <w:rPr>
          <w:rStyle w:val="FootnoteReference"/>
        </w:rPr>
        <w:footnoteReference w:id="128"/>
      </w:r>
      <w:r w:rsidRPr="00846F78">
        <w:t xml:space="preserve"> but it is unclear whether these would bias estimated </w:t>
      </w:r>
      <w:r w:rsidR="004550ED">
        <w:t>closure</w:t>
      </w:r>
      <w:r w:rsidR="004550ED" w:rsidRPr="00846F78">
        <w:t xml:space="preserve"> </w:t>
      </w:r>
      <w:r w:rsidRPr="00846F78">
        <w:t xml:space="preserve">rates upwards or downwards, or to what extent. Therefore, no adjustment has been made to the estimated </w:t>
      </w:r>
      <w:r w:rsidR="004550ED">
        <w:t>closure</w:t>
      </w:r>
      <w:r w:rsidR="004550ED" w:rsidRPr="00846F78">
        <w:t xml:space="preserve"> </w:t>
      </w:r>
      <w:r w:rsidRPr="00846F78">
        <w:t xml:space="preserve">rate. </w:t>
      </w:r>
      <w:r w:rsidR="005D4C6A" w:rsidRPr="005D4C6A">
        <w:t xml:space="preserve">In addition, some borrower business closures may have been delayed by ongoing fraud investigations. </w:t>
      </w:r>
      <w:r w:rsidR="006A4204">
        <w:t>These</w:t>
      </w:r>
      <w:r w:rsidR="005D4C6A" w:rsidRPr="005D4C6A">
        <w:t xml:space="preserve"> could lower </w:t>
      </w:r>
      <w:r w:rsidR="004008A5">
        <w:t xml:space="preserve">the estimated </w:t>
      </w:r>
      <w:r w:rsidR="005D4C6A" w:rsidRPr="005D4C6A">
        <w:t xml:space="preserve">impact of BBLS </w:t>
      </w:r>
      <w:r w:rsidR="003118FC">
        <w:t xml:space="preserve">on business survival </w:t>
      </w:r>
      <w:r w:rsidR="005D4C6A" w:rsidRPr="005D4C6A">
        <w:t>(</w:t>
      </w:r>
      <w:proofErr w:type="gramStart"/>
      <w:r w:rsidR="005D4C6A" w:rsidRPr="005D4C6A">
        <w:t>as a result of</w:t>
      </w:r>
      <w:proofErr w:type="gramEnd"/>
      <w:r w:rsidR="005D4C6A" w:rsidRPr="005D4C6A">
        <w:t xml:space="preserve"> </w:t>
      </w:r>
      <w:r w:rsidR="005A7A88" w:rsidRPr="005D4C6A">
        <w:t>an</w:t>
      </w:r>
      <w:r w:rsidR="005D4C6A" w:rsidRPr="005D4C6A">
        <w:t xml:space="preserve"> increased observed closure rate).</w:t>
      </w:r>
      <w:bookmarkStart w:id="252" w:name="_Hlk121925746"/>
    </w:p>
    <w:p w14:paraId="2FBF000A" w14:textId="4D7B5322" w:rsidR="006B45C2" w:rsidRPr="005D5D23" w:rsidRDefault="0061428F" w:rsidP="00236B73">
      <w:r w:rsidRPr="00236B73">
        <w:rPr>
          <w:color w:val="142855" w:themeColor="text2"/>
        </w:rPr>
        <w:t xml:space="preserve">Estimating the </w:t>
      </w:r>
      <w:bookmarkStart w:id="253" w:name="_Hlk132730604"/>
      <w:r w:rsidRPr="00236B73">
        <w:rPr>
          <w:color w:val="142855" w:themeColor="text2"/>
        </w:rPr>
        <w:t xml:space="preserve">number of pre-pandemic jobs among borrowers that would have </w:t>
      </w:r>
      <w:r w:rsidR="004550ED" w:rsidRPr="00236B73">
        <w:rPr>
          <w:color w:val="142855" w:themeColor="text2"/>
        </w:rPr>
        <w:t xml:space="preserve">permanently closed </w:t>
      </w:r>
      <w:r w:rsidRPr="00236B73">
        <w:rPr>
          <w:color w:val="142855" w:themeColor="text2"/>
        </w:rPr>
        <w:t>in the absence of the Covid-19 Loan Guarantee Schemes</w:t>
      </w:r>
      <w:bookmarkEnd w:id="253"/>
    </w:p>
    <w:bookmarkEnd w:id="252"/>
    <w:p w14:paraId="4D714E62" w14:textId="1DA4F75A" w:rsidR="006B45C2" w:rsidRPr="00490C53" w:rsidRDefault="006B45C2" w:rsidP="006B45C2">
      <w:r w:rsidRPr="00490C53">
        <w:lastRenderedPageBreak/>
        <w:t xml:space="preserve">Overall, the approach used to estimate the number of </w:t>
      </w:r>
      <w:r w:rsidR="0061428F" w:rsidRPr="00490C53">
        <w:t xml:space="preserve">pre-pandemic jobs among borrowers that would have </w:t>
      </w:r>
      <w:r w:rsidR="004550ED">
        <w:t>permanently closed</w:t>
      </w:r>
      <w:r w:rsidR="004550ED" w:rsidRPr="00490C53">
        <w:t xml:space="preserve"> </w:t>
      </w:r>
      <w:r w:rsidRPr="00490C53">
        <w:t xml:space="preserve">if the Covid-19 Loan Guarantee Schemes had not been in place is </w:t>
      </w:r>
      <w:proofErr w:type="gramStart"/>
      <w:r w:rsidRPr="00490C53">
        <w:t>similar to</w:t>
      </w:r>
      <w:proofErr w:type="gramEnd"/>
      <w:r w:rsidRPr="00490C53">
        <w:t xml:space="preserve"> that outlined in the section “</w:t>
      </w:r>
      <w:r w:rsidR="00183388" w:rsidRPr="00490C53">
        <w:fldChar w:fldCharType="begin"/>
      </w:r>
      <w:r w:rsidR="00183388" w:rsidRPr="00490C53">
        <w:instrText xml:space="preserve"> REF _Ref123724573 \h </w:instrText>
      </w:r>
      <w:r w:rsidR="00183388" w:rsidRPr="00490C53">
        <w:fldChar w:fldCharType="separate"/>
      </w:r>
      <w:r w:rsidR="00397D49" w:rsidRPr="00490C53">
        <w:t>Impact on business survival</w:t>
      </w:r>
      <w:r w:rsidR="00183388" w:rsidRPr="00490C53">
        <w:fldChar w:fldCharType="end"/>
      </w:r>
      <w:r w:rsidRPr="00490C53">
        <w:t>”</w:t>
      </w:r>
      <w:r w:rsidR="00183388" w:rsidRPr="00490C53">
        <w:t xml:space="preserve"> in the Year 2 impact evaluation chapter</w:t>
      </w:r>
      <w:r w:rsidRPr="00490C53">
        <w:t xml:space="preserve">. </w:t>
      </w:r>
    </w:p>
    <w:p w14:paraId="0ED8DBC6" w14:textId="2854CF51" w:rsidR="006B45C2" w:rsidRPr="00490C53" w:rsidRDefault="006B45C2" w:rsidP="006B45C2">
      <w:r w:rsidRPr="00490C53">
        <w:t xml:space="preserve">First, the proportion of </w:t>
      </w:r>
      <w:r w:rsidR="006F0688">
        <w:t xml:space="preserve">pre-pandemic </w:t>
      </w:r>
      <w:r w:rsidRPr="00490C53">
        <w:t xml:space="preserve">jobs </w:t>
      </w:r>
      <w:r w:rsidR="006F0688">
        <w:t xml:space="preserve">among </w:t>
      </w:r>
      <w:r w:rsidR="003811AB">
        <w:t>borrowers</w:t>
      </w:r>
      <w:r w:rsidR="006F0688">
        <w:t xml:space="preserve"> that would have </w:t>
      </w:r>
      <w:r w:rsidR="004550ED">
        <w:t xml:space="preserve">permanently closed </w:t>
      </w:r>
      <w:r w:rsidR="006F0688">
        <w:t xml:space="preserve">in the absence of the Covid-19 Loan Guarantee Schemes </w:t>
      </w:r>
      <w:r w:rsidRPr="00490C53">
        <w:t xml:space="preserve">is estimated </w:t>
      </w:r>
      <w:r w:rsidR="00876DF7">
        <w:t xml:space="preserve">using two components. </w:t>
      </w:r>
      <w:r w:rsidR="00AA0CBF">
        <w:t xml:space="preserve">The first component is calculated as </w:t>
      </w:r>
      <w:r w:rsidRPr="00490C53">
        <w:t xml:space="preserve">the total </w:t>
      </w:r>
      <w:r w:rsidR="006F0688">
        <w:t xml:space="preserve">pre-pandemic </w:t>
      </w:r>
      <w:r w:rsidRPr="00490C53">
        <w:t xml:space="preserve">employment of </w:t>
      </w:r>
      <w:r w:rsidR="003811AB">
        <w:t>borrowers</w:t>
      </w:r>
      <w:r w:rsidR="003811AB" w:rsidRPr="00490C53">
        <w:t xml:space="preserve"> </w:t>
      </w:r>
      <w:r w:rsidR="00AA0CBF">
        <w:t>that</w:t>
      </w:r>
      <w:r w:rsidR="00AA0CBF" w:rsidRPr="00490C53">
        <w:t xml:space="preserve"> </w:t>
      </w:r>
      <w:r w:rsidR="00AA0CBF">
        <w:t>report</w:t>
      </w:r>
      <w:r w:rsidRPr="00490C53">
        <w:t xml:space="preserve"> that they would have permanently closed before the end of</w:t>
      </w:r>
      <w:r w:rsidR="0017480A">
        <w:t xml:space="preserve"> December</w:t>
      </w:r>
      <w:r w:rsidRPr="00490C53">
        <w:t xml:space="preserve"> </w:t>
      </w:r>
      <w:r w:rsidR="0000278A" w:rsidRPr="00490C53">
        <w:t>2021</w:t>
      </w:r>
      <w:r w:rsidRPr="00490C53">
        <w:t xml:space="preserve"> if they had not been able to access funding from the Covid-19 Loan Guarantee Schemes</w:t>
      </w:r>
      <w:r w:rsidR="00876DF7">
        <w:t>.</w:t>
      </w:r>
      <w:r w:rsidRPr="00490C53">
        <w:t xml:space="preserve"> </w:t>
      </w:r>
      <w:r w:rsidR="00876DF7">
        <w:t xml:space="preserve">This is then </w:t>
      </w:r>
      <w:r w:rsidRPr="00490C53">
        <w:t xml:space="preserve">divided by total </w:t>
      </w:r>
      <w:r w:rsidR="006F0688">
        <w:t xml:space="preserve">pre-pandemic </w:t>
      </w:r>
      <w:r w:rsidRPr="00490C53">
        <w:t>employment of surveyed businesses</w:t>
      </w:r>
      <w:r w:rsidR="00876DF7">
        <w:t>. A</w:t>
      </w:r>
      <w:r w:rsidRPr="00490C53">
        <w:t xml:space="preserve">s for the estimates of counterfactual business </w:t>
      </w:r>
      <w:r w:rsidR="004550ED">
        <w:t>closure</w:t>
      </w:r>
      <w:r w:rsidR="004550ED" w:rsidRPr="00490C53">
        <w:t xml:space="preserve"> </w:t>
      </w:r>
      <w:r w:rsidRPr="00490C53">
        <w:t xml:space="preserve">rates, a lower- and upper-bound was calculated. </w:t>
      </w:r>
    </w:p>
    <w:p w14:paraId="64899616" w14:textId="04017AFA" w:rsidR="00FF191C" w:rsidRPr="00490C53" w:rsidRDefault="00FF191C" w:rsidP="00FF191C">
      <w:r>
        <w:t>Second</w:t>
      </w:r>
      <w:r w:rsidRPr="00490C53">
        <w:t xml:space="preserve">, an estimate of total </w:t>
      </w:r>
      <w:r>
        <w:t xml:space="preserve">pre-pandemic </w:t>
      </w:r>
      <w:r w:rsidRPr="00490C53">
        <w:t xml:space="preserve">employment </w:t>
      </w:r>
      <w:r w:rsidR="00924D20">
        <w:t>among</w:t>
      </w:r>
      <w:r w:rsidRPr="00490C53">
        <w:t xml:space="preserve"> BBLS and CBILS/CLBILS borrowers is calculated as the product of </w:t>
      </w:r>
      <w:r>
        <w:t xml:space="preserve">a) </w:t>
      </w:r>
      <w:r w:rsidRPr="00490C53">
        <w:t xml:space="preserve">the total number of BBLS or CBILS/CLBILS borrowers and </w:t>
      </w:r>
      <w:r>
        <w:t xml:space="preserve">b) </w:t>
      </w:r>
      <w:r w:rsidRPr="00490C53">
        <w:t>the average pre-pandemic employment per BBLS or CBILS/CLBILS borrower</w:t>
      </w:r>
      <w:r>
        <w:t>. Average pre-pandemic employment is taken per borrower and is</w:t>
      </w:r>
      <w:r w:rsidRPr="00490C53">
        <w:t xml:space="preserve"> estimated based on the quantitative survey. </w:t>
      </w:r>
      <w:r w:rsidR="00886013">
        <w:t>T</w:t>
      </w:r>
      <w:r>
        <w:t xml:space="preserve">his number </w:t>
      </w:r>
      <w:r w:rsidR="00886013">
        <w:t xml:space="preserve">is used to scale </w:t>
      </w:r>
      <w:r>
        <w:t xml:space="preserve">the proportion of pre-pandemic jobs among businesses that would have </w:t>
      </w:r>
      <w:r w:rsidR="004550ED">
        <w:t xml:space="preserve">permanently closed </w:t>
      </w:r>
      <w:r>
        <w:t xml:space="preserve">in the absence of the Covid-19 Loan Guarantee Schemes. </w:t>
      </w:r>
    </w:p>
    <w:p w14:paraId="3073EA10" w14:textId="7BA40D1E" w:rsidR="006B45C2" w:rsidRPr="00490C53" w:rsidRDefault="00FF191C" w:rsidP="006B45C2">
      <w:r>
        <w:t>Third</w:t>
      </w:r>
      <w:r w:rsidR="006B45C2" w:rsidRPr="00490C53">
        <w:t xml:space="preserve">, the observed proportion of </w:t>
      </w:r>
      <w:r w:rsidR="006F0688">
        <w:t xml:space="preserve">pre-pandemic </w:t>
      </w:r>
      <w:r w:rsidR="006B45C2" w:rsidRPr="00490C53">
        <w:t xml:space="preserve">jobs </w:t>
      </w:r>
      <w:r w:rsidR="006F0688">
        <w:t xml:space="preserve">among businesses that </w:t>
      </w:r>
      <w:r w:rsidR="004550ED">
        <w:t xml:space="preserve">permanently closed </w:t>
      </w:r>
      <w:r w:rsidR="006B45C2" w:rsidRPr="00490C53">
        <w:t xml:space="preserve">is assumed to be equal to the observed </w:t>
      </w:r>
      <w:r w:rsidR="004550ED">
        <w:t>closure</w:t>
      </w:r>
      <w:r w:rsidR="004550ED" w:rsidRPr="00490C53">
        <w:t xml:space="preserve"> </w:t>
      </w:r>
      <w:r w:rsidR="006B45C2" w:rsidRPr="00490C53">
        <w:t>rate</w:t>
      </w:r>
      <w:r w:rsidR="0091083B">
        <w:t xml:space="preserve"> of businesses that used the Covid-19 Loan Guarantee Schemes</w:t>
      </w:r>
      <w:r w:rsidR="006B45C2" w:rsidRPr="00490C53">
        <w:t xml:space="preserve"> (as described above). </w:t>
      </w:r>
      <w:r w:rsidR="006518C7">
        <w:t xml:space="preserve">This approach implicitly assumes that businesses that </w:t>
      </w:r>
      <w:r w:rsidR="004550ED">
        <w:t xml:space="preserve">permanently closed </w:t>
      </w:r>
      <w:r w:rsidR="006518C7">
        <w:t xml:space="preserve">during the period had average employment levels among all businesses. </w:t>
      </w:r>
      <w:r w:rsidR="006B45C2" w:rsidRPr="00490C53">
        <w:t xml:space="preserve">This assumption is unlikely to substantially affect estimates, given its low magnitude. </w:t>
      </w:r>
      <w:r w:rsidR="006F6EB9">
        <w:t xml:space="preserve">This </w:t>
      </w:r>
      <w:r w:rsidR="00924D20">
        <w:t xml:space="preserve">estimate is needed </w:t>
      </w:r>
      <w:proofErr w:type="gramStart"/>
      <w:r w:rsidR="006F6EB9">
        <w:t>in order to</w:t>
      </w:r>
      <w:proofErr w:type="gramEnd"/>
      <w:r w:rsidR="006F0688">
        <w:t xml:space="preserve"> exclude jobs among borrowers that </w:t>
      </w:r>
      <w:r w:rsidR="004550ED">
        <w:t xml:space="preserve">permanently closed </w:t>
      </w:r>
      <w:r w:rsidR="006F0688">
        <w:t>during the pandemic, as the Covid-19 Loan Guarantee Schemes did not enable these businesses to survive</w:t>
      </w:r>
      <w:r w:rsidR="006F6EB9">
        <w:t xml:space="preserve">. </w:t>
      </w:r>
    </w:p>
    <w:p w14:paraId="27BC8C42" w14:textId="77777777" w:rsidR="003D1315" w:rsidRDefault="006B45C2" w:rsidP="006B45C2">
      <w:r w:rsidRPr="00490C53">
        <w:t xml:space="preserve">Based on the above quantities, the formula for estimating the </w:t>
      </w:r>
      <w:r w:rsidR="00924D20" w:rsidRPr="00924D20">
        <w:t xml:space="preserve">number of pre-pandemic jobs among borrowers that would have </w:t>
      </w:r>
      <w:r w:rsidR="004550ED">
        <w:t>permanently closed</w:t>
      </w:r>
      <w:r w:rsidR="004550ED" w:rsidRPr="00924D20">
        <w:t xml:space="preserve"> </w:t>
      </w:r>
      <w:r w:rsidR="00924D20" w:rsidRPr="00924D20">
        <w:t xml:space="preserve">in the absence of the Covid-19 Loan </w:t>
      </w:r>
    </w:p>
    <w:p w14:paraId="2A11390F" w14:textId="77777777" w:rsidR="003D1315" w:rsidRDefault="003D1315" w:rsidP="006B45C2"/>
    <w:p w14:paraId="729CE1C9" w14:textId="77777777" w:rsidR="003D1315" w:rsidRDefault="003D1315" w:rsidP="006B45C2"/>
    <w:p w14:paraId="638186DF" w14:textId="71C6CC6A" w:rsidR="006B45C2" w:rsidRPr="00490C53" w:rsidRDefault="00924D20" w:rsidP="006B45C2">
      <w:r w:rsidRPr="00924D20">
        <w:lastRenderedPageBreak/>
        <w:t>Guarantee Schemes</w:t>
      </w:r>
      <w:r>
        <w:t xml:space="preserve"> is</w:t>
      </w:r>
      <w:r w:rsidR="006B45C2" w:rsidRPr="00490C53">
        <w:t xml:space="preserve">: </w:t>
      </w:r>
    </w:p>
    <w:p w14:paraId="5891CD82" w14:textId="21E3FFB9" w:rsidR="00FA1A56" w:rsidRPr="002D323B" w:rsidRDefault="00FA1A56" w:rsidP="002D323B">
      <w:pPr>
        <w:spacing w:after="0"/>
        <w:rPr>
          <w:rFonts w:eastAsiaTheme="minorEastAsia"/>
          <w:szCs w:val="24"/>
        </w:rPr>
      </w:pPr>
      <m:oMathPara>
        <m:oMathParaPr>
          <m:jc m:val="left"/>
        </m:oMathParaPr>
        <m:oMath>
          <m:r>
            <w:rPr>
              <w:rFonts w:ascii="Cambria Math" w:hAnsi="Cambria Math"/>
              <w:szCs w:val="24"/>
            </w:rPr>
            <m:t xml:space="preserve">Number of pre-pandemic jobs among borrowers that would have died= </m:t>
          </m:r>
        </m:oMath>
      </m:oMathPara>
    </w:p>
    <w:p w14:paraId="28E0F88A" w14:textId="5410919D" w:rsidR="00FA1A56" w:rsidRPr="002D323B" w:rsidRDefault="006924B0" w:rsidP="002D323B">
      <w:pPr>
        <w:spacing w:after="0"/>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1-</m:t>
              </m:r>
              <m:r>
                <w:rPr>
                  <w:rFonts w:ascii="Cambria Math" w:hAnsi="Cambria Math"/>
                  <w:szCs w:val="24"/>
                </w:rPr>
                <m:t>Observed</m:t>
              </m:r>
              <m:r>
                <w:rPr>
                  <w:rFonts w:ascii="Cambria Math" w:hAnsi="Cambria Math"/>
                  <w:szCs w:val="24"/>
                </w:rPr>
                <m:t xml:space="preserve"> </m:t>
              </m:r>
              <m:r>
                <w:rPr>
                  <w:rFonts w:ascii="Cambria Math" w:hAnsi="Cambria Math"/>
                  <w:szCs w:val="24"/>
                </w:rPr>
                <m:t>proportion</m:t>
              </m:r>
              <m:r>
                <w:rPr>
                  <w:rFonts w:ascii="Cambria Math" w:hAnsi="Cambria Math"/>
                  <w:szCs w:val="24"/>
                </w:rPr>
                <m:t xml:space="preserve"> </m:t>
              </m:r>
              <m:r>
                <w:rPr>
                  <w:rFonts w:ascii="Cambria Math" w:hAnsi="Cambria Math"/>
                  <w:szCs w:val="24"/>
                </w:rPr>
                <m:t>of</m:t>
              </m:r>
              <m:r>
                <w:rPr>
                  <w:rFonts w:ascii="Cambria Math" w:hAnsi="Cambria Math"/>
                  <w:szCs w:val="24"/>
                </w:rPr>
                <m:t xml:space="preserve"> </m:t>
              </m:r>
              <m:r>
                <w:rPr>
                  <w:rFonts w:ascii="Cambria Math" w:hAnsi="Cambria Math"/>
                  <w:szCs w:val="24"/>
                </w:rPr>
                <m:t>jobs</m:t>
              </m:r>
              <m:r>
                <w:rPr>
                  <w:rFonts w:ascii="Cambria Math" w:hAnsi="Cambria Math"/>
                  <w:szCs w:val="24"/>
                </w:rPr>
                <m:t xml:space="preserve"> </m:t>
              </m:r>
              <m:r>
                <w:rPr>
                  <w:rFonts w:ascii="Cambria Math" w:hAnsi="Cambria Math"/>
                  <w:szCs w:val="24"/>
                </w:rPr>
                <m:t>lost</m:t>
              </m:r>
            </m:e>
          </m:d>
          <m:r>
            <w:rPr>
              <w:rFonts w:ascii="Cambria Math" w:hAnsi="Cambria Math"/>
              <w:szCs w:val="24"/>
            </w:rPr>
            <m:t>*</m:t>
          </m:r>
        </m:oMath>
      </m:oMathPara>
    </w:p>
    <w:p w14:paraId="597DCB32" w14:textId="0ED517D0" w:rsidR="00FA1A56" w:rsidRPr="002D323B" w:rsidRDefault="00FA1A56" w:rsidP="002D323B">
      <w:pPr>
        <w:spacing w:after="0"/>
        <w:rPr>
          <w:rFonts w:eastAsiaTheme="minorEastAsia"/>
          <w:szCs w:val="24"/>
        </w:rPr>
      </w:pPr>
      <m:oMathPara>
        <m:oMathParaPr>
          <m:jc m:val="left"/>
        </m:oMathParaPr>
        <m:oMath>
          <m:r>
            <w:rPr>
              <w:rFonts w:ascii="Cambria Math" w:hAnsi="Cambria Math"/>
              <w:szCs w:val="24"/>
            </w:rPr>
            <m:t>Counterfactual proportion of jobs lost</m:t>
          </m:r>
          <m:r>
            <w:rPr>
              <w:rFonts w:ascii="Cambria Math" w:eastAsiaTheme="minorEastAsia" w:hAnsi="Cambria Math"/>
              <w:szCs w:val="24"/>
            </w:rPr>
            <m:t>*</m:t>
          </m:r>
        </m:oMath>
      </m:oMathPara>
    </w:p>
    <w:p w14:paraId="3E535BE1" w14:textId="1FFF3BD7" w:rsidR="009A107B" w:rsidRPr="00490C53" w:rsidRDefault="00FA1A56" w:rsidP="002D323B">
      <w:pPr>
        <w:spacing w:after="0"/>
      </w:pPr>
      <m:oMath>
        <m:r>
          <w:rPr>
            <w:rFonts w:ascii="Cambria Math" w:eastAsiaTheme="minorEastAsia" w:hAnsi="Cambria Math"/>
            <w:szCs w:val="24"/>
          </w:rPr>
          <m:t>Estimated total employment by borrowers</m:t>
        </m:r>
      </m:oMath>
      <w:r w:rsidR="00C44ABC">
        <w:rPr>
          <w:rFonts w:eastAsiaTheme="minorEastAsia"/>
          <w:szCs w:val="24"/>
        </w:rPr>
        <w:t xml:space="preserve"> </w:t>
      </w:r>
    </w:p>
    <w:p w14:paraId="715EB9BF" w14:textId="77777777" w:rsidR="0087300A" w:rsidRPr="00490C53" w:rsidRDefault="0087300A" w:rsidP="002D323B">
      <w:pPr>
        <w:rPr>
          <w:rFonts w:asciiTheme="majorHAnsi" w:eastAsiaTheme="majorEastAsia" w:hAnsiTheme="majorHAnsi" w:cstheme="majorBidi"/>
          <w:b/>
          <w:color w:val="142855" w:themeColor="text2"/>
          <w:sz w:val="44"/>
          <w:szCs w:val="32"/>
        </w:rPr>
      </w:pPr>
      <w:bookmarkStart w:id="254" w:name="_Ref92924533"/>
      <w:bookmarkStart w:id="255" w:name="_Ref90811553"/>
      <w:bookmarkStart w:id="256" w:name="_Toc105749911"/>
      <w:bookmarkStart w:id="257" w:name="_Ref121903549"/>
      <w:r w:rsidRPr="00490C53">
        <w:br w:type="page"/>
      </w:r>
    </w:p>
    <w:p w14:paraId="52B12D28" w14:textId="30938684" w:rsidR="00427B94" w:rsidRPr="00490C53" w:rsidRDefault="00427B94" w:rsidP="00236B73">
      <w:pPr>
        <w:pStyle w:val="Heading2"/>
      </w:pPr>
      <w:bookmarkStart w:id="258" w:name="_Toc105749912"/>
      <w:bookmarkStart w:id="259" w:name="_Toc149801271"/>
      <w:bookmarkStart w:id="260" w:name="_Toc151016590"/>
      <w:bookmarkStart w:id="261" w:name="_Toc151549904"/>
      <w:bookmarkEnd w:id="254"/>
      <w:bookmarkEnd w:id="255"/>
      <w:bookmarkEnd w:id="256"/>
      <w:bookmarkEnd w:id="257"/>
      <w:r w:rsidRPr="00490C53">
        <w:lastRenderedPageBreak/>
        <w:t>Econometrics methodology</w:t>
      </w:r>
      <w:bookmarkEnd w:id="258"/>
      <w:r w:rsidR="004C1B46">
        <w:t xml:space="preserve"> and results</w:t>
      </w:r>
      <w:bookmarkEnd w:id="259"/>
      <w:bookmarkEnd w:id="260"/>
      <w:bookmarkEnd w:id="261"/>
    </w:p>
    <w:p w14:paraId="721E2DB2" w14:textId="5F983A6C" w:rsidR="00427B94" w:rsidRPr="00490C53" w:rsidRDefault="00427B94" w:rsidP="00427B94">
      <w:r w:rsidRPr="00490C53">
        <w:t xml:space="preserve">This </w:t>
      </w:r>
      <w:r w:rsidR="00ED5728">
        <w:t>section</w:t>
      </w:r>
      <w:r w:rsidR="00ED5728" w:rsidRPr="00490C53">
        <w:t xml:space="preserve"> </w:t>
      </w:r>
      <w:r w:rsidRPr="00490C53">
        <w:t>describes the econometric approaches used to quantify the impacts of the Covid-19 Loan Guarantee Schemes on business turnover and employment</w:t>
      </w:r>
      <w:r w:rsidR="00BC62C8" w:rsidRPr="00490C53">
        <w:t xml:space="preserve"> in the second year of the pandemic</w:t>
      </w:r>
      <w:r w:rsidRPr="00490C53">
        <w:t>. Fi</w:t>
      </w:r>
      <w:r w:rsidR="00FE500A" w:rsidRPr="00490C53">
        <w:t xml:space="preserve">rstly, </w:t>
      </w:r>
      <w:r w:rsidR="0088136F" w:rsidRPr="00490C53">
        <w:t xml:space="preserve">it describes the econometric approach used to estimate impacts in each case. Secondly, it discusses the data used in the </w:t>
      </w:r>
      <w:r w:rsidR="007E1929" w:rsidRPr="00490C53">
        <w:t xml:space="preserve">data used in </w:t>
      </w:r>
      <w:r w:rsidR="008B48AF" w:rsidRPr="00490C53">
        <w:t xml:space="preserve">each part of the analysis. Finally, it provides supplementary econometric results. </w:t>
      </w:r>
    </w:p>
    <w:p w14:paraId="0ACC0186" w14:textId="77777777" w:rsidR="00427B94" w:rsidRPr="005D5D23" w:rsidRDefault="00427B94" w:rsidP="00236B73">
      <w:bookmarkStart w:id="262" w:name="_Toc89964530"/>
      <w:r w:rsidRPr="00236B73">
        <w:rPr>
          <w:color w:val="142855" w:themeColor="text2"/>
        </w:rPr>
        <w:t>Methodological Approach</w:t>
      </w:r>
      <w:bookmarkEnd w:id="262"/>
    </w:p>
    <w:p w14:paraId="07FEE93F" w14:textId="07EFB13B" w:rsidR="00C57496" w:rsidRPr="00490C53" w:rsidRDefault="00C57496" w:rsidP="00C57496">
      <w:r w:rsidRPr="00490C53">
        <w:t xml:space="preserve">The key challenge in identifying the effect of the </w:t>
      </w:r>
      <w:r w:rsidRPr="00490C53">
        <w:rPr>
          <w:rFonts w:cstheme="minorHAnsi"/>
          <w:szCs w:val="24"/>
        </w:rPr>
        <w:t xml:space="preserve">Covid-19 Loan Guarantee Schemes </w:t>
      </w:r>
      <w:r w:rsidRPr="00490C53">
        <w:t xml:space="preserve">on businesses is that there </w:t>
      </w:r>
      <w:r w:rsidR="00364D7E" w:rsidRPr="00490C53">
        <w:t>may</w:t>
      </w:r>
      <w:r w:rsidRPr="00490C53">
        <w:t xml:space="preserve"> be differences between businesses that participated in the </w:t>
      </w:r>
      <w:r w:rsidRPr="00490C53">
        <w:rPr>
          <w:rFonts w:cstheme="minorHAnsi"/>
          <w:szCs w:val="24"/>
        </w:rPr>
        <w:t xml:space="preserve">Covid-19 Loan Guarantee Schemes </w:t>
      </w:r>
      <w:r w:rsidRPr="00490C53">
        <w:t>(</w:t>
      </w:r>
      <w:r w:rsidR="00BB307D">
        <w:t xml:space="preserve">borrowers, or </w:t>
      </w:r>
      <w:r w:rsidRPr="00490C53">
        <w:t xml:space="preserve">the ‘treatment group’) and businesses that did not participate in the </w:t>
      </w:r>
      <w:r w:rsidRPr="00490C53">
        <w:rPr>
          <w:rFonts w:cstheme="minorHAnsi"/>
          <w:szCs w:val="24"/>
        </w:rPr>
        <w:t xml:space="preserve">Covid-19 Loan Guarantee Schemes </w:t>
      </w:r>
      <w:r w:rsidR="007B7EE2">
        <w:t>or non-borrowers</w:t>
      </w:r>
      <w:r w:rsidRPr="00490C53">
        <w:t xml:space="preserve"> other than simply whether they participated in the </w:t>
      </w:r>
      <w:r w:rsidRPr="00490C53">
        <w:rPr>
          <w:rFonts w:cstheme="minorHAnsi"/>
          <w:szCs w:val="24"/>
        </w:rPr>
        <w:t>Covid-19 Loan Guarantee Schemes</w:t>
      </w:r>
      <w:r w:rsidRPr="00490C53">
        <w:t xml:space="preserve">. </w:t>
      </w:r>
    </w:p>
    <w:p w14:paraId="5946C35E" w14:textId="3AE72001" w:rsidR="00C57496" w:rsidRPr="00490C53" w:rsidRDefault="00C57496" w:rsidP="00C57496">
      <w:r w:rsidRPr="00490C53">
        <w:t xml:space="preserve">For example, one might expect that businesses heavily disrupted by the pandemic (for example many businesses in the hospitality sector were forced to halt most of their operations due to lockdown restrictions) would be more likely to access the </w:t>
      </w:r>
      <w:r w:rsidRPr="00490C53">
        <w:rPr>
          <w:rFonts w:cstheme="minorHAnsi"/>
          <w:szCs w:val="24"/>
        </w:rPr>
        <w:t xml:space="preserve">Covid-19 Loan Guarantee Schemes </w:t>
      </w:r>
      <w:r w:rsidRPr="00490C53">
        <w:t>than businesses whose activities were less affected by the pandemic.</w:t>
      </w:r>
    </w:p>
    <w:p w14:paraId="0AC1D0CE" w14:textId="116EE9BF" w:rsidR="00C57496" w:rsidRPr="00490C53" w:rsidRDefault="00C57496" w:rsidP="00C57496">
      <w:r w:rsidRPr="00490C53">
        <w:t>These differences have the potential to impact business performance (measured by turnover and employment)</w:t>
      </w:r>
      <w:r w:rsidR="00364D7E" w:rsidRPr="00490C53">
        <w:t>.</w:t>
      </w:r>
      <w:r w:rsidRPr="00490C53">
        <w:t xml:space="preserve"> </w:t>
      </w:r>
      <w:r w:rsidR="00364D7E" w:rsidRPr="00490C53">
        <w:t>As a result,</w:t>
      </w:r>
      <w:r w:rsidRPr="00490C53">
        <w:t xml:space="preserve"> a simple comparison between the treatment </w:t>
      </w:r>
      <w:r w:rsidR="00BB307D">
        <w:t xml:space="preserve">and non-borrower </w:t>
      </w:r>
      <w:r w:rsidRPr="00490C53">
        <w:t xml:space="preserve">groups of turnover and employment before and after the pandemic could result in incorrectly estimating the effect of the </w:t>
      </w:r>
      <w:r w:rsidRPr="00490C53">
        <w:rPr>
          <w:rFonts w:cstheme="minorHAnsi"/>
          <w:szCs w:val="24"/>
        </w:rPr>
        <w:t>Covid-19 Loan Guarantee Schemes</w:t>
      </w:r>
      <w:r w:rsidRPr="00490C53">
        <w:t xml:space="preserve">. </w:t>
      </w:r>
    </w:p>
    <w:p w14:paraId="5DFA0765" w14:textId="2297625E" w:rsidR="003C6536" w:rsidRPr="00490C53" w:rsidRDefault="003C6536" w:rsidP="003C6536">
      <w:r w:rsidRPr="00490C53">
        <w:t>To tackle this problem, propensity score matching (PSM)</w:t>
      </w:r>
      <w:r w:rsidRPr="00490C53">
        <w:rPr>
          <w:rStyle w:val="FootnoteReference"/>
        </w:rPr>
        <w:footnoteReference w:id="129"/>
      </w:r>
      <w:r w:rsidRPr="00490C53">
        <w:t xml:space="preserve"> is implemented to identify a set of </w:t>
      </w:r>
      <w:r w:rsidR="00BB307D">
        <w:t>‘</w:t>
      </w:r>
      <w:r w:rsidRPr="00490C53">
        <w:t>control</w:t>
      </w:r>
      <w:r w:rsidR="00BB307D">
        <w:t>’</w:t>
      </w:r>
      <w:r w:rsidRPr="00490C53">
        <w:t xml:space="preserve"> businesses that </w:t>
      </w:r>
      <w:r w:rsidR="00BB307D">
        <w:t xml:space="preserve">did not participate in the Covid-19 Loan Guarantee Schemes, but </w:t>
      </w:r>
      <w:r w:rsidRPr="00490C53">
        <w:t xml:space="preserve">closely resemble the treated businesses and minimise these differences. Then, a comparison is made between this set of control businesses and the treated businesses is made using fixed effects analysis. These models were estimated using STATA. Further detail on these two parts of the methodology is presented in the text that follows. </w:t>
      </w:r>
    </w:p>
    <w:p w14:paraId="11220E59" w14:textId="77777777" w:rsidR="00F370DA" w:rsidRPr="00236B73" w:rsidRDefault="00F370DA" w:rsidP="00236B73">
      <w:pPr>
        <w:rPr>
          <w:color w:val="142855" w:themeColor="text2"/>
        </w:rPr>
      </w:pPr>
      <w:bookmarkStart w:id="263" w:name="_Toc89964532"/>
      <w:r w:rsidRPr="00236B73">
        <w:rPr>
          <w:color w:val="142855" w:themeColor="text2"/>
        </w:rPr>
        <w:lastRenderedPageBreak/>
        <w:t>Propensity Score Matching (PSM)</w:t>
      </w:r>
      <w:bookmarkEnd w:id="263"/>
    </w:p>
    <w:p w14:paraId="6B150FB5" w14:textId="6709F889" w:rsidR="00C12014" w:rsidRPr="00490C53" w:rsidRDefault="00C12014" w:rsidP="00C12014">
      <w:r w:rsidRPr="00490C53">
        <w:t xml:space="preserve">Propensity score matching involves matching the treatment businesses to similar businesses in the </w:t>
      </w:r>
      <w:r w:rsidR="00BB307D">
        <w:t>non-borrower</w:t>
      </w:r>
      <w:r w:rsidR="00BB307D" w:rsidRPr="00490C53">
        <w:t xml:space="preserve"> </w:t>
      </w:r>
      <w:r w:rsidRPr="00490C53">
        <w:t xml:space="preserve">group </w:t>
      </w:r>
      <w:proofErr w:type="gramStart"/>
      <w:r w:rsidRPr="00490C53">
        <w:t>on the basis of</w:t>
      </w:r>
      <w:proofErr w:type="gramEnd"/>
      <w:r w:rsidRPr="00490C53">
        <w:t xml:space="preserve"> a ‘propensity score’</w:t>
      </w:r>
      <w:r w:rsidR="00BB307D">
        <w:t xml:space="preserve"> in order to </w:t>
      </w:r>
      <w:r w:rsidR="001258D5">
        <w:t xml:space="preserve">construct </w:t>
      </w:r>
      <w:r w:rsidR="00BB307D">
        <w:t>a ‘control’ group</w:t>
      </w:r>
      <w:r w:rsidR="001258D5">
        <w:t xml:space="preserve"> of non-borrowers that is more comparable to borrowers than the initial unmatched sample of non-borrowers</w:t>
      </w:r>
      <w:r w:rsidRPr="00490C53">
        <w:t xml:space="preserve">. The propensity score is the probability of a business being in the treatment group, estimated based on its characteristics. The propensity score is calculated using a logit model. The logit model is a standard economic model used when the outcome of interest is binary (whether a business received a loan under the </w:t>
      </w:r>
      <w:r w:rsidRPr="00490C53">
        <w:rPr>
          <w:rFonts w:cstheme="minorHAnsi"/>
          <w:szCs w:val="24"/>
        </w:rPr>
        <w:t xml:space="preserve">Covid-19 Loan Guarantee Schemes </w:t>
      </w:r>
      <w:r w:rsidRPr="00490C53">
        <w:t xml:space="preserve">or not). This model is represented by the following equation for business </w:t>
      </w:r>
      <w:r w:rsidRPr="00490C53">
        <w:rPr>
          <w:i/>
          <w:iCs/>
        </w:rPr>
        <w:t>i</w:t>
      </w:r>
      <w:r w:rsidRPr="00490C53">
        <w:t>:</w:t>
      </w:r>
    </w:p>
    <w:p w14:paraId="22087B81" w14:textId="77777777" w:rsidR="00C12014" w:rsidRPr="00490C53" w:rsidRDefault="006924B0" w:rsidP="00C12014">
      <w:pPr>
        <w:rPr>
          <w:rFonts w:eastAsiaTheme="minorEastAsia"/>
        </w:rPr>
      </w:pPr>
      <m:oMathPara>
        <m:oMathParaPr>
          <m:jc m:val="left"/>
        </m:oMathParaPr>
        <m:oMath>
          <m:sSub>
            <m:sSubPr>
              <m:ctrlPr>
                <w:rPr>
                  <w:rFonts w:ascii="Cambria Math" w:hAnsi="Cambria Math"/>
                  <w:i/>
                </w:rPr>
              </m:ctrlPr>
            </m:sSubPr>
            <m:e>
              <m:r>
                <m:rPr>
                  <m:sty m:val="p"/>
                </m:rPr>
                <w:rPr>
                  <w:rFonts w:ascii="Cambria Math" w:hAnsi="Cambria Math"/>
                </w:rPr>
                <m:t>Pr⁡</m:t>
              </m:r>
              <m:r>
                <w:rPr>
                  <w:rFonts w:ascii="Cambria Math" w:hAnsi="Cambria Math"/>
                </w:rPr>
                <m:t>(</m:t>
              </m:r>
              <m:r>
                <w:rPr>
                  <w:rFonts w:ascii="Cambria Math" w:hAnsi="Cambria Math"/>
                </w:rPr>
                <m:t>T</m:t>
              </m:r>
            </m:e>
            <m:sub>
              <m:r>
                <w:rPr>
                  <w:rFonts w:ascii="Cambria Math" w:hAnsi="Cambria Math"/>
                </w:rPr>
                <m:t>i</m:t>
              </m:r>
            </m:sub>
          </m:sSub>
          <m:r>
            <w:rPr>
              <w:rFonts w:ascii="Cambria Math" w:hAnsi="Cambria Math"/>
            </w:rPr>
            <m:t>=1)=</m:t>
          </m:r>
          <m:r>
            <w:rPr>
              <w:rFonts w:ascii="Cambria Math" w:hAnsi="Cambria Math"/>
            </w:rPr>
            <m:t>F</m:t>
          </m:r>
          <m:r>
            <w:rPr>
              <w:rFonts w:ascii="Cambria Math" w:hAnsi="Cambria Math"/>
            </w:rPr>
            <m:t>(</m:t>
          </m:r>
          <m:r>
            <m:rPr>
              <m:sty m:val="bi"/>
            </m:rPr>
            <w:rPr>
              <w:rFonts w:ascii="Cambria Math" w:hAnsi="Cambria Math"/>
            </w:rPr>
            <m:t>β</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i</m:t>
              </m:r>
            </m:sub>
          </m:sSub>
          <m:r>
            <w:rPr>
              <w:rFonts w:ascii="Cambria Math" w:hAnsi="Cambria Math"/>
            </w:rPr>
            <m:t>)</m:t>
          </m:r>
        </m:oMath>
      </m:oMathPara>
    </w:p>
    <w:p w14:paraId="3A76DB4E" w14:textId="77777777" w:rsidR="00C12014" w:rsidRPr="00490C53" w:rsidRDefault="006924B0" w:rsidP="00C12014">
      <w:pPr>
        <w:pStyle w:val="ListBullet"/>
        <w:spacing w:after="240"/>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C12014" w:rsidRPr="199308D0">
        <w:rPr>
          <w:rFonts w:eastAsiaTheme="minorEastAsia"/>
        </w:rPr>
        <w:t xml:space="preserve"> is a dummy variable that takes the value 1 if the </w:t>
      </w:r>
      <w:r w:rsidR="00C12014" w:rsidRPr="00490C53">
        <w:t xml:space="preserve">business </w:t>
      </w:r>
      <w:r w:rsidR="00C12014" w:rsidRPr="199308D0">
        <w:rPr>
          <w:rFonts w:eastAsiaTheme="minorEastAsia"/>
        </w:rPr>
        <w:t xml:space="preserve">is in the treatment group and 0 otherwise. </w:t>
      </w:r>
    </w:p>
    <w:p w14:paraId="7CC81833" w14:textId="77777777" w:rsidR="00C12014" w:rsidRPr="00490C53" w:rsidRDefault="00013BE1" w:rsidP="00C12014">
      <w:pPr>
        <w:pStyle w:val="ListBullet"/>
        <w:spacing w:after="240"/>
      </w:pPr>
      <m:oMath>
        <m:r>
          <w:rPr>
            <w:rFonts w:ascii="Cambria Math" w:hAnsi="Cambria Math"/>
          </w:rPr>
          <m:t>F</m:t>
        </m:r>
      </m:oMath>
      <w:r w:rsidR="00C12014" w:rsidRPr="199308D0">
        <w:rPr>
          <w:rFonts w:eastAsiaTheme="minorEastAsia"/>
        </w:rPr>
        <w:t xml:space="preserve"> is the cumulative standard logistic distribution, which is defined such that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-x</m:t>
                </m:r>
              </m:sup>
            </m:sSup>
          </m:den>
        </m:f>
      </m:oMath>
      <w:r w:rsidR="00C12014" w:rsidRPr="199308D0">
        <w:rPr>
          <w:rFonts w:eastAsiaTheme="minorEastAsia"/>
        </w:rPr>
        <w:t>.</w:t>
      </w:r>
    </w:p>
    <w:p w14:paraId="235546B4" w14:textId="77777777" w:rsidR="00C12014" w:rsidRPr="00490C53" w:rsidRDefault="006924B0" w:rsidP="00C12014">
      <w:pPr>
        <w:pStyle w:val="ListBullet"/>
        <w:spacing w:after="240"/>
      </w:pPr>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i</m:t>
            </m:r>
          </m:sub>
        </m:sSub>
      </m:oMath>
      <w:r w:rsidR="00C12014" w:rsidRPr="199308D0">
        <w:rPr>
          <w:rFonts w:eastAsiaTheme="minorEastAsia"/>
        </w:rPr>
        <w:t xml:space="preserve"> is a vector of characteristics of the </w:t>
      </w:r>
      <w:r w:rsidR="00C12014" w:rsidRPr="00490C53">
        <w:t>business</w:t>
      </w:r>
      <w:r w:rsidR="00C12014" w:rsidRPr="199308D0">
        <w:rPr>
          <w:rFonts w:eastAsiaTheme="minorEastAsia"/>
        </w:rPr>
        <w:t xml:space="preserve">, and </w:t>
      </w:r>
      <m:oMath>
        <m:r>
          <m:rPr>
            <m:sty m:val="bi"/>
          </m:rPr>
          <w:rPr>
            <w:rFonts w:ascii="Cambria Math" w:hAnsi="Cambria Math"/>
          </w:rPr>
          <m:t>β</m:t>
        </m:r>
      </m:oMath>
      <w:r w:rsidR="00C12014" w:rsidRPr="199308D0">
        <w:rPr>
          <w:rFonts w:eastAsiaTheme="minorEastAsia"/>
          <w:b/>
          <w:bCs/>
        </w:rPr>
        <w:t xml:space="preserve"> </w:t>
      </w:r>
      <w:r w:rsidR="00C12014" w:rsidRPr="199308D0">
        <w:rPr>
          <w:rFonts w:eastAsiaTheme="minorEastAsia"/>
        </w:rPr>
        <w:t xml:space="preserve">are the associated coefficients for these characteristics. These characteristics must be unaffected by the </w:t>
      </w:r>
      <w:r w:rsidR="00C12014" w:rsidRPr="00490C53">
        <w:t>business</w:t>
      </w:r>
      <w:r w:rsidR="00C12014" w:rsidRPr="199308D0">
        <w:rPr>
          <w:rFonts w:eastAsiaTheme="minorEastAsia"/>
        </w:rPr>
        <w:t xml:space="preserve">’ decision of whether to participate in the </w:t>
      </w:r>
      <w:r w:rsidR="00C12014" w:rsidRPr="00490C53">
        <w:rPr>
          <w:rFonts w:cstheme="minorHAnsi"/>
          <w:szCs w:val="24"/>
        </w:rPr>
        <w:t>Covid-19 Loan Guarantee Schemes</w:t>
      </w:r>
      <w:r w:rsidR="00C12014" w:rsidRPr="199308D0">
        <w:rPr>
          <w:rFonts w:eastAsiaTheme="minorEastAsia"/>
        </w:rPr>
        <w:t xml:space="preserve">. Details on the characteristics included in the Propensity Score Matching can be found in the discussion of the data. </w:t>
      </w:r>
    </w:p>
    <w:p w14:paraId="198629B4" w14:textId="67D98CBD" w:rsidR="00C12014" w:rsidRPr="00490C53" w:rsidRDefault="00C12014" w:rsidP="00C12014">
      <w:r w:rsidRPr="00490C53">
        <w:t xml:space="preserve">Once the propensity scores have been calculated, each loan business is matched to the </w:t>
      </w:r>
      <w:r w:rsidR="001258D5">
        <w:t>non-borrower</w:t>
      </w:r>
      <w:r w:rsidRPr="00490C53">
        <w:t xml:space="preserve"> with the closest propensity score (</w:t>
      </w:r>
      <w:proofErr w:type="gramStart"/>
      <w:r w:rsidRPr="00490C53">
        <w:t>i.e.</w:t>
      </w:r>
      <w:proofErr w:type="gramEnd"/>
      <w:r w:rsidRPr="00490C53">
        <w:t xml:space="preserve"> the ‘nearest neighbour’).</w:t>
      </w:r>
    </w:p>
    <w:p w14:paraId="4AFAAEB7" w14:textId="3480D500" w:rsidR="00C12014" w:rsidRPr="00490C53" w:rsidRDefault="00C12014" w:rsidP="00C12014">
      <w:r w:rsidRPr="00490C53">
        <w:t xml:space="preserve">The matching algorithm also specifies a maximum allowable discrepancy in the propensity score between the treatment business and its matched </w:t>
      </w:r>
      <w:r w:rsidR="001258D5">
        <w:t>non-borrower</w:t>
      </w:r>
      <w:r w:rsidR="001258D5" w:rsidRPr="00490C53">
        <w:t xml:space="preserve"> </w:t>
      </w:r>
      <w:r w:rsidRPr="00490C53">
        <w:t>(referred to as a ca</w:t>
      </w:r>
      <w:r w:rsidR="00DC510F">
        <w:t>l</w:t>
      </w:r>
      <w:r w:rsidRPr="00490C53">
        <w:t xml:space="preserve">liper). This ensures a minimum quality of match between the </w:t>
      </w:r>
      <w:r w:rsidR="001258D5">
        <w:t>borrower</w:t>
      </w:r>
      <w:r w:rsidR="001258D5" w:rsidRPr="00490C53">
        <w:t xml:space="preserve"> </w:t>
      </w:r>
      <w:r w:rsidRPr="00490C53">
        <w:t xml:space="preserve">and </w:t>
      </w:r>
      <w:r w:rsidR="001258D5">
        <w:t xml:space="preserve">non-borrower </w:t>
      </w:r>
      <w:r w:rsidRPr="00490C53">
        <w:t xml:space="preserve">groups but leads to the exclusion of loan businesses that are not similar enough in propensity score to any </w:t>
      </w:r>
      <w:r w:rsidR="001258D5">
        <w:t>non-borrowers</w:t>
      </w:r>
      <w:r w:rsidRPr="00490C53">
        <w:t>. The cal</w:t>
      </w:r>
      <w:r w:rsidR="00DC510F">
        <w:t>l</w:t>
      </w:r>
      <w:r w:rsidRPr="00490C53">
        <w:t xml:space="preserve">iper is equal to one fifth of a standard deviation of the propensity scores. </w:t>
      </w:r>
    </w:p>
    <w:p w14:paraId="0E0D7188" w14:textId="1D06DC9D" w:rsidR="00C12014" w:rsidRPr="00490C53" w:rsidRDefault="00C12014" w:rsidP="00C12014">
      <w:r w:rsidRPr="00490C53">
        <w:t xml:space="preserve">The algorithm also allows for replacement, </w:t>
      </w:r>
      <w:proofErr w:type="gramStart"/>
      <w:r w:rsidRPr="00490C53">
        <w:t>i.e.</w:t>
      </w:r>
      <w:proofErr w:type="gramEnd"/>
      <w:r w:rsidRPr="00490C53">
        <w:t xml:space="preserve"> one </w:t>
      </w:r>
      <w:r w:rsidR="001258D5">
        <w:t>non-borrower</w:t>
      </w:r>
      <w:r w:rsidRPr="00490C53">
        <w:t xml:space="preserve"> can be matched to multiple different businesses in the treatment group. The advantage of this is that the closest match is </w:t>
      </w:r>
      <w:r w:rsidRPr="00490C53">
        <w:lastRenderedPageBreak/>
        <w:t xml:space="preserve">always used (thereby reducing bias of estimates), however this means that some </w:t>
      </w:r>
      <w:r w:rsidR="001258D5">
        <w:t>non-borrowers</w:t>
      </w:r>
      <w:r w:rsidRPr="00490C53">
        <w:t xml:space="preserve"> can be used multiple times reducing the overall sample size (thereby increasing variance of estimates).</w:t>
      </w:r>
    </w:p>
    <w:p w14:paraId="34C93A16" w14:textId="7864A113" w:rsidR="00C12014" w:rsidRPr="00490C53" w:rsidRDefault="00C12014" w:rsidP="00C12014">
      <w:r w:rsidRPr="00490C53">
        <w:t xml:space="preserve">Additionally, </w:t>
      </w:r>
      <w:r w:rsidR="00631DF9" w:rsidRPr="00490C53">
        <w:t>two further restrictions are applied. Firstly,</w:t>
      </w:r>
      <w:r w:rsidRPr="00490C53">
        <w:t xml:space="preserve"> treatment businesses with a propensity score outside the range of propensity scores observed among </w:t>
      </w:r>
      <w:r w:rsidR="001258D5">
        <w:t>non-borrowers</w:t>
      </w:r>
      <w:r w:rsidRPr="00490C53">
        <w:t xml:space="preserve"> are excluded. For example, if a business in the treatment group has a propensity score above the largest propensity score </w:t>
      </w:r>
      <w:r w:rsidR="00D35B42">
        <w:t xml:space="preserve">among </w:t>
      </w:r>
      <w:r w:rsidR="001258D5">
        <w:t>non-borrowers</w:t>
      </w:r>
      <w:r w:rsidRPr="00490C53">
        <w:t xml:space="preserve">, then it will be excluded. This is important as for these loan businesses, there is no suitably similar </w:t>
      </w:r>
      <w:r w:rsidR="00D35B42">
        <w:t>non-borrower</w:t>
      </w:r>
      <w:r w:rsidRPr="00490C53">
        <w:t xml:space="preserve"> with which to match it.</w:t>
      </w:r>
      <w:r w:rsidR="00274A11" w:rsidRPr="00490C53">
        <w:t xml:space="preserve"> Secondly, </w:t>
      </w:r>
      <w:r w:rsidR="000F3ED0" w:rsidRPr="00490C53">
        <w:t xml:space="preserve">treatment </w:t>
      </w:r>
      <w:r w:rsidR="00242FD9" w:rsidRPr="00490C53">
        <w:t>businesses</w:t>
      </w:r>
      <w:r w:rsidR="000F3ED0" w:rsidRPr="00490C53">
        <w:t xml:space="preserve"> are only matched to </w:t>
      </w:r>
      <w:r w:rsidR="00D35B42">
        <w:t>non-borrowers</w:t>
      </w:r>
      <w:r w:rsidR="000F3ED0" w:rsidRPr="00490C53">
        <w:t xml:space="preserve"> which have </w:t>
      </w:r>
      <w:r w:rsidR="00242FD9" w:rsidRPr="00490C53">
        <w:t xml:space="preserve">turnover (or employment) data populated in the same years. This </w:t>
      </w:r>
      <w:r w:rsidR="007021CE" w:rsidRPr="00490C53">
        <w:t>helps to ensure that the</w:t>
      </w:r>
      <w:r w:rsidR="004C5D8D" w:rsidRPr="00490C53">
        <w:t xml:space="preserve"> similarity of the treatment and control group</w:t>
      </w:r>
      <w:r w:rsidR="0066148F" w:rsidRPr="00490C53">
        <w:t xml:space="preserve"> (measured by pre-pandemic characteristics)</w:t>
      </w:r>
      <w:r w:rsidR="004C5D8D" w:rsidRPr="00490C53">
        <w:t xml:space="preserve"> is maintained across the three years of the analysis.</w:t>
      </w:r>
      <w:r w:rsidRPr="00490C53">
        <w:rPr>
          <w:rStyle w:val="FootnoteReference"/>
        </w:rPr>
        <w:footnoteReference w:id="130"/>
      </w:r>
    </w:p>
    <w:p w14:paraId="67742738" w14:textId="12B8028C" w:rsidR="007938A8" w:rsidRPr="00490C53" w:rsidRDefault="005A6F81" w:rsidP="005F038B">
      <w:r w:rsidRPr="00490C53">
        <w:t xml:space="preserve">The underlying goal of PSM is to </w:t>
      </w:r>
      <w:r w:rsidR="007B5563" w:rsidRPr="00490C53">
        <w:t xml:space="preserve">identify a </w:t>
      </w:r>
      <w:r w:rsidR="00883C3B" w:rsidRPr="00490C53">
        <w:t xml:space="preserve">set of treatment and control businesses such that the only significant differences between the two </w:t>
      </w:r>
      <w:r w:rsidR="00412378" w:rsidRPr="00490C53">
        <w:t xml:space="preserve">is that one group received the treatment, and the other did not. The PSM substantially reduces the differences between the loan and </w:t>
      </w:r>
      <w:r w:rsidR="00D35B42">
        <w:t>non-borrower</w:t>
      </w:r>
      <w:r w:rsidR="00D35B42" w:rsidRPr="00490C53">
        <w:t xml:space="preserve"> </w:t>
      </w:r>
      <w:r w:rsidR="00412378" w:rsidRPr="00490C53">
        <w:t xml:space="preserve">samples. </w:t>
      </w:r>
      <w:r w:rsidR="00700F7A" w:rsidRPr="00490C53">
        <w:t xml:space="preserve">This is by approximately </w:t>
      </w:r>
      <w:r w:rsidR="005F038B" w:rsidRPr="00490C53">
        <w:t>70% for the BBLS sample and 66% for the CBILS/CLBILS sample</w:t>
      </w:r>
      <w:r w:rsidR="00163E55" w:rsidRPr="00490C53">
        <w:t xml:space="preserve">. The tables that follow show the differences in prevalence of characteristics included in the PSM for the </w:t>
      </w:r>
      <w:r w:rsidR="00D35B42">
        <w:t>borrower</w:t>
      </w:r>
      <w:r w:rsidR="00D35B42" w:rsidRPr="00490C53">
        <w:t xml:space="preserve"> </w:t>
      </w:r>
      <w:r w:rsidR="00163E55" w:rsidRPr="00490C53">
        <w:t xml:space="preserve">and </w:t>
      </w:r>
      <w:r w:rsidR="00D35B42">
        <w:t>non-borrower</w:t>
      </w:r>
      <w:r w:rsidR="00D35B42" w:rsidRPr="00490C53">
        <w:t xml:space="preserve"> </w:t>
      </w:r>
      <w:r w:rsidR="00163E55" w:rsidRPr="00490C53">
        <w:t>groups, before and after the PSM.</w:t>
      </w:r>
    </w:p>
    <w:p w14:paraId="6968EFA2" w14:textId="523D6EAF" w:rsidR="002B5D18" w:rsidRPr="00490C53" w:rsidRDefault="002B5D18" w:rsidP="002B5D18">
      <w:pPr>
        <w:pStyle w:val="Heading5"/>
      </w:pPr>
      <w:bookmarkStart w:id="264" w:name="_Ref124159516"/>
      <w:bookmarkStart w:id="265" w:name="_Ref124159509"/>
      <w:r w:rsidRPr="00490C53">
        <w:t xml:space="preserve">Table </w:t>
      </w:r>
      <w:r w:rsidRPr="00846F78">
        <w:fldChar w:fldCharType="begin"/>
      </w:r>
      <w:r w:rsidRPr="00490C53">
        <w:instrText xml:space="preserve"> SEQ Table \* ARABIC </w:instrText>
      </w:r>
      <w:r w:rsidRPr="00846F78">
        <w:fldChar w:fldCharType="separate"/>
      </w:r>
      <w:r w:rsidR="00397D49">
        <w:rPr>
          <w:noProof/>
        </w:rPr>
        <w:t>23</w:t>
      </w:r>
      <w:r w:rsidRPr="00846F78">
        <w:fldChar w:fldCharType="end"/>
      </w:r>
      <w:bookmarkEnd w:id="264"/>
      <w:r w:rsidRPr="00490C53">
        <w:t xml:space="preserve">: Balance table </w:t>
      </w:r>
      <w:r w:rsidR="00DC510F">
        <w:t>–</w:t>
      </w:r>
      <w:r w:rsidRPr="00490C53">
        <w:t xml:space="preserve"> BBLS</w:t>
      </w:r>
      <w:bookmarkEnd w:id="265"/>
    </w:p>
    <w:tbl>
      <w:tblPr>
        <w:tblStyle w:val="TableGrid"/>
        <w:tblW w:w="5000" w:type="pct"/>
        <w:tblLayout w:type="fixed"/>
        <w:tblLook w:val="04A0" w:firstRow="1" w:lastRow="0" w:firstColumn="1" w:lastColumn="0" w:noHBand="0" w:noVBand="1"/>
      </w:tblPr>
      <w:tblGrid>
        <w:gridCol w:w="1984"/>
        <w:gridCol w:w="2126"/>
        <w:gridCol w:w="3022"/>
        <w:gridCol w:w="3022"/>
      </w:tblGrid>
      <w:tr w:rsidR="002B5D18" w:rsidRPr="00490C53" w14:paraId="3F8D468F"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977" w:type="pct"/>
            <w:noWrap/>
            <w:vAlign w:val="center"/>
            <w:hideMark/>
          </w:tcPr>
          <w:p w14:paraId="79BDF8DC" w14:textId="77777777" w:rsidR="002B5D18" w:rsidRPr="00490C53" w:rsidRDefault="002B5D18">
            <w:pPr>
              <w:pStyle w:val="Tablecolumnheading-white"/>
              <w:rPr>
                <w:lang w:eastAsia="en-GB"/>
              </w:rPr>
            </w:pPr>
            <w:r w:rsidRPr="00490C53">
              <w:rPr>
                <w:lang w:eastAsia="en-GB"/>
              </w:rPr>
              <w:t>Characteristic</w:t>
            </w:r>
          </w:p>
        </w:tc>
        <w:tc>
          <w:tcPr>
            <w:tcW w:w="1047" w:type="pct"/>
            <w:noWrap/>
            <w:vAlign w:val="center"/>
            <w:hideMark/>
          </w:tcPr>
          <w:p w14:paraId="0800F60E" w14:textId="77777777" w:rsidR="002B5D18" w:rsidRPr="00490C53" w:rsidRDefault="002B5D18">
            <w:pPr>
              <w:pStyle w:val="Tablecolumnheading-white"/>
              <w:rPr>
                <w:lang w:eastAsia="en-GB"/>
              </w:rPr>
            </w:pPr>
            <w:r w:rsidRPr="00490C53">
              <w:rPr>
                <w:lang w:eastAsia="en-GB"/>
              </w:rPr>
              <w:t>Feature</w:t>
            </w:r>
          </w:p>
        </w:tc>
        <w:tc>
          <w:tcPr>
            <w:tcW w:w="1488" w:type="pct"/>
            <w:noWrap/>
            <w:vAlign w:val="center"/>
            <w:hideMark/>
          </w:tcPr>
          <w:p w14:paraId="27EC1A61" w14:textId="4E241F52" w:rsidR="002B5D18" w:rsidRPr="00490C53" w:rsidRDefault="002B5D18">
            <w:pPr>
              <w:pStyle w:val="Tabletext"/>
              <w:spacing w:before="0"/>
              <w:jc w:val="right"/>
              <w:rPr>
                <w:rFonts w:cstheme="minorHAnsi"/>
                <w:b w:val="0"/>
                <w:color w:val="FFFFFF" w:themeColor="background1"/>
                <w:szCs w:val="24"/>
                <w:lang w:eastAsia="en-GB"/>
              </w:rPr>
            </w:pPr>
            <w:r w:rsidRPr="00490C53">
              <w:rPr>
                <w:rFonts w:asciiTheme="minorHAnsi" w:hAnsiTheme="minorHAnsi" w:cstheme="minorHAnsi"/>
                <w:color w:val="FFFFFF" w:themeColor="background1"/>
                <w:szCs w:val="24"/>
                <w:lang w:eastAsia="en-GB"/>
              </w:rPr>
              <w:t xml:space="preserve">Difference in prevalence between </w:t>
            </w:r>
            <w:r w:rsidR="00D35B42">
              <w:rPr>
                <w:rFonts w:asciiTheme="minorHAnsi" w:hAnsiTheme="minorHAnsi" w:cstheme="minorHAnsi"/>
                <w:color w:val="FFFFFF" w:themeColor="background1"/>
                <w:szCs w:val="24"/>
                <w:lang w:eastAsia="en-GB"/>
              </w:rPr>
              <w:t>borrower</w:t>
            </w:r>
            <w:r w:rsidR="00D35B42" w:rsidRPr="00490C53">
              <w:rPr>
                <w:rFonts w:asciiTheme="minorHAnsi" w:hAnsiTheme="minorHAnsi" w:cstheme="minorHAnsi"/>
                <w:color w:val="FFFFFF" w:themeColor="background1"/>
                <w:szCs w:val="24"/>
                <w:lang w:eastAsia="en-GB"/>
              </w:rPr>
              <w:t xml:space="preserve"> </w:t>
            </w:r>
            <w:r w:rsidRPr="00490C53">
              <w:rPr>
                <w:rFonts w:asciiTheme="minorHAnsi" w:hAnsiTheme="minorHAnsi" w:cstheme="minorHAnsi"/>
                <w:color w:val="FFFFFF" w:themeColor="background1"/>
                <w:szCs w:val="24"/>
                <w:lang w:eastAsia="en-GB"/>
              </w:rPr>
              <w:t xml:space="preserve">and </w:t>
            </w:r>
            <w:r w:rsidR="00D35B42">
              <w:rPr>
                <w:rFonts w:asciiTheme="minorHAnsi" w:hAnsiTheme="minorHAnsi" w:cstheme="minorHAnsi"/>
                <w:color w:val="FFFFFF" w:themeColor="background1"/>
                <w:szCs w:val="24"/>
                <w:lang w:eastAsia="en-GB"/>
              </w:rPr>
              <w:t>non-borrower</w:t>
            </w:r>
            <w:r w:rsidR="00D35B42" w:rsidRPr="00490C53">
              <w:rPr>
                <w:rFonts w:asciiTheme="minorHAnsi" w:hAnsiTheme="minorHAnsi" w:cstheme="minorHAnsi"/>
                <w:color w:val="FFFFFF" w:themeColor="background1"/>
                <w:szCs w:val="24"/>
                <w:lang w:eastAsia="en-GB"/>
              </w:rPr>
              <w:t xml:space="preserve"> </w:t>
            </w:r>
            <w:r w:rsidRPr="00490C53">
              <w:rPr>
                <w:rFonts w:asciiTheme="minorHAnsi" w:hAnsiTheme="minorHAnsi" w:cstheme="minorHAnsi"/>
                <w:color w:val="FFFFFF" w:themeColor="background1"/>
                <w:szCs w:val="24"/>
                <w:lang w:eastAsia="en-GB"/>
              </w:rPr>
              <w:t>groups</w:t>
            </w:r>
          </w:p>
          <w:p w14:paraId="27BCC3EC" w14:textId="77777777" w:rsidR="002B5D18" w:rsidRPr="00490C53" w:rsidRDefault="002B5D18">
            <w:pPr>
              <w:pStyle w:val="Tablecolumnheading-white"/>
              <w:spacing w:before="0"/>
              <w:jc w:val="right"/>
              <w:rPr>
                <w:lang w:eastAsia="en-GB"/>
              </w:rPr>
            </w:pPr>
            <w:r w:rsidRPr="00490C53">
              <w:rPr>
                <w:rFonts w:asciiTheme="minorHAnsi" w:hAnsiTheme="minorHAnsi" w:cstheme="minorHAnsi"/>
                <w:szCs w:val="24"/>
                <w:lang w:eastAsia="en-GB"/>
              </w:rPr>
              <w:t xml:space="preserve"> (Full Sample)</w:t>
            </w:r>
          </w:p>
        </w:tc>
        <w:tc>
          <w:tcPr>
            <w:tcW w:w="1488" w:type="pct"/>
            <w:noWrap/>
            <w:vAlign w:val="center"/>
            <w:hideMark/>
          </w:tcPr>
          <w:p w14:paraId="0FB4EF8E" w14:textId="56B1E966" w:rsidR="002B5D18" w:rsidRPr="00490C53" w:rsidRDefault="002B5D18">
            <w:pPr>
              <w:pStyle w:val="Tabletext"/>
              <w:jc w:val="right"/>
              <w:rPr>
                <w:rFonts w:cstheme="minorHAnsi"/>
                <w:b w:val="0"/>
                <w:color w:val="FFFFFF" w:themeColor="background1"/>
                <w:szCs w:val="24"/>
                <w:lang w:eastAsia="en-GB"/>
              </w:rPr>
            </w:pPr>
            <w:r w:rsidRPr="00490C53">
              <w:rPr>
                <w:rFonts w:asciiTheme="minorHAnsi" w:hAnsiTheme="minorHAnsi" w:cstheme="minorHAnsi"/>
                <w:color w:val="FFFFFF" w:themeColor="background1"/>
                <w:szCs w:val="24"/>
                <w:lang w:eastAsia="en-GB"/>
              </w:rPr>
              <w:t xml:space="preserve">Difference in prevalence between </w:t>
            </w:r>
            <w:r w:rsidR="00D35B42">
              <w:rPr>
                <w:rFonts w:asciiTheme="minorHAnsi" w:hAnsiTheme="minorHAnsi" w:cstheme="minorHAnsi"/>
                <w:color w:val="FFFFFF" w:themeColor="background1"/>
                <w:szCs w:val="24"/>
                <w:lang w:eastAsia="en-GB"/>
              </w:rPr>
              <w:t>borrower</w:t>
            </w:r>
            <w:r w:rsidR="00D35B42" w:rsidRPr="00490C53">
              <w:rPr>
                <w:rFonts w:asciiTheme="minorHAnsi" w:hAnsiTheme="minorHAnsi" w:cstheme="minorHAnsi"/>
                <w:color w:val="FFFFFF" w:themeColor="background1"/>
                <w:szCs w:val="24"/>
                <w:lang w:eastAsia="en-GB"/>
              </w:rPr>
              <w:t xml:space="preserve"> </w:t>
            </w:r>
            <w:r w:rsidRPr="00490C53">
              <w:rPr>
                <w:rFonts w:asciiTheme="minorHAnsi" w:hAnsiTheme="minorHAnsi" w:cstheme="minorHAnsi"/>
                <w:color w:val="FFFFFF" w:themeColor="background1"/>
                <w:szCs w:val="24"/>
                <w:lang w:eastAsia="en-GB"/>
              </w:rPr>
              <w:t xml:space="preserve">and </w:t>
            </w:r>
            <w:r w:rsidR="00D35B42">
              <w:rPr>
                <w:rFonts w:asciiTheme="minorHAnsi" w:hAnsiTheme="minorHAnsi" w:cstheme="minorHAnsi"/>
                <w:color w:val="FFFFFF" w:themeColor="background1"/>
                <w:szCs w:val="24"/>
                <w:lang w:eastAsia="en-GB"/>
              </w:rPr>
              <w:t>non-borrower</w:t>
            </w:r>
            <w:r w:rsidR="00D35B42" w:rsidRPr="00490C53">
              <w:rPr>
                <w:rFonts w:asciiTheme="minorHAnsi" w:hAnsiTheme="minorHAnsi" w:cstheme="minorHAnsi"/>
                <w:color w:val="FFFFFF" w:themeColor="background1"/>
                <w:szCs w:val="24"/>
                <w:lang w:eastAsia="en-GB"/>
              </w:rPr>
              <w:t xml:space="preserve"> </w:t>
            </w:r>
            <w:r w:rsidRPr="00490C53">
              <w:rPr>
                <w:rFonts w:asciiTheme="minorHAnsi" w:hAnsiTheme="minorHAnsi" w:cstheme="minorHAnsi"/>
                <w:color w:val="FFFFFF" w:themeColor="background1"/>
                <w:szCs w:val="24"/>
                <w:lang w:eastAsia="en-GB"/>
              </w:rPr>
              <w:t xml:space="preserve">groups </w:t>
            </w:r>
          </w:p>
          <w:p w14:paraId="2B56E49E" w14:textId="77777777" w:rsidR="002B5D18" w:rsidRPr="00490C53" w:rsidRDefault="002B5D18">
            <w:pPr>
              <w:pStyle w:val="Tablecolumnheading-white"/>
              <w:spacing w:before="0"/>
              <w:jc w:val="right"/>
              <w:rPr>
                <w:lang w:eastAsia="en-GB"/>
              </w:rPr>
            </w:pPr>
            <w:r w:rsidRPr="00490C53">
              <w:rPr>
                <w:rFonts w:asciiTheme="minorHAnsi" w:hAnsiTheme="minorHAnsi" w:cstheme="minorHAnsi"/>
                <w:szCs w:val="24"/>
                <w:lang w:eastAsia="en-GB"/>
              </w:rPr>
              <w:t>(After PSM)</w:t>
            </w:r>
          </w:p>
        </w:tc>
      </w:tr>
      <w:tr w:rsidR="002B5D18" w:rsidRPr="00490C53" w14:paraId="7470164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hideMark/>
          </w:tcPr>
          <w:p w14:paraId="29D8A887" w14:textId="77777777" w:rsidR="002B5D18" w:rsidRPr="00490C53" w:rsidRDefault="002B5D18">
            <w:pPr>
              <w:pStyle w:val="Tabletext"/>
              <w:rPr>
                <w:lang w:eastAsia="en-GB"/>
              </w:rPr>
            </w:pPr>
            <w:r w:rsidRPr="00490C53">
              <w:rPr>
                <w:lang w:eastAsia="en-GB"/>
              </w:rPr>
              <w:t>Business Interruption</w:t>
            </w:r>
          </w:p>
        </w:tc>
        <w:tc>
          <w:tcPr>
            <w:tcW w:w="1047" w:type="pct"/>
            <w:noWrap/>
            <w:vAlign w:val="center"/>
            <w:hideMark/>
          </w:tcPr>
          <w:p w14:paraId="77C60EF1" w14:textId="77777777" w:rsidR="002B5D18" w:rsidRPr="00490C53" w:rsidRDefault="002B5D18">
            <w:pPr>
              <w:pStyle w:val="Tabletext"/>
              <w:rPr>
                <w:lang w:eastAsia="en-GB"/>
              </w:rPr>
            </w:pPr>
            <w:r w:rsidRPr="00490C53">
              <w:rPr>
                <w:lang w:eastAsia="en-GB"/>
              </w:rPr>
              <w:t>Changes for Covid-19 compliance</w:t>
            </w:r>
          </w:p>
        </w:tc>
        <w:tc>
          <w:tcPr>
            <w:tcW w:w="1488" w:type="pct"/>
            <w:noWrap/>
            <w:vAlign w:val="center"/>
          </w:tcPr>
          <w:p w14:paraId="043833D5" w14:textId="77777777" w:rsidR="002B5D18" w:rsidRPr="00490C53" w:rsidRDefault="002B5D18">
            <w:pPr>
              <w:pStyle w:val="Tabletext"/>
              <w:jc w:val="right"/>
              <w:rPr>
                <w:lang w:eastAsia="en-GB"/>
              </w:rPr>
            </w:pPr>
            <w:r w:rsidRPr="00490C53">
              <w:t>2.07%</w:t>
            </w:r>
          </w:p>
        </w:tc>
        <w:tc>
          <w:tcPr>
            <w:tcW w:w="1488" w:type="pct"/>
            <w:noWrap/>
            <w:vAlign w:val="center"/>
          </w:tcPr>
          <w:p w14:paraId="7B2924A7" w14:textId="77777777" w:rsidR="002B5D18" w:rsidRPr="00490C53" w:rsidRDefault="002B5D18">
            <w:pPr>
              <w:pStyle w:val="Tabletext"/>
              <w:jc w:val="right"/>
              <w:rPr>
                <w:lang w:eastAsia="en-GB"/>
              </w:rPr>
            </w:pPr>
            <w:r w:rsidRPr="00490C53">
              <w:t>0.34%</w:t>
            </w:r>
          </w:p>
        </w:tc>
      </w:tr>
      <w:tr w:rsidR="002B5D18" w:rsidRPr="00490C53" w14:paraId="2FA2A71A" w14:textId="77777777">
        <w:tblPrEx>
          <w:tblCellMar>
            <w:left w:w="108" w:type="dxa"/>
            <w:right w:w="108" w:type="dxa"/>
          </w:tblCellMar>
        </w:tblPrEx>
        <w:trPr>
          <w:trHeight w:val="290"/>
        </w:trPr>
        <w:tc>
          <w:tcPr>
            <w:tcW w:w="977" w:type="pct"/>
            <w:noWrap/>
            <w:vAlign w:val="center"/>
          </w:tcPr>
          <w:p w14:paraId="0B1456BA" w14:textId="77777777" w:rsidR="002B5D18" w:rsidRPr="00490C53" w:rsidRDefault="002B5D18">
            <w:pPr>
              <w:pStyle w:val="Tabletext"/>
              <w:rPr>
                <w:lang w:eastAsia="en-GB"/>
              </w:rPr>
            </w:pPr>
          </w:p>
        </w:tc>
        <w:tc>
          <w:tcPr>
            <w:tcW w:w="1047" w:type="pct"/>
            <w:noWrap/>
            <w:vAlign w:val="center"/>
            <w:hideMark/>
          </w:tcPr>
          <w:p w14:paraId="264FCD74" w14:textId="77777777" w:rsidR="002B5D18" w:rsidRPr="00490C53" w:rsidRDefault="002B5D18">
            <w:pPr>
              <w:pStyle w:val="Tabletext"/>
              <w:rPr>
                <w:lang w:eastAsia="en-GB"/>
              </w:rPr>
            </w:pPr>
            <w:r w:rsidRPr="00490C53">
              <w:rPr>
                <w:lang w:eastAsia="en-GB"/>
              </w:rPr>
              <w:t>Access to External Finance</w:t>
            </w:r>
          </w:p>
        </w:tc>
        <w:tc>
          <w:tcPr>
            <w:tcW w:w="1488" w:type="pct"/>
            <w:noWrap/>
            <w:vAlign w:val="center"/>
          </w:tcPr>
          <w:p w14:paraId="5E89913D" w14:textId="77777777" w:rsidR="002B5D18" w:rsidRPr="00490C53" w:rsidRDefault="002B5D18">
            <w:pPr>
              <w:pStyle w:val="Tabletext"/>
              <w:jc w:val="right"/>
              <w:rPr>
                <w:lang w:eastAsia="en-GB"/>
              </w:rPr>
            </w:pPr>
            <w:r w:rsidRPr="00490C53">
              <w:t>2.41%</w:t>
            </w:r>
          </w:p>
        </w:tc>
        <w:tc>
          <w:tcPr>
            <w:tcW w:w="1488" w:type="pct"/>
            <w:noWrap/>
            <w:vAlign w:val="center"/>
          </w:tcPr>
          <w:p w14:paraId="5E95B08B" w14:textId="77777777" w:rsidR="002B5D18" w:rsidRPr="00490C53" w:rsidRDefault="002B5D18">
            <w:pPr>
              <w:pStyle w:val="Tabletext"/>
              <w:jc w:val="right"/>
              <w:rPr>
                <w:lang w:eastAsia="en-GB"/>
              </w:rPr>
            </w:pPr>
            <w:r w:rsidRPr="00490C53">
              <w:t>1.03%</w:t>
            </w:r>
          </w:p>
        </w:tc>
      </w:tr>
      <w:tr w:rsidR="002B5D18" w:rsidRPr="00490C53" w14:paraId="6E605DA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0DF16BC9" w14:textId="77777777" w:rsidR="002B5D18" w:rsidRPr="00490C53" w:rsidRDefault="002B5D18">
            <w:pPr>
              <w:pStyle w:val="Tabletext"/>
              <w:rPr>
                <w:lang w:eastAsia="en-GB"/>
              </w:rPr>
            </w:pPr>
          </w:p>
        </w:tc>
        <w:tc>
          <w:tcPr>
            <w:tcW w:w="1047" w:type="pct"/>
            <w:noWrap/>
            <w:vAlign w:val="center"/>
            <w:hideMark/>
          </w:tcPr>
          <w:p w14:paraId="01C0C19C" w14:textId="77777777" w:rsidR="002B5D18" w:rsidRPr="00490C53" w:rsidRDefault="002B5D18">
            <w:pPr>
              <w:pStyle w:val="Tabletext"/>
              <w:rPr>
                <w:lang w:eastAsia="en-GB"/>
              </w:rPr>
            </w:pPr>
            <w:r w:rsidRPr="00490C53">
              <w:rPr>
                <w:lang w:eastAsia="en-GB"/>
              </w:rPr>
              <w:t>Issues with Late Payment</w:t>
            </w:r>
          </w:p>
        </w:tc>
        <w:tc>
          <w:tcPr>
            <w:tcW w:w="1488" w:type="pct"/>
            <w:noWrap/>
            <w:vAlign w:val="center"/>
          </w:tcPr>
          <w:p w14:paraId="5AD02B01" w14:textId="77777777" w:rsidR="002B5D18" w:rsidRPr="00490C53" w:rsidRDefault="002B5D18">
            <w:pPr>
              <w:pStyle w:val="Tabletext"/>
              <w:jc w:val="right"/>
              <w:rPr>
                <w:lang w:eastAsia="en-GB"/>
              </w:rPr>
            </w:pPr>
            <w:r w:rsidRPr="00490C53">
              <w:t>8.62%</w:t>
            </w:r>
          </w:p>
        </w:tc>
        <w:tc>
          <w:tcPr>
            <w:tcW w:w="1488" w:type="pct"/>
            <w:noWrap/>
            <w:vAlign w:val="center"/>
          </w:tcPr>
          <w:p w14:paraId="7F0E9B14" w14:textId="77777777" w:rsidR="002B5D18" w:rsidRPr="00490C53" w:rsidRDefault="002B5D18">
            <w:pPr>
              <w:pStyle w:val="Tabletext"/>
              <w:jc w:val="right"/>
              <w:rPr>
                <w:lang w:eastAsia="en-GB"/>
              </w:rPr>
            </w:pPr>
            <w:r w:rsidRPr="00490C53">
              <w:t>0.17%</w:t>
            </w:r>
          </w:p>
        </w:tc>
      </w:tr>
      <w:tr w:rsidR="002B5D18" w:rsidRPr="00490C53" w14:paraId="10CF1F38" w14:textId="77777777">
        <w:tblPrEx>
          <w:tblCellMar>
            <w:left w:w="108" w:type="dxa"/>
            <w:right w:w="108" w:type="dxa"/>
          </w:tblCellMar>
        </w:tblPrEx>
        <w:trPr>
          <w:trHeight w:val="290"/>
        </w:trPr>
        <w:tc>
          <w:tcPr>
            <w:tcW w:w="977" w:type="pct"/>
            <w:noWrap/>
            <w:vAlign w:val="center"/>
          </w:tcPr>
          <w:p w14:paraId="01F6A92B" w14:textId="77777777" w:rsidR="002B5D18" w:rsidRPr="00490C53" w:rsidRDefault="002B5D18">
            <w:pPr>
              <w:pStyle w:val="Tabletext"/>
              <w:rPr>
                <w:lang w:eastAsia="en-GB"/>
              </w:rPr>
            </w:pPr>
          </w:p>
        </w:tc>
        <w:tc>
          <w:tcPr>
            <w:tcW w:w="1047" w:type="pct"/>
            <w:noWrap/>
            <w:vAlign w:val="center"/>
            <w:hideMark/>
          </w:tcPr>
          <w:p w14:paraId="6EC478B6" w14:textId="77777777" w:rsidR="002B5D18" w:rsidRPr="00490C53" w:rsidRDefault="002B5D18">
            <w:pPr>
              <w:pStyle w:val="Tabletext"/>
              <w:rPr>
                <w:lang w:eastAsia="en-GB"/>
              </w:rPr>
            </w:pPr>
            <w:r w:rsidRPr="00490C53">
              <w:rPr>
                <w:lang w:eastAsia="en-GB"/>
              </w:rPr>
              <w:t>Changes in Market Demand</w:t>
            </w:r>
          </w:p>
        </w:tc>
        <w:tc>
          <w:tcPr>
            <w:tcW w:w="1488" w:type="pct"/>
            <w:noWrap/>
            <w:vAlign w:val="center"/>
          </w:tcPr>
          <w:p w14:paraId="0257D0C4" w14:textId="77777777" w:rsidR="002B5D18" w:rsidRPr="00490C53" w:rsidRDefault="002B5D18">
            <w:pPr>
              <w:pStyle w:val="Tabletext"/>
              <w:jc w:val="right"/>
              <w:rPr>
                <w:lang w:eastAsia="en-GB"/>
              </w:rPr>
            </w:pPr>
            <w:r w:rsidRPr="00490C53">
              <w:t>12.04%</w:t>
            </w:r>
          </w:p>
        </w:tc>
        <w:tc>
          <w:tcPr>
            <w:tcW w:w="1488" w:type="pct"/>
            <w:noWrap/>
            <w:vAlign w:val="center"/>
          </w:tcPr>
          <w:p w14:paraId="7DF08FF1" w14:textId="77777777" w:rsidR="002B5D18" w:rsidRPr="00490C53" w:rsidRDefault="002B5D18">
            <w:pPr>
              <w:pStyle w:val="Tabletext"/>
              <w:jc w:val="right"/>
              <w:rPr>
                <w:lang w:eastAsia="en-GB"/>
              </w:rPr>
            </w:pPr>
            <w:r w:rsidRPr="00490C53">
              <w:t>3.10%</w:t>
            </w:r>
          </w:p>
        </w:tc>
      </w:tr>
      <w:tr w:rsidR="002B5D18" w:rsidRPr="00490C53" w14:paraId="4CB2963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74ED6BE6" w14:textId="77777777" w:rsidR="002B5D18" w:rsidRPr="00490C53" w:rsidRDefault="002B5D18">
            <w:pPr>
              <w:pStyle w:val="Tabletext"/>
              <w:rPr>
                <w:lang w:eastAsia="en-GB"/>
              </w:rPr>
            </w:pPr>
          </w:p>
        </w:tc>
        <w:tc>
          <w:tcPr>
            <w:tcW w:w="1047" w:type="pct"/>
            <w:noWrap/>
            <w:vAlign w:val="center"/>
            <w:hideMark/>
          </w:tcPr>
          <w:p w14:paraId="53515E79" w14:textId="77777777" w:rsidR="002B5D18" w:rsidRPr="00490C53" w:rsidRDefault="002B5D18">
            <w:pPr>
              <w:pStyle w:val="Tabletext"/>
              <w:rPr>
                <w:lang w:eastAsia="en-GB"/>
              </w:rPr>
            </w:pPr>
            <w:r w:rsidRPr="00490C53">
              <w:rPr>
                <w:lang w:eastAsia="en-GB"/>
              </w:rPr>
              <w:t>Availability of Staff</w:t>
            </w:r>
          </w:p>
        </w:tc>
        <w:tc>
          <w:tcPr>
            <w:tcW w:w="1488" w:type="pct"/>
            <w:noWrap/>
            <w:vAlign w:val="center"/>
          </w:tcPr>
          <w:p w14:paraId="73A234FA" w14:textId="77777777" w:rsidR="002B5D18" w:rsidRPr="00490C53" w:rsidRDefault="002B5D18">
            <w:pPr>
              <w:pStyle w:val="Tabletext"/>
              <w:jc w:val="right"/>
              <w:rPr>
                <w:lang w:eastAsia="en-GB"/>
              </w:rPr>
            </w:pPr>
            <w:r w:rsidRPr="00490C53">
              <w:t>9.61%</w:t>
            </w:r>
          </w:p>
        </w:tc>
        <w:tc>
          <w:tcPr>
            <w:tcW w:w="1488" w:type="pct"/>
            <w:noWrap/>
            <w:vAlign w:val="center"/>
          </w:tcPr>
          <w:p w14:paraId="30D73FAD" w14:textId="77777777" w:rsidR="002B5D18" w:rsidRPr="00490C53" w:rsidRDefault="002B5D18">
            <w:pPr>
              <w:pStyle w:val="Tabletext"/>
              <w:jc w:val="right"/>
              <w:rPr>
                <w:lang w:eastAsia="en-GB"/>
              </w:rPr>
            </w:pPr>
            <w:r w:rsidRPr="00490C53">
              <w:t>1.38%</w:t>
            </w:r>
          </w:p>
        </w:tc>
      </w:tr>
      <w:tr w:rsidR="002B5D18" w:rsidRPr="00490C53" w14:paraId="7F6AD18A" w14:textId="77777777">
        <w:tblPrEx>
          <w:tblCellMar>
            <w:left w:w="108" w:type="dxa"/>
            <w:right w:w="108" w:type="dxa"/>
          </w:tblCellMar>
        </w:tblPrEx>
        <w:trPr>
          <w:trHeight w:val="290"/>
        </w:trPr>
        <w:tc>
          <w:tcPr>
            <w:tcW w:w="977" w:type="pct"/>
            <w:noWrap/>
            <w:vAlign w:val="center"/>
          </w:tcPr>
          <w:p w14:paraId="7A39383B" w14:textId="77777777" w:rsidR="002B5D18" w:rsidRPr="00490C53" w:rsidRDefault="002B5D18">
            <w:pPr>
              <w:pStyle w:val="Tabletext"/>
              <w:rPr>
                <w:lang w:eastAsia="en-GB"/>
              </w:rPr>
            </w:pPr>
          </w:p>
        </w:tc>
        <w:tc>
          <w:tcPr>
            <w:tcW w:w="1047" w:type="pct"/>
            <w:noWrap/>
            <w:vAlign w:val="center"/>
            <w:hideMark/>
          </w:tcPr>
          <w:p w14:paraId="002F2C7E" w14:textId="77777777" w:rsidR="002B5D18" w:rsidRPr="00490C53" w:rsidRDefault="002B5D18">
            <w:pPr>
              <w:pStyle w:val="Tabletext"/>
              <w:rPr>
                <w:lang w:eastAsia="en-GB"/>
              </w:rPr>
            </w:pPr>
            <w:r w:rsidRPr="00490C53">
              <w:rPr>
                <w:lang w:eastAsia="en-GB"/>
              </w:rPr>
              <w:t>Supply Chain Disruption</w:t>
            </w:r>
          </w:p>
        </w:tc>
        <w:tc>
          <w:tcPr>
            <w:tcW w:w="1488" w:type="pct"/>
            <w:noWrap/>
            <w:vAlign w:val="center"/>
          </w:tcPr>
          <w:p w14:paraId="2CCA9765" w14:textId="77777777" w:rsidR="002B5D18" w:rsidRPr="00490C53" w:rsidRDefault="002B5D18">
            <w:pPr>
              <w:pStyle w:val="Tabletext"/>
              <w:jc w:val="right"/>
              <w:rPr>
                <w:lang w:eastAsia="en-GB"/>
              </w:rPr>
            </w:pPr>
            <w:r w:rsidRPr="00490C53">
              <w:t>12.26%</w:t>
            </w:r>
          </w:p>
        </w:tc>
        <w:tc>
          <w:tcPr>
            <w:tcW w:w="1488" w:type="pct"/>
            <w:noWrap/>
            <w:vAlign w:val="center"/>
          </w:tcPr>
          <w:p w14:paraId="731ECB51" w14:textId="77777777" w:rsidR="002B5D18" w:rsidRPr="00490C53" w:rsidRDefault="002B5D18">
            <w:pPr>
              <w:pStyle w:val="Tabletext"/>
              <w:jc w:val="right"/>
              <w:rPr>
                <w:lang w:eastAsia="en-GB"/>
              </w:rPr>
            </w:pPr>
            <w:r w:rsidRPr="00490C53">
              <w:t>0.17%</w:t>
            </w:r>
          </w:p>
        </w:tc>
      </w:tr>
      <w:tr w:rsidR="002B5D18" w:rsidRPr="00490C53" w14:paraId="4B0590F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hideMark/>
          </w:tcPr>
          <w:p w14:paraId="3FF5A9B9" w14:textId="77777777" w:rsidR="002B5D18" w:rsidRPr="00490C53" w:rsidRDefault="002B5D18">
            <w:pPr>
              <w:pStyle w:val="Tabletext"/>
              <w:rPr>
                <w:lang w:eastAsia="en-GB"/>
              </w:rPr>
            </w:pPr>
            <w:r w:rsidRPr="00490C53">
              <w:rPr>
                <w:lang w:eastAsia="en-GB"/>
              </w:rPr>
              <w:t>Turnover</w:t>
            </w:r>
          </w:p>
        </w:tc>
        <w:tc>
          <w:tcPr>
            <w:tcW w:w="1047" w:type="pct"/>
            <w:noWrap/>
            <w:vAlign w:val="center"/>
            <w:hideMark/>
          </w:tcPr>
          <w:p w14:paraId="4E7CEB28" w14:textId="77777777" w:rsidR="002B5D18" w:rsidRPr="00490C53" w:rsidRDefault="002B5D18">
            <w:pPr>
              <w:pStyle w:val="Tabletext"/>
              <w:rPr>
                <w:lang w:eastAsia="en-GB"/>
              </w:rPr>
            </w:pPr>
            <w:r w:rsidRPr="00490C53">
              <w:rPr>
                <w:lang w:eastAsia="en-GB"/>
              </w:rPr>
              <w:t>less than 50,000</w:t>
            </w:r>
          </w:p>
        </w:tc>
        <w:tc>
          <w:tcPr>
            <w:tcW w:w="1488" w:type="pct"/>
            <w:noWrap/>
            <w:vAlign w:val="center"/>
          </w:tcPr>
          <w:p w14:paraId="29564C47" w14:textId="77777777" w:rsidR="002B5D18" w:rsidRPr="00490C53" w:rsidRDefault="002B5D18">
            <w:pPr>
              <w:pStyle w:val="Tabletext"/>
              <w:jc w:val="right"/>
              <w:rPr>
                <w:lang w:eastAsia="en-GB"/>
              </w:rPr>
            </w:pPr>
            <w:r w:rsidRPr="00490C53">
              <w:t>23.72%</w:t>
            </w:r>
          </w:p>
        </w:tc>
        <w:tc>
          <w:tcPr>
            <w:tcW w:w="1488" w:type="pct"/>
            <w:noWrap/>
            <w:vAlign w:val="center"/>
          </w:tcPr>
          <w:p w14:paraId="6EB90519" w14:textId="77777777" w:rsidR="002B5D18" w:rsidRPr="00490C53" w:rsidRDefault="002B5D18">
            <w:pPr>
              <w:pStyle w:val="Tabletext"/>
              <w:jc w:val="right"/>
              <w:rPr>
                <w:lang w:eastAsia="en-GB"/>
              </w:rPr>
            </w:pPr>
            <w:r w:rsidRPr="00490C53">
              <w:t>1.38%</w:t>
            </w:r>
          </w:p>
        </w:tc>
      </w:tr>
      <w:tr w:rsidR="002B5D18" w:rsidRPr="00490C53" w14:paraId="0DAE7EBF" w14:textId="77777777">
        <w:tblPrEx>
          <w:tblCellMar>
            <w:left w:w="108" w:type="dxa"/>
            <w:right w:w="108" w:type="dxa"/>
          </w:tblCellMar>
        </w:tblPrEx>
        <w:trPr>
          <w:trHeight w:val="290"/>
        </w:trPr>
        <w:tc>
          <w:tcPr>
            <w:tcW w:w="977" w:type="pct"/>
            <w:noWrap/>
            <w:vAlign w:val="center"/>
          </w:tcPr>
          <w:p w14:paraId="2F96F107" w14:textId="77777777" w:rsidR="002B5D18" w:rsidRPr="00490C53" w:rsidRDefault="002B5D18">
            <w:pPr>
              <w:pStyle w:val="Tabletext"/>
              <w:rPr>
                <w:lang w:eastAsia="en-GB"/>
              </w:rPr>
            </w:pPr>
          </w:p>
        </w:tc>
        <w:tc>
          <w:tcPr>
            <w:tcW w:w="1047" w:type="pct"/>
            <w:noWrap/>
            <w:vAlign w:val="center"/>
            <w:hideMark/>
          </w:tcPr>
          <w:p w14:paraId="4CA97435" w14:textId="77777777" w:rsidR="002B5D18" w:rsidRPr="00490C53" w:rsidRDefault="002B5D18">
            <w:pPr>
              <w:pStyle w:val="Tabletext"/>
              <w:rPr>
                <w:lang w:eastAsia="en-GB"/>
              </w:rPr>
            </w:pPr>
            <w:r w:rsidRPr="00490C53">
              <w:rPr>
                <w:lang w:eastAsia="en-GB"/>
              </w:rPr>
              <w:t>50,000 or more, but below 100,000</w:t>
            </w:r>
          </w:p>
        </w:tc>
        <w:tc>
          <w:tcPr>
            <w:tcW w:w="1488" w:type="pct"/>
            <w:noWrap/>
            <w:vAlign w:val="center"/>
          </w:tcPr>
          <w:p w14:paraId="1BDBE6DA" w14:textId="77777777" w:rsidR="002B5D18" w:rsidRPr="00490C53" w:rsidRDefault="002B5D18">
            <w:pPr>
              <w:pStyle w:val="Tabletext"/>
              <w:jc w:val="right"/>
              <w:rPr>
                <w:lang w:eastAsia="en-GB"/>
              </w:rPr>
            </w:pPr>
            <w:r w:rsidRPr="00490C53">
              <w:t>2.17%</w:t>
            </w:r>
          </w:p>
        </w:tc>
        <w:tc>
          <w:tcPr>
            <w:tcW w:w="1488" w:type="pct"/>
            <w:noWrap/>
            <w:vAlign w:val="center"/>
          </w:tcPr>
          <w:p w14:paraId="5E340B9D" w14:textId="77777777" w:rsidR="002B5D18" w:rsidRPr="00490C53" w:rsidRDefault="002B5D18">
            <w:pPr>
              <w:pStyle w:val="Tabletext"/>
              <w:jc w:val="right"/>
              <w:rPr>
                <w:lang w:eastAsia="en-GB"/>
              </w:rPr>
            </w:pPr>
            <w:r w:rsidRPr="00490C53">
              <w:t>2.07%</w:t>
            </w:r>
          </w:p>
        </w:tc>
      </w:tr>
      <w:tr w:rsidR="002B5D18" w:rsidRPr="00490C53" w14:paraId="134D4EB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7A4130C3" w14:textId="77777777" w:rsidR="002B5D18" w:rsidRPr="00490C53" w:rsidRDefault="002B5D18">
            <w:pPr>
              <w:pStyle w:val="Tabletext"/>
              <w:rPr>
                <w:lang w:eastAsia="en-GB"/>
              </w:rPr>
            </w:pPr>
          </w:p>
        </w:tc>
        <w:tc>
          <w:tcPr>
            <w:tcW w:w="1047" w:type="pct"/>
            <w:noWrap/>
            <w:vAlign w:val="center"/>
            <w:hideMark/>
          </w:tcPr>
          <w:p w14:paraId="31F89EB4" w14:textId="77777777" w:rsidR="002B5D18" w:rsidRPr="00490C53" w:rsidRDefault="002B5D18">
            <w:pPr>
              <w:pStyle w:val="Tabletext"/>
              <w:rPr>
                <w:lang w:eastAsia="en-GB"/>
              </w:rPr>
            </w:pPr>
            <w:r w:rsidRPr="00490C53">
              <w:rPr>
                <w:lang w:eastAsia="en-GB"/>
              </w:rPr>
              <w:t>100,000 or more, but below 250,000</w:t>
            </w:r>
          </w:p>
        </w:tc>
        <w:tc>
          <w:tcPr>
            <w:tcW w:w="1488" w:type="pct"/>
            <w:noWrap/>
            <w:vAlign w:val="center"/>
          </w:tcPr>
          <w:p w14:paraId="29ED2E97" w14:textId="77777777" w:rsidR="002B5D18" w:rsidRPr="00490C53" w:rsidRDefault="002B5D18">
            <w:pPr>
              <w:pStyle w:val="Tabletext"/>
              <w:jc w:val="right"/>
              <w:rPr>
                <w:lang w:eastAsia="en-GB"/>
              </w:rPr>
            </w:pPr>
            <w:r w:rsidRPr="00490C53">
              <w:t>6.59%</w:t>
            </w:r>
          </w:p>
        </w:tc>
        <w:tc>
          <w:tcPr>
            <w:tcW w:w="1488" w:type="pct"/>
            <w:noWrap/>
            <w:vAlign w:val="center"/>
          </w:tcPr>
          <w:p w14:paraId="0B213079" w14:textId="77777777" w:rsidR="002B5D18" w:rsidRPr="00490C53" w:rsidRDefault="002B5D18">
            <w:pPr>
              <w:pStyle w:val="Tabletext"/>
              <w:jc w:val="right"/>
              <w:rPr>
                <w:lang w:eastAsia="en-GB"/>
              </w:rPr>
            </w:pPr>
            <w:r w:rsidRPr="00490C53">
              <w:t>0.69%</w:t>
            </w:r>
          </w:p>
        </w:tc>
      </w:tr>
      <w:tr w:rsidR="002B5D18" w:rsidRPr="00490C53" w14:paraId="6CDD292A" w14:textId="77777777">
        <w:tblPrEx>
          <w:tblCellMar>
            <w:left w:w="108" w:type="dxa"/>
            <w:right w:w="108" w:type="dxa"/>
          </w:tblCellMar>
        </w:tblPrEx>
        <w:trPr>
          <w:trHeight w:val="290"/>
        </w:trPr>
        <w:tc>
          <w:tcPr>
            <w:tcW w:w="977" w:type="pct"/>
            <w:noWrap/>
            <w:vAlign w:val="center"/>
          </w:tcPr>
          <w:p w14:paraId="17D1F4F6" w14:textId="77777777" w:rsidR="002B5D18" w:rsidRPr="00490C53" w:rsidRDefault="002B5D18">
            <w:pPr>
              <w:pStyle w:val="Tabletext"/>
              <w:rPr>
                <w:lang w:eastAsia="en-GB"/>
              </w:rPr>
            </w:pPr>
          </w:p>
        </w:tc>
        <w:tc>
          <w:tcPr>
            <w:tcW w:w="1047" w:type="pct"/>
            <w:noWrap/>
            <w:vAlign w:val="center"/>
            <w:hideMark/>
          </w:tcPr>
          <w:p w14:paraId="6CAF4E77" w14:textId="77777777" w:rsidR="002B5D18" w:rsidRPr="00490C53" w:rsidRDefault="002B5D18">
            <w:pPr>
              <w:pStyle w:val="Tabletext"/>
              <w:rPr>
                <w:lang w:eastAsia="en-GB"/>
              </w:rPr>
            </w:pPr>
            <w:r w:rsidRPr="00490C53">
              <w:rPr>
                <w:lang w:eastAsia="en-GB"/>
              </w:rPr>
              <w:t>250,000 or more, but below 500,000</w:t>
            </w:r>
          </w:p>
        </w:tc>
        <w:tc>
          <w:tcPr>
            <w:tcW w:w="1488" w:type="pct"/>
            <w:noWrap/>
            <w:vAlign w:val="center"/>
          </w:tcPr>
          <w:p w14:paraId="1C6227EA" w14:textId="77777777" w:rsidR="002B5D18" w:rsidRPr="00490C53" w:rsidRDefault="002B5D18">
            <w:pPr>
              <w:pStyle w:val="Tabletext"/>
              <w:jc w:val="right"/>
              <w:rPr>
                <w:lang w:eastAsia="en-GB"/>
              </w:rPr>
            </w:pPr>
            <w:r w:rsidRPr="00490C53">
              <w:t>9.87%</w:t>
            </w:r>
          </w:p>
        </w:tc>
        <w:tc>
          <w:tcPr>
            <w:tcW w:w="1488" w:type="pct"/>
            <w:noWrap/>
            <w:vAlign w:val="center"/>
          </w:tcPr>
          <w:p w14:paraId="7CA1F912" w14:textId="77777777" w:rsidR="002B5D18" w:rsidRPr="00490C53" w:rsidRDefault="002B5D18">
            <w:pPr>
              <w:pStyle w:val="Tabletext"/>
              <w:jc w:val="right"/>
              <w:rPr>
                <w:lang w:eastAsia="en-GB"/>
              </w:rPr>
            </w:pPr>
            <w:r w:rsidRPr="00490C53">
              <w:t>1.90%</w:t>
            </w:r>
          </w:p>
        </w:tc>
      </w:tr>
      <w:tr w:rsidR="002B5D18" w:rsidRPr="00490C53" w14:paraId="2ED8A7F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7B811362" w14:textId="77777777" w:rsidR="002B5D18" w:rsidRPr="00490C53" w:rsidRDefault="002B5D18">
            <w:pPr>
              <w:pStyle w:val="Tabletext"/>
              <w:rPr>
                <w:lang w:eastAsia="en-GB"/>
              </w:rPr>
            </w:pPr>
          </w:p>
        </w:tc>
        <w:tc>
          <w:tcPr>
            <w:tcW w:w="1047" w:type="pct"/>
            <w:noWrap/>
            <w:vAlign w:val="center"/>
            <w:hideMark/>
          </w:tcPr>
          <w:p w14:paraId="21D1A2CB" w14:textId="77777777" w:rsidR="002B5D18" w:rsidRPr="00490C53" w:rsidRDefault="002B5D18">
            <w:pPr>
              <w:pStyle w:val="Tabletext"/>
              <w:rPr>
                <w:lang w:eastAsia="en-GB"/>
              </w:rPr>
            </w:pPr>
            <w:r w:rsidRPr="00490C53">
              <w:rPr>
                <w:lang w:eastAsia="en-GB"/>
              </w:rPr>
              <w:t>500,000 or more, but below 1 million</w:t>
            </w:r>
          </w:p>
        </w:tc>
        <w:tc>
          <w:tcPr>
            <w:tcW w:w="1488" w:type="pct"/>
            <w:noWrap/>
            <w:vAlign w:val="center"/>
          </w:tcPr>
          <w:p w14:paraId="025F19E5" w14:textId="77777777" w:rsidR="002B5D18" w:rsidRPr="00490C53" w:rsidRDefault="002B5D18">
            <w:pPr>
              <w:pStyle w:val="Tabletext"/>
              <w:jc w:val="right"/>
              <w:rPr>
                <w:lang w:eastAsia="en-GB"/>
              </w:rPr>
            </w:pPr>
            <w:r w:rsidRPr="00490C53">
              <w:t>10.19%</w:t>
            </w:r>
          </w:p>
        </w:tc>
        <w:tc>
          <w:tcPr>
            <w:tcW w:w="1488" w:type="pct"/>
            <w:noWrap/>
            <w:vAlign w:val="center"/>
          </w:tcPr>
          <w:p w14:paraId="157118FF" w14:textId="77777777" w:rsidR="002B5D18" w:rsidRPr="00490C53" w:rsidRDefault="002B5D18">
            <w:pPr>
              <w:pStyle w:val="Tabletext"/>
              <w:jc w:val="right"/>
              <w:rPr>
                <w:lang w:eastAsia="en-GB"/>
              </w:rPr>
            </w:pPr>
            <w:r w:rsidRPr="00490C53">
              <w:t>2.93%</w:t>
            </w:r>
          </w:p>
        </w:tc>
      </w:tr>
      <w:tr w:rsidR="002B5D18" w:rsidRPr="00490C53" w14:paraId="61B7FED6" w14:textId="77777777">
        <w:tblPrEx>
          <w:tblCellMar>
            <w:left w:w="108" w:type="dxa"/>
            <w:right w:w="108" w:type="dxa"/>
          </w:tblCellMar>
        </w:tblPrEx>
        <w:trPr>
          <w:trHeight w:val="290"/>
        </w:trPr>
        <w:tc>
          <w:tcPr>
            <w:tcW w:w="977" w:type="pct"/>
            <w:noWrap/>
            <w:vAlign w:val="center"/>
          </w:tcPr>
          <w:p w14:paraId="48B0511F" w14:textId="77777777" w:rsidR="002B5D18" w:rsidRPr="00490C53" w:rsidRDefault="002B5D18">
            <w:pPr>
              <w:pStyle w:val="Tabletext"/>
              <w:rPr>
                <w:lang w:eastAsia="en-GB"/>
              </w:rPr>
            </w:pPr>
          </w:p>
        </w:tc>
        <w:tc>
          <w:tcPr>
            <w:tcW w:w="1047" w:type="pct"/>
            <w:noWrap/>
            <w:vAlign w:val="center"/>
            <w:hideMark/>
          </w:tcPr>
          <w:p w14:paraId="2F24FA6A" w14:textId="77777777" w:rsidR="002B5D18" w:rsidRPr="00490C53" w:rsidRDefault="002B5D18">
            <w:pPr>
              <w:pStyle w:val="Tabletext"/>
              <w:rPr>
                <w:lang w:eastAsia="en-GB"/>
              </w:rPr>
            </w:pPr>
            <w:r w:rsidRPr="00490C53">
              <w:rPr>
                <w:lang w:eastAsia="en-GB"/>
              </w:rPr>
              <w:t>1 million or more, but below 5 million</w:t>
            </w:r>
          </w:p>
        </w:tc>
        <w:tc>
          <w:tcPr>
            <w:tcW w:w="1488" w:type="pct"/>
            <w:noWrap/>
            <w:vAlign w:val="center"/>
          </w:tcPr>
          <w:p w14:paraId="38A77A6B" w14:textId="77777777" w:rsidR="002B5D18" w:rsidRPr="00490C53" w:rsidRDefault="002B5D18">
            <w:pPr>
              <w:pStyle w:val="Tabletext"/>
              <w:jc w:val="right"/>
              <w:rPr>
                <w:lang w:eastAsia="en-GB"/>
              </w:rPr>
            </w:pPr>
            <w:r w:rsidRPr="00490C53">
              <w:t>1.01%</w:t>
            </w:r>
          </w:p>
        </w:tc>
        <w:tc>
          <w:tcPr>
            <w:tcW w:w="1488" w:type="pct"/>
            <w:noWrap/>
            <w:vAlign w:val="center"/>
          </w:tcPr>
          <w:p w14:paraId="0C102068" w14:textId="77777777" w:rsidR="002B5D18" w:rsidRPr="00490C53" w:rsidRDefault="002B5D18">
            <w:pPr>
              <w:pStyle w:val="Tabletext"/>
              <w:jc w:val="right"/>
              <w:rPr>
                <w:lang w:eastAsia="en-GB"/>
              </w:rPr>
            </w:pPr>
            <w:r w:rsidRPr="00490C53">
              <w:t>3.62%</w:t>
            </w:r>
          </w:p>
        </w:tc>
      </w:tr>
      <w:tr w:rsidR="002B5D18" w:rsidRPr="00490C53" w14:paraId="23D2A43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6AB83566" w14:textId="77777777" w:rsidR="002B5D18" w:rsidRPr="00490C53" w:rsidRDefault="002B5D18">
            <w:pPr>
              <w:pStyle w:val="Tabletext"/>
              <w:rPr>
                <w:lang w:eastAsia="en-GB"/>
              </w:rPr>
            </w:pPr>
          </w:p>
        </w:tc>
        <w:tc>
          <w:tcPr>
            <w:tcW w:w="1047" w:type="pct"/>
            <w:noWrap/>
            <w:vAlign w:val="center"/>
            <w:hideMark/>
          </w:tcPr>
          <w:p w14:paraId="37E58C35" w14:textId="77777777" w:rsidR="002B5D18" w:rsidRPr="00490C53" w:rsidRDefault="002B5D18">
            <w:pPr>
              <w:pStyle w:val="Tabletext"/>
              <w:rPr>
                <w:lang w:eastAsia="en-GB"/>
              </w:rPr>
            </w:pPr>
            <w:r w:rsidRPr="00490C53">
              <w:rPr>
                <w:lang w:eastAsia="en-GB"/>
              </w:rPr>
              <w:t>5 million or more, but below 10 million</w:t>
            </w:r>
          </w:p>
        </w:tc>
        <w:tc>
          <w:tcPr>
            <w:tcW w:w="1488" w:type="pct"/>
            <w:noWrap/>
            <w:vAlign w:val="center"/>
          </w:tcPr>
          <w:p w14:paraId="7C409448" w14:textId="77777777" w:rsidR="002B5D18" w:rsidRPr="00490C53" w:rsidRDefault="002B5D18">
            <w:pPr>
              <w:pStyle w:val="Tabletext"/>
              <w:jc w:val="right"/>
              <w:rPr>
                <w:lang w:eastAsia="en-GB"/>
              </w:rPr>
            </w:pPr>
            <w:r w:rsidRPr="00490C53">
              <w:t>0.25%</w:t>
            </w:r>
          </w:p>
        </w:tc>
        <w:tc>
          <w:tcPr>
            <w:tcW w:w="1488" w:type="pct"/>
            <w:noWrap/>
            <w:vAlign w:val="center"/>
          </w:tcPr>
          <w:p w14:paraId="548595DA" w14:textId="77777777" w:rsidR="002B5D18" w:rsidRPr="00490C53" w:rsidRDefault="002B5D18">
            <w:pPr>
              <w:pStyle w:val="Tabletext"/>
              <w:jc w:val="right"/>
              <w:rPr>
                <w:lang w:eastAsia="en-GB"/>
              </w:rPr>
            </w:pPr>
            <w:r w:rsidRPr="00490C53">
              <w:t>0.52%</w:t>
            </w:r>
          </w:p>
        </w:tc>
      </w:tr>
      <w:tr w:rsidR="002B5D18" w:rsidRPr="00490C53" w14:paraId="12D60196" w14:textId="77777777">
        <w:tblPrEx>
          <w:tblCellMar>
            <w:left w:w="108" w:type="dxa"/>
            <w:right w:w="108" w:type="dxa"/>
          </w:tblCellMar>
        </w:tblPrEx>
        <w:trPr>
          <w:trHeight w:val="290"/>
        </w:trPr>
        <w:tc>
          <w:tcPr>
            <w:tcW w:w="977" w:type="pct"/>
            <w:noWrap/>
            <w:vAlign w:val="center"/>
            <w:hideMark/>
          </w:tcPr>
          <w:p w14:paraId="62F37C0B" w14:textId="77777777" w:rsidR="002B5D18" w:rsidRPr="00490C53" w:rsidRDefault="002B5D18">
            <w:pPr>
              <w:pStyle w:val="Tabletext"/>
              <w:rPr>
                <w:lang w:eastAsia="en-GB"/>
              </w:rPr>
            </w:pPr>
            <w:r w:rsidRPr="00490C53">
              <w:rPr>
                <w:lang w:eastAsia="en-GB"/>
              </w:rPr>
              <w:t>Staff</w:t>
            </w:r>
          </w:p>
        </w:tc>
        <w:tc>
          <w:tcPr>
            <w:tcW w:w="1047" w:type="pct"/>
            <w:noWrap/>
            <w:vAlign w:val="center"/>
            <w:hideMark/>
          </w:tcPr>
          <w:p w14:paraId="31EAA191" w14:textId="77777777" w:rsidR="002B5D18" w:rsidRPr="00490C53" w:rsidRDefault="002B5D18">
            <w:pPr>
              <w:pStyle w:val="Tabletext"/>
              <w:rPr>
                <w:lang w:eastAsia="en-GB"/>
              </w:rPr>
            </w:pPr>
            <w:r w:rsidRPr="00490C53">
              <w:rPr>
                <w:lang w:eastAsia="en-GB"/>
              </w:rPr>
              <w:t>1</w:t>
            </w:r>
          </w:p>
        </w:tc>
        <w:tc>
          <w:tcPr>
            <w:tcW w:w="1488" w:type="pct"/>
            <w:noWrap/>
            <w:vAlign w:val="center"/>
          </w:tcPr>
          <w:p w14:paraId="1144FCEA" w14:textId="77777777" w:rsidR="002B5D18" w:rsidRPr="00490C53" w:rsidRDefault="002B5D18">
            <w:pPr>
              <w:pStyle w:val="Tabletext"/>
              <w:jc w:val="right"/>
              <w:rPr>
                <w:lang w:eastAsia="en-GB"/>
              </w:rPr>
            </w:pPr>
            <w:r w:rsidRPr="00490C53">
              <w:t>20.17%</w:t>
            </w:r>
          </w:p>
        </w:tc>
        <w:tc>
          <w:tcPr>
            <w:tcW w:w="1488" w:type="pct"/>
            <w:noWrap/>
            <w:vAlign w:val="center"/>
          </w:tcPr>
          <w:p w14:paraId="1EA74A31" w14:textId="77777777" w:rsidR="002B5D18" w:rsidRPr="00490C53" w:rsidRDefault="002B5D18">
            <w:pPr>
              <w:pStyle w:val="Tabletext"/>
              <w:jc w:val="right"/>
              <w:rPr>
                <w:lang w:eastAsia="en-GB"/>
              </w:rPr>
            </w:pPr>
            <w:r w:rsidRPr="00490C53">
              <w:t>0.86%</w:t>
            </w:r>
          </w:p>
        </w:tc>
      </w:tr>
      <w:tr w:rsidR="002B5D18" w:rsidRPr="00490C53" w14:paraId="592B976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37078B6B" w14:textId="77777777" w:rsidR="002B5D18" w:rsidRPr="00490C53" w:rsidRDefault="002B5D18">
            <w:pPr>
              <w:pStyle w:val="Tabletext"/>
              <w:rPr>
                <w:lang w:eastAsia="en-GB"/>
              </w:rPr>
            </w:pPr>
          </w:p>
        </w:tc>
        <w:tc>
          <w:tcPr>
            <w:tcW w:w="1047" w:type="pct"/>
            <w:noWrap/>
            <w:vAlign w:val="center"/>
            <w:hideMark/>
          </w:tcPr>
          <w:p w14:paraId="377C5CFE" w14:textId="77777777" w:rsidR="002B5D18" w:rsidRPr="00490C53" w:rsidRDefault="002B5D18">
            <w:pPr>
              <w:pStyle w:val="Tabletext"/>
              <w:rPr>
                <w:lang w:eastAsia="en-GB"/>
              </w:rPr>
            </w:pPr>
            <w:r w:rsidRPr="00490C53">
              <w:rPr>
                <w:lang w:eastAsia="en-GB"/>
              </w:rPr>
              <w:t>2 to 4</w:t>
            </w:r>
          </w:p>
        </w:tc>
        <w:tc>
          <w:tcPr>
            <w:tcW w:w="1488" w:type="pct"/>
            <w:noWrap/>
            <w:vAlign w:val="center"/>
          </w:tcPr>
          <w:p w14:paraId="39083CF0" w14:textId="77777777" w:rsidR="002B5D18" w:rsidRPr="00490C53" w:rsidRDefault="002B5D18">
            <w:pPr>
              <w:pStyle w:val="Tabletext"/>
              <w:jc w:val="right"/>
              <w:rPr>
                <w:lang w:eastAsia="en-GB"/>
              </w:rPr>
            </w:pPr>
            <w:r w:rsidRPr="00490C53">
              <w:t>7.80%</w:t>
            </w:r>
          </w:p>
        </w:tc>
        <w:tc>
          <w:tcPr>
            <w:tcW w:w="1488" w:type="pct"/>
            <w:noWrap/>
            <w:vAlign w:val="center"/>
          </w:tcPr>
          <w:p w14:paraId="0C1693AA" w14:textId="77777777" w:rsidR="002B5D18" w:rsidRPr="00490C53" w:rsidRDefault="002B5D18">
            <w:pPr>
              <w:pStyle w:val="Tabletext"/>
              <w:jc w:val="right"/>
              <w:rPr>
                <w:lang w:eastAsia="en-GB"/>
              </w:rPr>
            </w:pPr>
            <w:r w:rsidRPr="00490C53">
              <w:t>1.03%</w:t>
            </w:r>
          </w:p>
        </w:tc>
      </w:tr>
      <w:tr w:rsidR="002B5D18" w:rsidRPr="00490C53" w14:paraId="3765A483" w14:textId="77777777">
        <w:tblPrEx>
          <w:tblCellMar>
            <w:left w:w="108" w:type="dxa"/>
            <w:right w:w="108" w:type="dxa"/>
          </w:tblCellMar>
        </w:tblPrEx>
        <w:trPr>
          <w:trHeight w:val="290"/>
        </w:trPr>
        <w:tc>
          <w:tcPr>
            <w:tcW w:w="977" w:type="pct"/>
            <w:noWrap/>
            <w:vAlign w:val="center"/>
          </w:tcPr>
          <w:p w14:paraId="785B4E09" w14:textId="77777777" w:rsidR="002B5D18" w:rsidRPr="00490C53" w:rsidRDefault="002B5D18">
            <w:pPr>
              <w:pStyle w:val="Tabletext"/>
              <w:rPr>
                <w:lang w:eastAsia="en-GB"/>
              </w:rPr>
            </w:pPr>
          </w:p>
        </w:tc>
        <w:tc>
          <w:tcPr>
            <w:tcW w:w="1047" w:type="pct"/>
            <w:noWrap/>
            <w:vAlign w:val="center"/>
            <w:hideMark/>
          </w:tcPr>
          <w:p w14:paraId="61CD9B64" w14:textId="77777777" w:rsidR="002B5D18" w:rsidRPr="00490C53" w:rsidRDefault="002B5D18">
            <w:pPr>
              <w:pStyle w:val="Tabletext"/>
              <w:rPr>
                <w:lang w:eastAsia="en-GB"/>
              </w:rPr>
            </w:pPr>
            <w:r w:rsidRPr="00490C53">
              <w:rPr>
                <w:lang w:eastAsia="en-GB"/>
              </w:rPr>
              <w:t>5 to 9</w:t>
            </w:r>
          </w:p>
        </w:tc>
        <w:tc>
          <w:tcPr>
            <w:tcW w:w="1488" w:type="pct"/>
            <w:noWrap/>
            <w:vAlign w:val="center"/>
          </w:tcPr>
          <w:p w14:paraId="27CF295D" w14:textId="77777777" w:rsidR="002B5D18" w:rsidRPr="00490C53" w:rsidRDefault="002B5D18">
            <w:pPr>
              <w:pStyle w:val="Tabletext"/>
              <w:jc w:val="right"/>
              <w:rPr>
                <w:lang w:eastAsia="en-GB"/>
              </w:rPr>
            </w:pPr>
            <w:r w:rsidRPr="00490C53">
              <w:t>10.26%</w:t>
            </w:r>
          </w:p>
        </w:tc>
        <w:tc>
          <w:tcPr>
            <w:tcW w:w="1488" w:type="pct"/>
            <w:noWrap/>
            <w:vAlign w:val="center"/>
          </w:tcPr>
          <w:p w14:paraId="5172AD0D" w14:textId="77777777" w:rsidR="002B5D18" w:rsidRPr="00490C53" w:rsidRDefault="002B5D18">
            <w:pPr>
              <w:pStyle w:val="Tabletext"/>
              <w:jc w:val="right"/>
              <w:rPr>
                <w:lang w:eastAsia="en-GB"/>
              </w:rPr>
            </w:pPr>
            <w:r w:rsidRPr="00490C53">
              <w:t>1.90%</w:t>
            </w:r>
          </w:p>
        </w:tc>
      </w:tr>
      <w:tr w:rsidR="002B5D18" w:rsidRPr="00490C53" w14:paraId="6E5452A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516518CB" w14:textId="77777777" w:rsidR="002B5D18" w:rsidRPr="00490C53" w:rsidRDefault="002B5D18">
            <w:pPr>
              <w:pStyle w:val="Tabletext"/>
              <w:rPr>
                <w:lang w:eastAsia="en-GB"/>
              </w:rPr>
            </w:pPr>
          </w:p>
        </w:tc>
        <w:tc>
          <w:tcPr>
            <w:tcW w:w="1047" w:type="pct"/>
            <w:noWrap/>
            <w:vAlign w:val="center"/>
            <w:hideMark/>
          </w:tcPr>
          <w:p w14:paraId="2E751078" w14:textId="77777777" w:rsidR="002B5D18" w:rsidRPr="00490C53" w:rsidRDefault="002B5D18">
            <w:pPr>
              <w:pStyle w:val="Tabletext"/>
              <w:rPr>
                <w:lang w:eastAsia="en-GB"/>
              </w:rPr>
            </w:pPr>
            <w:r w:rsidRPr="00490C53">
              <w:rPr>
                <w:lang w:eastAsia="en-GB"/>
              </w:rPr>
              <w:t>10 to 24</w:t>
            </w:r>
          </w:p>
        </w:tc>
        <w:tc>
          <w:tcPr>
            <w:tcW w:w="1488" w:type="pct"/>
            <w:noWrap/>
            <w:vAlign w:val="center"/>
          </w:tcPr>
          <w:p w14:paraId="5C059493" w14:textId="77777777" w:rsidR="002B5D18" w:rsidRPr="00490C53" w:rsidRDefault="002B5D18">
            <w:pPr>
              <w:pStyle w:val="Tabletext"/>
              <w:jc w:val="right"/>
              <w:rPr>
                <w:lang w:eastAsia="en-GB"/>
              </w:rPr>
            </w:pPr>
            <w:r w:rsidRPr="00490C53">
              <w:t>2.13%</w:t>
            </w:r>
          </w:p>
        </w:tc>
        <w:tc>
          <w:tcPr>
            <w:tcW w:w="1488" w:type="pct"/>
            <w:noWrap/>
            <w:vAlign w:val="center"/>
          </w:tcPr>
          <w:p w14:paraId="5D21A218" w14:textId="77777777" w:rsidR="002B5D18" w:rsidRPr="00490C53" w:rsidRDefault="002B5D18">
            <w:pPr>
              <w:pStyle w:val="Tabletext"/>
              <w:jc w:val="right"/>
              <w:rPr>
                <w:lang w:eastAsia="en-GB"/>
              </w:rPr>
            </w:pPr>
            <w:r w:rsidRPr="00490C53">
              <w:t>1.90%</w:t>
            </w:r>
          </w:p>
        </w:tc>
      </w:tr>
      <w:tr w:rsidR="002B5D18" w:rsidRPr="00490C53" w14:paraId="2D796085" w14:textId="77777777">
        <w:tblPrEx>
          <w:tblCellMar>
            <w:left w:w="108" w:type="dxa"/>
            <w:right w:w="108" w:type="dxa"/>
          </w:tblCellMar>
        </w:tblPrEx>
        <w:trPr>
          <w:trHeight w:val="290"/>
        </w:trPr>
        <w:tc>
          <w:tcPr>
            <w:tcW w:w="977" w:type="pct"/>
            <w:noWrap/>
            <w:vAlign w:val="center"/>
          </w:tcPr>
          <w:p w14:paraId="33F2B126" w14:textId="77777777" w:rsidR="002B5D18" w:rsidRPr="00490C53" w:rsidRDefault="002B5D18">
            <w:pPr>
              <w:pStyle w:val="Tabletext"/>
              <w:rPr>
                <w:lang w:eastAsia="en-GB"/>
              </w:rPr>
            </w:pPr>
          </w:p>
        </w:tc>
        <w:tc>
          <w:tcPr>
            <w:tcW w:w="1047" w:type="pct"/>
            <w:noWrap/>
            <w:vAlign w:val="center"/>
            <w:hideMark/>
          </w:tcPr>
          <w:p w14:paraId="0082BD60" w14:textId="77777777" w:rsidR="002B5D18" w:rsidRPr="00490C53" w:rsidRDefault="002B5D18">
            <w:pPr>
              <w:pStyle w:val="Tabletext"/>
              <w:rPr>
                <w:lang w:eastAsia="en-GB"/>
              </w:rPr>
            </w:pPr>
            <w:r w:rsidRPr="00490C53">
              <w:rPr>
                <w:lang w:eastAsia="en-GB"/>
              </w:rPr>
              <w:t>25 to 49</w:t>
            </w:r>
          </w:p>
        </w:tc>
        <w:tc>
          <w:tcPr>
            <w:tcW w:w="1488" w:type="pct"/>
            <w:noWrap/>
            <w:vAlign w:val="center"/>
          </w:tcPr>
          <w:p w14:paraId="32A7B2B0" w14:textId="77777777" w:rsidR="002B5D18" w:rsidRPr="00490C53" w:rsidRDefault="002B5D18">
            <w:pPr>
              <w:pStyle w:val="Tabletext"/>
              <w:jc w:val="right"/>
              <w:rPr>
                <w:lang w:eastAsia="en-GB"/>
              </w:rPr>
            </w:pPr>
            <w:r w:rsidRPr="00490C53">
              <w:t>1.14%</w:t>
            </w:r>
          </w:p>
        </w:tc>
        <w:tc>
          <w:tcPr>
            <w:tcW w:w="1488" w:type="pct"/>
            <w:noWrap/>
            <w:vAlign w:val="center"/>
          </w:tcPr>
          <w:p w14:paraId="667EE739" w14:textId="77777777" w:rsidR="002B5D18" w:rsidRPr="00490C53" w:rsidRDefault="002B5D18">
            <w:pPr>
              <w:pStyle w:val="Tabletext"/>
              <w:jc w:val="right"/>
              <w:rPr>
                <w:lang w:eastAsia="en-GB"/>
              </w:rPr>
            </w:pPr>
            <w:r w:rsidRPr="00490C53">
              <w:t>0.17%</w:t>
            </w:r>
          </w:p>
        </w:tc>
      </w:tr>
      <w:tr w:rsidR="002B5D18" w:rsidRPr="00490C53" w14:paraId="3567303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24789234" w14:textId="77777777" w:rsidR="002B5D18" w:rsidRPr="00490C53" w:rsidRDefault="002B5D18">
            <w:pPr>
              <w:pStyle w:val="Tabletext"/>
              <w:rPr>
                <w:lang w:eastAsia="en-GB"/>
              </w:rPr>
            </w:pPr>
          </w:p>
        </w:tc>
        <w:tc>
          <w:tcPr>
            <w:tcW w:w="1047" w:type="pct"/>
            <w:noWrap/>
            <w:vAlign w:val="center"/>
            <w:hideMark/>
          </w:tcPr>
          <w:p w14:paraId="408D9E19" w14:textId="77777777" w:rsidR="002B5D18" w:rsidRPr="00490C53" w:rsidRDefault="002B5D18">
            <w:pPr>
              <w:pStyle w:val="Tabletext"/>
              <w:rPr>
                <w:lang w:eastAsia="en-GB"/>
              </w:rPr>
            </w:pPr>
            <w:r w:rsidRPr="00490C53">
              <w:rPr>
                <w:lang w:eastAsia="en-GB"/>
              </w:rPr>
              <w:t>50 to 249</w:t>
            </w:r>
          </w:p>
        </w:tc>
        <w:tc>
          <w:tcPr>
            <w:tcW w:w="1488" w:type="pct"/>
            <w:noWrap/>
            <w:vAlign w:val="center"/>
          </w:tcPr>
          <w:p w14:paraId="13F6EA52" w14:textId="77777777" w:rsidR="002B5D18" w:rsidRPr="00490C53" w:rsidRDefault="002B5D18">
            <w:pPr>
              <w:pStyle w:val="Tabletext"/>
              <w:jc w:val="right"/>
              <w:rPr>
                <w:lang w:eastAsia="en-GB"/>
              </w:rPr>
            </w:pPr>
            <w:r w:rsidRPr="00490C53">
              <w:t>0.72%</w:t>
            </w:r>
          </w:p>
        </w:tc>
        <w:tc>
          <w:tcPr>
            <w:tcW w:w="1488" w:type="pct"/>
            <w:noWrap/>
            <w:vAlign w:val="center"/>
          </w:tcPr>
          <w:p w14:paraId="0287F8FA" w14:textId="77777777" w:rsidR="002B5D18" w:rsidRPr="00490C53" w:rsidRDefault="002B5D18">
            <w:pPr>
              <w:pStyle w:val="Tabletext"/>
              <w:jc w:val="right"/>
              <w:rPr>
                <w:lang w:eastAsia="en-GB"/>
              </w:rPr>
            </w:pPr>
            <w:r w:rsidRPr="00490C53">
              <w:t>0.34%</w:t>
            </w:r>
          </w:p>
        </w:tc>
      </w:tr>
      <w:tr w:rsidR="002B5D18" w:rsidRPr="00490C53" w14:paraId="4A8B5729" w14:textId="77777777">
        <w:tblPrEx>
          <w:tblCellMar>
            <w:left w:w="108" w:type="dxa"/>
            <w:right w:w="108" w:type="dxa"/>
          </w:tblCellMar>
        </w:tblPrEx>
        <w:trPr>
          <w:trHeight w:val="290"/>
        </w:trPr>
        <w:tc>
          <w:tcPr>
            <w:tcW w:w="977" w:type="pct"/>
            <w:noWrap/>
            <w:vAlign w:val="center"/>
          </w:tcPr>
          <w:p w14:paraId="52B26E73" w14:textId="77777777" w:rsidR="002B5D18" w:rsidRPr="00490C53" w:rsidRDefault="002B5D18">
            <w:pPr>
              <w:pStyle w:val="Tabletext"/>
              <w:rPr>
                <w:lang w:eastAsia="en-GB"/>
              </w:rPr>
            </w:pPr>
          </w:p>
        </w:tc>
        <w:tc>
          <w:tcPr>
            <w:tcW w:w="1047" w:type="pct"/>
            <w:noWrap/>
            <w:vAlign w:val="center"/>
            <w:hideMark/>
          </w:tcPr>
          <w:p w14:paraId="22441DE7" w14:textId="77777777" w:rsidR="002B5D18" w:rsidRPr="00490C53" w:rsidRDefault="002B5D18">
            <w:pPr>
              <w:pStyle w:val="Tabletext"/>
              <w:rPr>
                <w:lang w:eastAsia="en-GB"/>
              </w:rPr>
            </w:pPr>
            <w:r w:rsidRPr="00490C53">
              <w:rPr>
                <w:lang w:eastAsia="en-GB"/>
              </w:rPr>
              <w:t>250 to 999</w:t>
            </w:r>
          </w:p>
        </w:tc>
        <w:tc>
          <w:tcPr>
            <w:tcW w:w="1488" w:type="pct"/>
            <w:noWrap/>
            <w:vAlign w:val="center"/>
          </w:tcPr>
          <w:p w14:paraId="2A3BDE84" w14:textId="77777777" w:rsidR="002B5D18" w:rsidRPr="00490C53" w:rsidRDefault="002B5D18">
            <w:pPr>
              <w:pStyle w:val="Tabletext"/>
              <w:jc w:val="right"/>
              <w:rPr>
                <w:lang w:eastAsia="en-GB"/>
              </w:rPr>
            </w:pPr>
            <w:r w:rsidRPr="00490C53">
              <w:t>0.44%</w:t>
            </w:r>
          </w:p>
        </w:tc>
        <w:tc>
          <w:tcPr>
            <w:tcW w:w="1488" w:type="pct"/>
            <w:noWrap/>
            <w:vAlign w:val="center"/>
          </w:tcPr>
          <w:p w14:paraId="55D43F40" w14:textId="77777777" w:rsidR="002B5D18" w:rsidRPr="00490C53" w:rsidRDefault="002B5D18">
            <w:pPr>
              <w:pStyle w:val="Tabletext"/>
              <w:jc w:val="right"/>
              <w:rPr>
                <w:lang w:eastAsia="en-GB"/>
              </w:rPr>
            </w:pPr>
            <w:r w:rsidRPr="00490C53">
              <w:t>0.00%</w:t>
            </w:r>
          </w:p>
        </w:tc>
      </w:tr>
      <w:tr w:rsidR="002B5D18" w:rsidRPr="00490C53" w14:paraId="491C697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hideMark/>
          </w:tcPr>
          <w:p w14:paraId="5E9BA2B9" w14:textId="77777777" w:rsidR="002B5D18" w:rsidRPr="00490C53" w:rsidRDefault="002B5D18">
            <w:pPr>
              <w:pStyle w:val="Tabletext"/>
              <w:rPr>
                <w:lang w:eastAsia="en-GB"/>
              </w:rPr>
            </w:pPr>
            <w:r w:rsidRPr="00490C53">
              <w:rPr>
                <w:lang w:eastAsia="en-GB"/>
              </w:rPr>
              <w:t>Region</w:t>
            </w:r>
          </w:p>
        </w:tc>
        <w:tc>
          <w:tcPr>
            <w:tcW w:w="1047" w:type="pct"/>
            <w:noWrap/>
            <w:vAlign w:val="center"/>
            <w:hideMark/>
          </w:tcPr>
          <w:p w14:paraId="13BE8374" w14:textId="77777777" w:rsidR="002B5D18" w:rsidRPr="00490C53" w:rsidRDefault="002B5D18">
            <w:pPr>
              <w:pStyle w:val="Tabletext"/>
              <w:rPr>
                <w:lang w:eastAsia="en-GB"/>
              </w:rPr>
            </w:pPr>
            <w:r w:rsidRPr="00490C53">
              <w:rPr>
                <w:lang w:eastAsia="en-GB"/>
              </w:rPr>
              <w:t>East / Midlands</w:t>
            </w:r>
          </w:p>
        </w:tc>
        <w:tc>
          <w:tcPr>
            <w:tcW w:w="1488" w:type="pct"/>
            <w:noWrap/>
            <w:vAlign w:val="center"/>
          </w:tcPr>
          <w:p w14:paraId="0EC5B05E" w14:textId="77777777" w:rsidR="002B5D18" w:rsidRPr="00490C53" w:rsidRDefault="002B5D18">
            <w:pPr>
              <w:pStyle w:val="Tabletext"/>
              <w:jc w:val="right"/>
              <w:rPr>
                <w:lang w:eastAsia="en-GB"/>
              </w:rPr>
            </w:pPr>
            <w:r w:rsidRPr="00490C53">
              <w:t>3.25%</w:t>
            </w:r>
          </w:p>
        </w:tc>
        <w:tc>
          <w:tcPr>
            <w:tcW w:w="1488" w:type="pct"/>
            <w:noWrap/>
            <w:vAlign w:val="center"/>
          </w:tcPr>
          <w:p w14:paraId="510BB49A" w14:textId="77777777" w:rsidR="002B5D18" w:rsidRPr="00490C53" w:rsidRDefault="002B5D18">
            <w:pPr>
              <w:pStyle w:val="Tabletext"/>
              <w:jc w:val="right"/>
              <w:rPr>
                <w:lang w:eastAsia="en-GB"/>
              </w:rPr>
            </w:pPr>
            <w:r w:rsidRPr="00490C53">
              <w:t>0.17%</w:t>
            </w:r>
          </w:p>
        </w:tc>
      </w:tr>
      <w:tr w:rsidR="002B5D18" w:rsidRPr="00490C53" w14:paraId="567BDE85" w14:textId="77777777">
        <w:tblPrEx>
          <w:tblCellMar>
            <w:left w:w="108" w:type="dxa"/>
            <w:right w:w="108" w:type="dxa"/>
          </w:tblCellMar>
        </w:tblPrEx>
        <w:trPr>
          <w:trHeight w:val="290"/>
        </w:trPr>
        <w:tc>
          <w:tcPr>
            <w:tcW w:w="977" w:type="pct"/>
            <w:noWrap/>
            <w:vAlign w:val="center"/>
          </w:tcPr>
          <w:p w14:paraId="6206B4D3" w14:textId="77777777" w:rsidR="002B5D18" w:rsidRPr="00490C53" w:rsidRDefault="002B5D18">
            <w:pPr>
              <w:pStyle w:val="Tabletext"/>
              <w:rPr>
                <w:lang w:eastAsia="en-GB"/>
              </w:rPr>
            </w:pPr>
          </w:p>
        </w:tc>
        <w:tc>
          <w:tcPr>
            <w:tcW w:w="1047" w:type="pct"/>
            <w:noWrap/>
            <w:vAlign w:val="center"/>
            <w:hideMark/>
          </w:tcPr>
          <w:p w14:paraId="3653DE24" w14:textId="77777777" w:rsidR="002B5D18" w:rsidRPr="00490C53" w:rsidRDefault="002B5D18">
            <w:pPr>
              <w:pStyle w:val="Tabletext"/>
              <w:rPr>
                <w:lang w:eastAsia="en-GB"/>
              </w:rPr>
            </w:pPr>
            <w:r w:rsidRPr="00490C53">
              <w:rPr>
                <w:lang w:eastAsia="en-GB"/>
              </w:rPr>
              <w:t>London</w:t>
            </w:r>
          </w:p>
        </w:tc>
        <w:tc>
          <w:tcPr>
            <w:tcW w:w="1488" w:type="pct"/>
            <w:noWrap/>
            <w:vAlign w:val="center"/>
          </w:tcPr>
          <w:p w14:paraId="4A7DDC9A" w14:textId="77777777" w:rsidR="002B5D18" w:rsidRPr="00490C53" w:rsidRDefault="002B5D18">
            <w:pPr>
              <w:pStyle w:val="Tabletext"/>
              <w:jc w:val="right"/>
              <w:rPr>
                <w:lang w:eastAsia="en-GB"/>
              </w:rPr>
            </w:pPr>
            <w:r w:rsidRPr="00490C53">
              <w:t>1.17%</w:t>
            </w:r>
          </w:p>
        </w:tc>
        <w:tc>
          <w:tcPr>
            <w:tcW w:w="1488" w:type="pct"/>
            <w:noWrap/>
            <w:vAlign w:val="center"/>
          </w:tcPr>
          <w:p w14:paraId="5984CB66" w14:textId="77777777" w:rsidR="002B5D18" w:rsidRPr="00490C53" w:rsidRDefault="002B5D18">
            <w:pPr>
              <w:pStyle w:val="Tabletext"/>
              <w:jc w:val="right"/>
              <w:rPr>
                <w:lang w:eastAsia="en-GB"/>
              </w:rPr>
            </w:pPr>
            <w:r w:rsidRPr="00490C53">
              <w:t>3.62%</w:t>
            </w:r>
          </w:p>
        </w:tc>
      </w:tr>
      <w:tr w:rsidR="002B5D18" w:rsidRPr="00490C53" w14:paraId="5C9C7F3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691485AE" w14:textId="77777777" w:rsidR="002B5D18" w:rsidRPr="00490C53" w:rsidRDefault="002B5D18">
            <w:pPr>
              <w:pStyle w:val="Tabletext"/>
              <w:rPr>
                <w:lang w:eastAsia="en-GB"/>
              </w:rPr>
            </w:pPr>
          </w:p>
        </w:tc>
        <w:tc>
          <w:tcPr>
            <w:tcW w:w="1047" w:type="pct"/>
            <w:noWrap/>
            <w:vAlign w:val="center"/>
            <w:hideMark/>
          </w:tcPr>
          <w:p w14:paraId="53595D98" w14:textId="77777777" w:rsidR="002B5D18" w:rsidRPr="00490C53" w:rsidRDefault="002B5D18">
            <w:pPr>
              <w:pStyle w:val="Tabletext"/>
              <w:rPr>
                <w:lang w:eastAsia="en-GB"/>
              </w:rPr>
            </w:pPr>
            <w:r w:rsidRPr="00490C53">
              <w:rPr>
                <w:lang w:eastAsia="en-GB"/>
              </w:rPr>
              <w:t>North / Yorkshire</w:t>
            </w:r>
          </w:p>
        </w:tc>
        <w:tc>
          <w:tcPr>
            <w:tcW w:w="1488" w:type="pct"/>
            <w:noWrap/>
            <w:vAlign w:val="center"/>
          </w:tcPr>
          <w:p w14:paraId="266873F3" w14:textId="77777777" w:rsidR="002B5D18" w:rsidRPr="00490C53" w:rsidRDefault="002B5D18">
            <w:pPr>
              <w:pStyle w:val="Tabletext"/>
              <w:jc w:val="right"/>
              <w:rPr>
                <w:lang w:eastAsia="en-GB"/>
              </w:rPr>
            </w:pPr>
            <w:r w:rsidRPr="00490C53">
              <w:t>1.42%</w:t>
            </w:r>
          </w:p>
        </w:tc>
        <w:tc>
          <w:tcPr>
            <w:tcW w:w="1488" w:type="pct"/>
            <w:noWrap/>
            <w:vAlign w:val="center"/>
          </w:tcPr>
          <w:p w14:paraId="1035020E" w14:textId="77777777" w:rsidR="002B5D18" w:rsidRPr="00490C53" w:rsidRDefault="002B5D18">
            <w:pPr>
              <w:pStyle w:val="Tabletext"/>
              <w:jc w:val="right"/>
              <w:rPr>
                <w:lang w:eastAsia="en-GB"/>
              </w:rPr>
            </w:pPr>
            <w:r w:rsidRPr="00490C53">
              <w:t>0.69%</w:t>
            </w:r>
          </w:p>
        </w:tc>
      </w:tr>
      <w:tr w:rsidR="002B5D18" w:rsidRPr="00490C53" w14:paraId="4A171560" w14:textId="77777777">
        <w:tblPrEx>
          <w:tblCellMar>
            <w:left w:w="108" w:type="dxa"/>
            <w:right w:w="108" w:type="dxa"/>
          </w:tblCellMar>
        </w:tblPrEx>
        <w:trPr>
          <w:trHeight w:val="290"/>
        </w:trPr>
        <w:tc>
          <w:tcPr>
            <w:tcW w:w="977" w:type="pct"/>
            <w:noWrap/>
            <w:vAlign w:val="center"/>
          </w:tcPr>
          <w:p w14:paraId="7AC960A8" w14:textId="77777777" w:rsidR="002B5D18" w:rsidRPr="00490C53" w:rsidRDefault="002B5D18">
            <w:pPr>
              <w:pStyle w:val="Tabletext"/>
              <w:rPr>
                <w:lang w:eastAsia="en-GB"/>
              </w:rPr>
            </w:pPr>
          </w:p>
        </w:tc>
        <w:tc>
          <w:tcPr>
            <w:tcW w:w="1047" w:type="pct"/>
            <w:noWrap/>
            <w:vAlign w:val="center"/>
            <w:hideMark/>
          </w:tcPr>
          <w:p w14:paraId="1A8DFAA7" w14:textId="77777777" w:rsidR="002B5D18" w:rsidRPr="00490C53" w:rsidRDefault="002B5D18">
            <w:pPr>
              <w:pStyle w:val="Tabletext"/>
              <w:rPr>
                <w:lang w:eastAsia="en-GB"/>
              </w:rPr>
            </w:pPr>
            <w:r w:rsidRPr="00490C53">
              <w:rPr>
                <w:lang w:eastAsia="en-GB"/>
              </w:rPr>
              <w:t>Northern Ireland</w:t>
            </w:r>
          </w:p>
        </w:tc>
        <w:tc>
          <w:tcPr>
            <w:tcW w:w="1488" w:type="pct"/>
            <w:noWrap/>
            <w:vAlign w:val="center"/>
          </w:tcPr>
          <w:p w14:paraId="53D5A89E" w14:textId="77777777" w:rsidR="002B5D18" w:rsidRPr="00490C53" w:rsidRDefault="002B5D18">
            <w:pPr>
              <w:pStyle w:val="Tabletext"/>
              <w:jc w:val="right"/>
              <w:rPr>
                <w:lang w:eastAsia="en-GB"/>
              </w:rPr>
            </w:pPr>
            <w:r w:rsidRPr="00490C53">
              <w:t>3.03%</w:t>
            </w:r>
          </w:p>
        </w:tc>
        <w:tc>
          <w:tcPr>
            <w:tcW w:w="1488" w:type="pct"/>
            <w:noWrap/>
            <w:vAlign w:val="center"/>
          </w:tcPr>
          <w:p w14:paraId="46B287F8" w14:textId="77777777" w:rsidR="002B5D18" w:rsidRPr="00490C53" w:rsidRDefault="002B5D18">
            <w:pPr>
              <w:pStyle w:val="Tabletext"/>
              <w:jc w:val="right"/>
              <w:rPr>
                <w:lang w:eastAsia="en-GB"/>
              </w:rPr>
            </w:pPr>
            <w:r w:rsidRPr="00490C53">
              <w:t>1.55%</w:t>
            </w:r>
          </w:p>
        </w:tc>
      </w:tr>
      <w:tr w:rsidR="002B5D18" w:rsidRPr="00490C53" w14:paraId="79BF304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729BED5F" w14:textId="77777777" w:rsidR="002B5D18" w:rsidRPr="00490C53" w:rsidRDefault="002B5D18">
            <w:pPr>
              <w:pStyle w:val="Tabletext"/>
              <w:rPr>
                <w:lang w:eastAsia="en-GB"/>
              </w:rPr>
            </w:pPr>
          </w:p>
        </w:tc>
        <w:tc>
          <w:tcPr>
            <w:tcW w:w="1047" w:type="pct"/>
            <w:noWrap/>
            <w:vAlign w:val="center"/>
            <w:hideMark/>
          </w:tcPr>
          <w:p w14:paraId="62EE4C1F" w14:textId="77777777" w:rsidR="002B5D18" w:rsidRPr="00490C53" w:rsidRDefault="002B5D18">
            <w:pPr>
              <w:pStyle w:val="Tabletext"/>
              <w:rPr>
                <w:lang w:eastAsia="en-GB"/>
              </w:rPr>
            </w:pPr>
            <w:r w:rsidRPr="00490C53">
              <w:rPr>
                <w:lang w:eastAsia="en-GB"/>
              </w:rPr>
              <w:t>Scotland</w:t>
            </w:r>
          </w:p>
        </w:tc>
        <w:tc>
          <w:tcPr>
            <w:tcW w:w="1488" w:type="pct"/>
            <w:noWrap/>
            <w:vAlign w:val="center"/>
          </w:tcPr>
          <w:p w14:paraId="6AEB2FC7" w14:textId="77777777" w:rsidR="002B5D18" w:rsidRPr="00490C53" w:rsidRDefault="002B5D18">
            <w:pPr>
              <w:pStyle w:val="Tabletext"/>
              <w:jc w:val="right"/>
              <w:rPr>
                <w:lang w:eastAsia="en-GB"/>
              </w:rPr>
            </w:pPr>
            <w:r w:rsidRPr="00490C53">
              <w:t>0.37%</w:t>
            </w:r>
          </w:p>
        </w:tc>
        <w:tc>
          <w:tcPr>
            <w:tcW w:w="1488" w:type="pct"/>
            <w:noWrap/>
            <w:vAlign w:val="center"/>
          </w:tcPr>
          <w:p w14:paraId="5B94E26C" w14:textId="77777777" w:rsidR="002B5D18" w:rsidRPr="00490C53" w:rsidRDefault="002B5D18">
            <w:pPr>
              <w:pStyle w:val="Tabletext"/>
              <w:jc w:val="right"/>
              <w:rPr>
                <w:lang w:eastAsia="en-GB"/>
              </w:rPr>
            </w:pPr>
            <w:r w:rsidRPr="00490C53">
              <w:t>2.59%</w:t>
            </w:r>
          </w:p>
        </w:tc>
      </w:tr>
      <w:tr w:rsidR="002B5D18" w:rsidRPr="00490C53" w14:paraId="67E20188" w14:textId="77777777">
        <w:tblPrEx>
          <w:tblCellMar>
            <w:left w:w="108" w:type="dxa"/>
            <w:right w:w="108" w:type="dxa"/>
          </w:tblCellMar>
        </w:tblPrEx>
        <w:trPr>
          <w:trHeight w:val="290"/>
        </w:trPr>
        <w:tc>
          <w:tcPr>
            <w:tcW w:w="977" w:type="pct"/>
            <w:noWrap/>
            <w:vAlign w:val="center"/>
          </w:tcPr>
          <w:p w14:paraId="36AB4AD0" w14:textId="77777777" w:rsidR="002B5D18" w:rsidRPr="00490C53" w:rsidRDefault="002B5D18">
            <w:pPr>
              <w:pStyle w:val="Tabletext"/>
              <w:rPr>
                <w:lang w:eastAsia="en-GB"/>
              </w:rPr>
            </w:pPr>
          </w:p>
        </w:tc>
        <w:tc>
          <w:tcPr>
            <w:tcW w:w="1047" w:type="pct"/>
            <w:noWrap/>
            <w:vAlign w:val="center"/>
            <w:hideMark/>
          </w:tcPr>
          <w:p w14:paraId="6461EAB2" w14:textId="77777777" w:rsidR="002B5D18" w:rsidRPr="00490C53" w:rsidRDefault="002B5D18">
            <w:pPr>
              <w:pStyle w:val="Tabletext"/>
              <w:rPr>
                <w:lang w:eastAsia="en-GB"/>
              </w:rPr>
            </w:pPr>
            <w:r w:rsidRPr="00490C53">
              <w:rPr>
                <w:lang w:eastAsia="en-GB"/>
              </w:rPr>
              <w:t>South</w:t>
            </w:r>
          </w:p>
        </w:tc>
        <w:tc>
          <w:tcPr>
            <w:tcW w:w="1488" w:type="pct"/>
            <w:noWrap/>
            <w:vAlign w:val="center"/>
          </w:tcPr>
          <w:p w14:paraId="1B75A667" w14:textId="77777777" w:rsidR="002B5D18" w:rsidRPr="00490C53" w:rsidRDefault="002B5D18">
            <w:pPr>
              <w:pStyle w:val="Tabletext"/>
              <w:jc w:val="right"/>
              <w:rPr>
                <w:lang w:eastAsia="en-GB"/>
              </w:rPr>
            </w:pPr>
            <w:r w:rsidRPr="00490C53">
              <w:t>0.00%</w:t>
            </w:r>
          </w:p>
        </w:tc>
        <w:tc>
          <w:tcPr>
            <w:tcW w:w="1488" w:type="pct"/>
            <w:noWrap/>
            <w:vAlign w:val="center"/>
          </w:tcPr>
          <w:p w14:paraId="0B7D7AF0" w14:textId="77777777" w:rsidR="002B5D18" w:rsidRPr="00490C53" w:rsidRDefault="002B5D18">
            <w:pPr>
              <w:pStyle w:val="Tabletext"/>
              <w:jc w:val="right"/>
              <w:rPr>
                <w:lang w:eastAsia="en-GB"/>
              </w:rPr>
            </w:pPr>
            <w:r w:rsidRPr="00490C53">
              <w:t>0.00%</w:t>
            </w:r>
          </w:p>
        </w:tc>
      </w:tr>
      <w:tr w:rsidR="002B5D18" w:rsidRPr="00490C53" w14:paraId="46A2B34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6461AF06" w14:textId="77777777" w:rsidR="002B5D18" w:rsidRPr="00490C53" w:rsidRDefault="002B5D18">
            <w:pPr>
              <w:pStyle w:val="Tabletext"/>
              <w:rPr>
                <w:lang w:eastAsia="en-GB"/>
              </w:rPr>
            </w:pPr>
          </w:p>
        </w:tc>
        <w:tc>
          <w:tcPr>
            <w:tcW w:w="1047" w:type="pct"/>
            <w:noWrap/>
            <w:vAlign w:val="center"/>
            <w:hideMark/>
          </w:tcPr>
          <w:p w14:paraId="1284533F" w14:textId="77777777" w:rsidR="002B5D18" w:rsidRPr="00490C53" w:rsidRDefault="002B5D18">
            <w:pPr>
              <w:pStyle w:val="Tabletext"/>
              <w:rPr>
                <w:lang w:eastAsia="en-GB"/>
              </w:rPr>
            </w:pPr>
            <w:r w:rsidRPr="00490C53">
              <w:rPr>
                <w:lang w:eastAsia="en-GB"/>
              </w:rPr>
              <w:t>Wales</w:t>
            </w:r>
          </w:p>
        </w:tc>
        <w:tc>
          <w:tcPr>
            <w:tcW w:w="1488" w:type="pct"/>
            <w:noWrap/>
            <w:vAlign w:val="center"/>
          </w:tcPr>
          <w:p w14:paraId="797A5819" w14:textId="77777777" w:rsidR="002B5D18" w:rsidRPr="00490C53" w:rsidRDefault="002B5D18">
            <w:pPr>
              <w:pStyle w:val="Tabletext"/>
              <w:jc w:val="right"/>
              <w:rPr>
                <w:lang w:eastAsia="en-GB"/>
              </w:rPr>
            </w:pPr>
            <w:r w:rsidRPr="00490C53">
              <w:t>2.44%</w:t>
            </w:r>
          </w:p>
        </w:tc>
        <w:tc>
          <w:tcPr>
            <w:tcW w:w="1488" w:type="pct"/>
            <w:noWrap/>
            <w:vAlign w:val="center"/>
          </w:tcPr>
          <w:p w14:paraId="6592AA78" w14:textId="77777777" w:rsidR="002B5D18" w:rsidRPr="00490C53" w:rsidRDefault="002B5D18">
            <w:pPr>
              <w:pStyle w:val="Tabletext"/>
              <w:jc w:val="right"/>
              <w:rPr>
                <w:lang w:eastAsia="en-GB"/>
              </w:rPr>
            </w:pPr>
            <w:r w:rsidRPr="00490C53">
              <w:t>1.72%</w:t>
            </w:r>
          </w:p>
        </w:tc>
      </w:tr>
      <w:tr w:rsidR="002B5D18" w:rsidRPr="00490C53" w14:paraId="68694DDA" w14:textId="77777777">
        <w:tblPrEx>
          <w:tblCellMar>
            <w:left w:w="108" w:type="dxa"/>
            <w:right w:w="108" w:type="dxa"/>
          </w:tblCellMar>
        </w:tblPrEx>
        <w:trPr>
          <w:trHeight w:val="290"/>
        </w:trPr>
        <w:tc>
          <w:tcPr>
            <w:tcW w:w="977" w:type="pct"/>
            <w:noWrap/>
            <w:vAlign w:val="center"/>
            <w:hideMark/>
          </w:tcPr>
          <w:p w14:paraId="6AC59EE2" w14:textId="77777777" w:rsidR="002B5D18" w:rsidRPr="00490C53" w:rsidRDefault="002B5D18">
            <w:pPr>
              <w:pStyle w:val="Tabletext"/>
              <w:rPr>
                <w:lang w:eastAsia="en-GB"/>
              </w:rPr>
            </w:pPr>
            <w:r w:rsidRPr="00490C53">
              <w:rPr>
                <w:lang w:eastAsia="en-GB"/>
              </w:rPr>
              <w:t>Sector</w:t>
            </w:r>
          </w:p>
        </w:tc>
        <w:tc>
          <w:tcPr>
            <w:tcW w:w="1047" w:type="pct"/>
            <w:noWrap/>
            <w:vAlign w:val="center"/>
            <w:hideMark/>
          </w:tcPr>
          <w:p w14:paraId="3A6D455B" w14:textId="77777777" w:rsidR="002B5D18" w:rsidRPr="00490C53" w:rsidRDefault="002B5D18">
            <w:pPr>
              <w:pStyle w:val="Tabletext"/>
              <w:rPr>
                <w:lang w:eastAsia="en-GB"/>
              </w:rPr>
            </w:pPr>
            <w:r w:rsidRPr="00490C53">
              <w:rPr>
                <w:lang w:eastAsia="en-GB"/>
              </w:rPr>
              <w:t>Business services</w:t>
            </w:r>
          </w:p>
        </w:tc>
        <w:tc>
          <w:tcPr>
            <w:tcW w:w="1488" w:type="pct"/>
            <w:noWrap/>
            <w:vAlign w:val="center"/>
          </w:tcPr>
          <w:p w14:paraId="0D0A7447" w14:textId="77777777" w:rsidR="002B5D18" w:rsidRPr="00490C53" w:rsidRDefault="002B5D18">
            <w:pPr>
              <w:pStyle w:val="Tabletext"/>
              <w:jc w:val="right"/>
              <w:rPr>
                <w:lang w:eastAsia="en-GB"/>
              </w:rPr>
            </w:pPr>
            <w:r w:rsidRPr="00490C53">
              <w:t>4.90%</w:t>
            </w:r>
          </w:p>
        </w:tc>
        <w:tc>
          <w:tcPr>
            <w:tcW w:w="1488" w:type="pct"/>
            <w:noWrap/>
            <w:vAlign w:val="center"/>
          </w:tcPr>
          <w:p w14:paraId="651B6E74" w14:textId="77777777" w:rsidR="002B5D18" w:rsidRPr="00490C53" w:rsidRDefault="002B5D18">
            <w:pPr>
              <w:pStyle w:val="Tabletext"/>
              <w:jc w:val="right"/>
              <w:rPr>
                <w:lang w:eastAsia="en-GB"/>
              </w:rPr>
            </w:pPr>
            <w:r w:rsidRPr="00490C53">
              <w:t>3.62%</w:t>
            </w:r>
          </w:p>
        </w:tc>
      </w:tr>
      <w:tr w:rsidR="002B5D18" w:rsidRPr="00490C53" w14:paraId="2FA6C79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2ADC8BBF" w14:textId="77777777" w:rsidR="002B5D18" w:rsidRPr="00490C53" w:rsidRDefault="002B5D18">
            <w:pPr>
              <w:pStyle w:val="Tabletext"/>
              <w:rPr>
                <w:lang w:eastAsia="en-GB"/>
              </w:rPr>
            </w:pPr>
          </w:p>
        </w:tc>
        <w:tc>
          <w:tcPr>
            <w:tcW w:w="1047" w:type="pct"/>
            <w:noWrap/>
            <w:vAlign w:val="center"/>
            <w:hideMark/>
          </w:tcPr>
          <w:p w14:paraId="69E9F946" w14:textId="77777777" w:rsidR="002B5D18" w:rsidRPr="00490C53" w:rsidRDefault="002B5D18">
            <w:pPr>
              <w:pStyle w:val="Tabletext"/>
              <w:rPr>
                <w:lang w:eastAsia="en-GB"/>
              </w:rPr>
            </w:pPr>
            <w:r w:rsidRPr="00490C53">
              <w:rPr>
                <w:lang w:eastAsia="en-GB"/>
              </w:rPr>
              <w:t>Construction</w:t>
            </w:r>
          </w:p>
        </w:tc>
        <w:tc>
          <w:tcPr>
            <w:tcW w:w="1488" w:type="pct"/>
            <w:noWrap/>
            <w:vAlign w:val="center"/>
          </w:tcPr>
          <w:p w14:paraId="500CD8EE" w14:textId="77777777" w:rsidR="002B5D18" w:rsidRPr="00490C53" w:rsidRDefault="002B5D18">
            <w:pPr>
              <w:pStyle w:val="Tabletext"/>
              <w:jc w:val="right"/>
              <w:rPr>
                <w:lang w:eastAsia="en-GB"/>
              </w:rPr>
            </w:pPr>
            <w:r w:rsidRPr="00490C53">
              <w:t>3.14%</w:t>
            </w:r>
          </w:p>
        </w:tc>
        <w:tc>
          <w:tcPr>
            <w:tcW w:w="1488" w:type="pct"/>
            <w:noWrap/>
            <w:vAlign w:val="center"/>
          </w:tcPr>
          <w:p w14:paraId="17EB0EE3" w14:textId="77777777" w:rsidR="002B5D18" w:rsidRPr="00490C53" w:rsidRDefault="002B5D18">
            <w:pPr>
              <w:pStyle w:val="Tabletext"/>
              <w:jc w:val="right"/>
              <w:rPr>
                <w:lang w:eastAsia="en-GB"/>
              </w:rPr>
            </w:pPr>
            <w:r w:rsidRPr="00490C53">
              <w:t>0.34%</w:t>
            </w:r>
          </w:p>
        </w:tc>
      </w:tr>
      <w:tr w:rsidR="002B5D18" w:rsidRPr="00490C53" w14:paraId="1ADF6213" w14:textId="77777777">
        <w:tblPrEx>
          <w:tblCellMar>
            <w:left w:w="108" w:type="dxa"/>
            <w:right w:w="108" w:type="dxa"/>
          </w:tblCellMar>
        </w:tblPrEx>
        <w:trPr>
          <w:trHeight w:val="290"/>
        </w:trPr>
        <w:tc>
          <w:tcPr>
            <w:tcW w:w="977" w:type="pct"/>
            <w:noWrap/>
            <w:vAlign w:val="center"/>
          </w:tcPr>
          <w:p w14:paraId="2C431338" w14:textId="77777777" w:rsidR="002B5D18" w:rsidRPr="00490C53" w:rsidRDefault="002B5D18">
            <w:pPr>
              <w:pStyle w:val="Tabletext"/>
              <w:rPr>
                <w:lang w:eastAsia="en-GB"/>
              </w:rPr>
            </w:pPr>
          </w:p>
        </w:tc>
        <w:tc>
          <w:tcPr>
            <w:tcW w:w="1047" w:type="pct"/>
            <w:noWrap/>
            <w:vAlign w:val="center"/>
            <w:hideMark/>
          </w:tcPr>
          <w:p w14:paraId="24450364" w14:textId="77777777" w:rsidR="002B5D18" w:rsidRPr="00490C53" w:rsidRDefault="002B5D18">
            <w:pPr>
              <w:pStyle w:val="Tabletext"/>
              <w:rPr>
                <w:lang w:eastAsia="en-GB"/>
              </w:rPr>
            </w:pPr>
            <w:r w:rsidRPr="00490C53">
              <w:rPr>
                <w:lang w:eastAsia="en-GB"/>
              </w:rPr>
              <w:t>Distribution</w:t>
            </w:r>
          </w:p>
        </w:tc>
        <w:tc>
          <w:tcPr>
            <w:tcW w:w="1488" w:type="pct"/>
            <w:noWrap/>
            <w:vAlign w:val="center"/>
          </w:tcPr>
          <w:p w14:paraId="069FE813" w14:textId="77777777" w:rsidR="002B5D18" w:rsidRPr="00490C53" w:rsidRDefault="002B5D18">
            <w:pPr>
              <w:pStyle w:val="Tabletext"/>
              <w:jc w:val="right"/>
              <w:rPr>
                <w:lang w:eastAsia="en-GB"/>
              </w:rPr>
            </w:pPr>
            <w:r w:rsidRPr="00490C53">
              <w:t>4.38%</w:t>
            </w:r>
          </w:p>
        </w:tc>
        <w:tc>
          <w:tcPr>
            <w:tcW w:w="1488" w:type="pct"/>
            <w:noWrap/>
            <w:vAlign w:val="center"/>
          </w:tcPr>
          <w:p w14:paraId="3F96E516" w14:textId="77777777" w:rsidR="002B5D18" w:rsidRPr="00490C53" w:rsidRDefault="002B5D18">
            <w:pPr>
              <w:pStyle w:val="Tabletext"/>
              <w:jc w:val="right"/>
              <w:rPr>
                <w:lang w:eastAsia="en-GB"/>
              </w:rPr>
            </w:pPr>
            <w:r w:rsidRPr="00490C53">
              <w:t>6.21%</w:t>
            </w:r>
          </w:p>
        </w:tc>
      </w:tr>
      <w:tr w:rsidR="002B5D18" w:rsidRPr="00490C53" w14:paraId="4794F82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06C227A8" w14:textId="77777777" w:rsidR="002B5D18" w:rsidRPr="00490C53" w:rsidRDefault="002B5D18">
            <w:pPr>
              <w:pStyle w:val="Tabletext"/>
              <w:rPr>
                <w:lang w:eastAsia="en-GB"/>
              </w:rPr>
            </w:pPr>
          </w:p>
        </w:tc>
        <w:tc>
          <w:tcPr>
            <w:tcW w:w="1047" w:type="pct"/>
            <w:noWrap/>
            <w:vAlign w:val="center"/>
            <w:hideMark/>
          </w:tcPr>
          <w:p w14:paraId="617806B6" w14:textId="77777777" w:rsidR="002B5D18" w:rsidRPr="00490C53" w:rsidRDefault="002B5D18">
            <w:pPr>
              <w:pStyle w:val="Tabletext"/>
              <w:rPr>
                <w:lang w:eastAsia="en-GB"/>
              </w:rPr>
            </w:pPr>
            <w:r w:rsidRPr="00490C53">
              <w:rPr>
                <w:lang w:eastAsia="en-GB"/>
              </w:rPr>
              <w:t>Other Services</w:t>
            </w:r>
          </w:p>
        </w:tc>
        <w:tc>
          <w:tcPr>
            <w:tcW w:w="1488" w:type="pct"/>
            <w:noWrap/>
            <w:vAlign w:val="center"/>
          </w:tcPr>
          <w:p w14:paraId="54A6542D" w14:textId="77777777" w:rsidR="002B5D18" w:rsidRPr="00490C53" w:rsidRDefault="002B5D18">
            <w:pPr>
              <w:pStyle w:val="Tabletext"/>
              <w:jc w:val="right"/>
              <w:rPr>
                <w:lang w:eastAsia="en-GB"/>
              </w:rPr>
            </w:pPr>
            <w:r w:rsidRPr="00490C53">
              <w:t>2.33%</w:t>
            </w:r>
          </w:p>
        </w:tc>
        <w:tc>
          <w:tcPr>
            <w:tcW w:w="1488" w:type="pct"/>
            <w:noWrap/>
            <w:vAlign w:val="center"/>
          </w:tcPr>
          <w:p w14:paraId="0BF816F2" w14:textId="77777777" w:rsidR="002B5D18" w:rsidRPr="00490C53" w:rsidRDefault="002B5D18">
            <w:pPr>
              <w:pStyle w:val="Tabletext"/>
              <w:jc w:val="right"/>
              <w:rPr>
                <w:lang w:eastAsia="en-GB"/>
              </w:rPr>
            </w:pPr>
            <w:r w:rsidRPr="00490C53">
              <w:t>0.52%</w:t>
            </w:r>
          </w:p>
        </w:tc>
      </w:tr>
      <w:tr w:rsidR="002B5D18" w:rsidRPr="00490C53" w14:paraId="2B3B1DFE" w14:textId="77777777">
        <w:tblPrEx>
          <w:tblCellMar>
            <w:left w:w="108" w:type="dxa"/>
            <w:right w:w="108" w:type="dxa"/>
          </w:tblCellMar>
        </w:tblPrEx>
        <w:trPr>
          <w:trHeight w:val="290"/>
        </w:trPr>
        <w:tc>
          <w:tcPr>
            <w:tcW w:w="977" w:type="pct"/>
            <w:noWrap/>
            <w:vAlign w:val="center"/>
          </w:tcPr>
          <w:p w14:paraId="39012A37" w14:textId="77777777" w:rsidR="002B5D18" w:rsidRPr="00490C53" w:rsidRDefault="002B5D18">
            <w:pPr>
              <w:pStyle w:val="Tabletext"/>
              <w:rPr>
                <w:lang w:eastAsia="en-GB"/>
              </w:rPr>
            </w:pPr>
          </w:p>
        </w:tc>
        <w:tc>
          <w:tcPr>
            <w:tcW w:w="1047" w:type="pct"/>
            <w:noWrap/>
            <w:vAlign w:val="center"/>
            <w:hideMark/>
          </w:tcPr>
          <w:p w14:paraId="7CBD5A57" w14:textId="77777777" w:rsidR="002B5D18" w:rsidRPr="00490C53" w:rsidRDefault="002B5D18">
            <w:pPr>
              <w:pStyle w:val="Tabletext"/>
              <w:rPr>
                <w:lang w:eastAsia="en-GB"/>
              </w:rPr>
            </w:pPr>
            <w:r w:rsidRPr="00490C53">
              <w:rPr>
                <w:lang w:eastAsia="en-GB"/>
              </w:rPr>
              <w:t>Production</w:t>
            </w:r>
          </w:p>
        </w:tc>
        <w:tc>
          <w:tcPr>
            <w:tcW w:w="1488" w:type="pct"/>
            <w:noWrap/>
            <w:vAlign w:val="center"/>
          </w:tcPr>
          <w:p w14:paraId="073FBE0F" w14:textId="77777777" w:rsidR="002B5D18" w:rsidRPr="00490C53" w:rsidRDefault="002B5D18">
            <w:pPr>
              <w:pStyle w:val="Tabletext"/>
              <w:jc w:val="right"/>
              <w:rPr>
                <w:lang w:eastAsia="en-GB"/>
              </w:rPr>
            </w:pPr>
            <w:r w:rsidRPr="00490C53">
              <w:t>0.30%</w:t>
            </w:r>
          </w:p>
        </w:tc>
        <w:tc>
          <w:tcPr>
            <w:tcW w:w="1488" w:type="pct"/>
            <w:noWrap/>
            <w:vAlign w:val="center"/>
          </w:tcPr>
          <w:p w14:paraId="336B0211" w14:textId="77777777" w:rsidR="002B5D18" w:rsidRPr="00490C53" w:rsidRDefault="002B5D18">
            <w:pPr>
              <w:pStyle w:val="Tabletext"/>
              <w:jc w:val="right"/>
              <w:rPr>
                <w:lang w:eastAsia="en-GB"/>
              </w:rPr>
            </w:pPr>
            <w:r w:rsidRPr="00490C53">
              <w:t>1.72%</w:t>
            </w:r>
          </w:p>
        </w:tc>
      </w:tr>
      <w:tr w:rsidR="002B5D18" w:rsidRPr="00490C53" w14:paraId="728A7A3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hideMark/>
          </w:tcPr>
          <w:p w14:paraId="15FA6E9F" w14:textId="77777777" w:rsidR="002B5D18" w:rsidRPr="00490C53" w:rsidRDefault="002B5D18">
            <w:pPr>
              <w:pStyle w:val="Tabletext"/>
              <w:rPr>
                <w:lang w:eastAsia="en-GB"/>
              </w:rPr>
            </w:pPr>
            <w:r w:rsidRPr="00490C53">
              <w:rPr>
                <w:lang w:eastAsia="en-GB"/>
              </w:rPr>
              <w:t>Age</w:t>
            </w:r>
          </w:p>
        </w:tc>
        <w:tc>
          <w:tcPr>
            <w:tcW w:w="1047" w:type="pct"/>
            <w:noWrap/>
            <w:vAlign w:val="center"/>
            <w:hideMark/>
          </w:tcPr>
          <w:p w14:paraId="437278F7" w14:textId="77777777" w:rsidR="002B5D18" w:rsidRPr="00490C53" w:rsidRDefault="002B5D18">
            <w:pPr>
              <w:pStyle w:val="Tabletext"/>
              <w:rPr>
                <w:lang w:eastAsia="en-GB"/>
              </w:rPr>
            </w:pPr>
            <w:r w:rsidRPr="00490C53">
              <w:rPr>
                <w:lang w:eastAsia="en-GB"/>
              </w:rPr>
              <w:t>5 years or less</w:t>
            </w:r>
          </w:p>
        </w:tc>
        <w:tc>
          <w:tcPr>
            <w:tcW w:w="1488" w:type="pct"/>
            <w:noWrap/>
            <w:vAlign w:val="center"/>
          </w:tcPr>
          <w:p w14:paraId="19978635" w14:textId="77777777" w:rsidR="002B5D18" w:rsidRPr="00490C53" w:rsidRDefault="002B5D18">
            <w:pPr>
              <w:pStyle w:val="Tabletext"/>
              <w:jc w:val="right"/>
              <w:rPr>
                <w:lang w:eastAsia="en-GB"/>
              </w:rPr>
            </w:pPr>
            <w:r w:rsidRPr="00490C53">
              <w:t>7.39%</w:t>
            </w:r>
          </w:p>
        </w:tc>
        <w:tc>
          <w:tcPr>
            <w:tcW w:w="1488" w:type="pct"/>
            <w:noWrap/>
            <w:vAlign w:val="center"/>
          </w:tcPr>
          <w:p w14:paraId="65045700" w14:textId="77777777" w:rsidR="002B5D18" w:rsidRPr="00490C53" w:rsidRDefault="002B5D18">
            <w:pPr>
              <w:pStyle w:val="Tabletext"/>
              <w:jc w:val="right"/>
              <w:rPr>
                <w:lang w:eastAsia="en-GB"/>
              </w:rPr>
            </w:pPr>
            <w:r w:rsidRPr="00490C53">
              <w:t>0.86%</w:t>
            </w:r>
          </w:p>
        </w:tc>
      </w:tr>
      <w:tr w:rsidR="002B5D18" w:rsidRPr="00490C53" w14:paraId="79D575B7" w14:textId="77777777">
        <w:tblPrEx>
          <w:tblCellMar>
            <w:left w:w="108" w:type="dxa"/>
            <w:right w:w="108" w:type="dxa"/>
          </w:tblCellMar>
        </w:tblPrEx>
        <w:trPr>
          <w:trHeight w:val="290"/>
        </w:trPr>
        <w:tc>
          <w:tcPr>
            <w:tcW w:w="977" w:type="pct"/>
            <w:noWrap/>
            <w:vAlign w:val="center"/>
          </w:tcPr>
          <w:p w14:paraId="45802477" w14:textId="77777777" w:rsidR="002B5D18" w:rsidRPr="00490C53" w:rsidRDefault="002B5D18">
            <w:pPr>
              <w:pStyle w:val="Tabletext"/>
              <w:rPr>
                <w:lang w:eastAsia="en-GB"/>
              </w:rPr>
            </w:pPr>
          </w:p>
        </w:tc>
        <w:tc>
          <w:tcPr>
            <w:tcW w:w="1047" w:type="pct"/>
            <w:noWrap/>
            <w:vAlign w:val="center"/>
            <w:hideMark/>
          </w:tcPr>
          <w:p w14:paraId="6003CCF5" w14:textId="77777777" w:rsidR="002B5D18" w:rsidRPr="00490C53" w:rsidRDefault="002B5D18">
            <w:pPr>
              <w:pStyle w:val="Tabletext"/>
              <w:rPr>
                <w:lang w:eastAsia="en-GB"/>
              </w:rPr>
            </w:pPr>
            <w:r w:rsidRPr="00490C53">
              <w:rPr>
                <w:lang w:eastAsia="en-GB"/>
              </w:rPr>
              <w:t>6 to 9 years</w:t>
            </w:r>
          </w:p>
        </w:tc>
        <w:tc>
          <w:tcPr>
            <w:tcW w:w="1488" w:type="pct"/>
            <w:noWrap/>
            <w:vAlign w:val="center"/>
          </w:tcPr>
          <w:p w14:paraId="0CDACA25" w14:textId="77777777" w:rsidR="002B5D18" w:rsidRPr="00490C53" w:rsidRDefault="002B5D18">
            <w:pPr>
              <w:pStyle w:val="Tabletext"/>
              <w:jc w:val="right"/>
              <w:rPr>
                <w:lang w:eastAsia="en-GB"/>
              </w:rPr>
            </w:pPr>
            <w:r w:rsidRPr="00490C53">
              <w:t>2.55%</w:t>
            </w:r>
          </w:p>
        </w:tc>
        <w:tc>
          <w:tcPr>
            <w:tcW w:w="1488" w:type="pct"/>
            <w:noWrap/>
            <w:vAlign w:val="center"/>
          </w:tcPr>
          <w:p w14:paraId="40899993" w14:textId="77777777" w:rsidR="002B5D18" w:rsidRPr="00490C53" w:rsidRDefault="002B5D18">
            <w:pPr>
              <w:pStyle w:val="Tabletext"/>
              <w:jc w:val="right"/>
              <w:rPr>
                <w:lang w:eastAsia="en-GB"/>
              </w:rPr>
            </w:pPr>
            <w:r w:rsidRPr="00490C53">
              <w:t>3.79%</w:t>
            </w:r>
          </w:p>
        </w:tc>
      </w:tr>
      <w:tr w:rsidR="002B5D18" w:rsidRPr="00490C53" w14:paraId="0F747BB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0D11DB1B" w14:textId="77777777" w:rsidR="002B5D18" w:rsidRPr="00490C53" w:rsidRDefault="002B5D18">
            <w:pPr>
              <w:pStyle w:val="Tabletext"/>
              <w:rPr>
                <w:lang w:eastAsia="en-GB"/>
              </w:rPr>
            </w:pPr>
          </w:p>
        </w:tc>
        <w:tc>
          <w:tcPr>
            <w:tcW w:w="1047" w:type="pct"/>
            <w:noWrap/>
            <w:vAlign w:val="center"/>
            <w:hideMark/>
          </w:tcPr>
          <w:p w14:paraId="010F4466" w14:textId="77777777" w:rsidR="002B5D18" w:rsidRPr="00490C53" w:rsidRDefault="002B5D18">
            <w:pPr>
              <w:pStyle w:val="Tabletext"/>
              <w:rPr>
                <w:lang w:eastAsia="en-GB"/>
              </w:rPr>
            </w:pPr>
            <w:r w:rsidRPr="00490C53">
              <w:rPr>
                <w:lang w:eastAsia="en-GB"/>
              </w:rPr>
              <w:t>10 to 15 years</w:t>
            </w:r>
          </w:p>
        </w:tc>
        <w:tc>
          <w:tcPr>
            <w:tcW w:w="1488" w:type="pct"/>
            <w:noWrap/>
            <w:vAlign w:val="center"/>
          </w:tcPr>
          <w:p w14:paraId="41BFA943" w14:textId="77777777" w:rsidR="002B5D18" w:rsidRPr="00490C53" w:rsidRDefault="002B5D18">
            <w:pPr>
              <w:pStyle w:val="Tabletext"/>
              <w:jc w:val="right"/>
              <w:rPr>
                <w:lang w:eastAsia="en-GB"/>
              </w:rPr>
            </w:pPr>
            <w:r w:rsidRPr="00490C53">
              <w:t>6.07%</w:t>
            </w:r>
          </w:p>
        </w:tc>
        <w:tc>
          <w:tcPr>
            <w:tcW w:w="1488" w:type="pct"/>
            <w:noWrap/>
            <w:vAlign w:val="center"/>
          </w:tcPr>
          <w:p w14:paraId="70CD4F9F" w14:textId="77777777" w:rsidR="002B5D18" w:rsidRPr="00490C53" w:rsidRDefault="002B5D18">
            <w:pPr>
              <w:pStyle w:val="Tabletext"/>
              <w:jc w:val="right"/>
              <w:rPr>
                <w:lang w:eastAsia="en-GB"/>
              </w:rPr>
            </w:pPr>
            <w:r w:rsidRPr="00490C53">
              <w:t>3.97%</w:t>
            </w:r>
          </w:p>
        </w:tc>
      </w:tr>
      <w:tr w:rsidR="002B5D18" w:rsidRPr="00490C53" w14:paraId="50646772" w14:textId="77777777">
        <w:tblPrEx>
          <w:tblCellMar>
            <w:left w:w="108" w:type="dxa"/>
            <w:right w:w="108" w:type="dxa"/>
          </w:tblCellMar>
        </w:tblPrEx>
        <w:trPr>
          <w:trHeight w:val="290"/>
        </w:trPr>
        <w:tc>
          <w:tcPr>
            <w:tcW w:w="977" w:type="pct"/>
            <w:noWrap/>
            <w:vAlign w:val="center"/>
          </w:tcPr>
          <w:p w14:paraId="02BB56E1" w14:textId="77777777" w:rsidR="002B5D18" w:rsidRPr="00490C53" w:rsidRDefault="002B5D18">
            <w:pPr>
              <w:pStyle w:val="Tabletext"/>
              <w:rPr>
                <w:lang w:eastAsia="en-GB"/>
              </w:rPr>
            </w:pPr>
          </w:p>
        </w:tc>
        <w:tc>
          <w:tcPr>
            <w:tcW w:w="1047" w:type="pct"/>
            <w:noWrap/>
            <w:vAlign w:val="center"/>
            <w:hideMark/>
          </w:tcPr>
          <w:p w14:paraId="6800B414" w14:textId="77777777" w:rsidR="002B5D18" w:rsidRPr="00490C53" w:rsidRDefault="002B5D18">
            <w:pPr>
              <w:pStyle w:val="Tabletext"/>
              <w:rPr>
                <w:lang w:eastAsia="en-GB"/>
              </w:rPr>
            </w:pPr>
            <w:r w:rsidRPr="00490C53">
              <w:rPr>
                <w:lang w:eastAsia="en-GB"/>
              </w:rPr>
              <w:t>16 to 20 years</w:t>
            </w:r>
          </w:p>
        </w:tc>
        <w:tc>
          <w:tcPr>
            <w:tcW w:w="1488" w:type="pct"/>
            <w:noWrap/>
            <w:vAlign w:val="center"/>
          </w:tcPr>
          <w:p w14:paraId="7E0941E6" w14:textId="77777777" w:rsidR="002B5D18" w:rsidRPr="00490C53" w:rsidRDefault="002B5D18">
            <w:pPr>
              <w:pStyle w:val="Tabletext"/>
              <w:jc w:val="right"/>
              <w:rPr>
                <w:lang w:eastAsia="en-GB"/>
              </w:rPr>
            </w:pPr>
            <w:r w:rsidRPr="00490C53">
              <w:t>0.87%</w:t>
            </w:r>
          </w:p>
        </w:tc>
        <w:tc>
          <w:tcPr>
            <w:tcW w:w="1488" w:type="pct"/>
            <w:noWrap/>
            <w:vAlign w:val="center"/>
          </w:tcPr>
          <w:p w14:paraId="44321535" w14:textId="77777777" w:rsidR="002B5D18" w:rsidRPr="00490C53" w:rsidRDefault="002B5D18">
            <w:pPr>
              <w:pStyle w:val="Tabletext"/>
              <w:jc w:val="right"/>
              <w:rPr>
                <w:lang w:eastAsia="en-GB"/>
              </w:rPr>
            </w:pPr>
            <w:r w:rsidRPr="00490C53">
              <w:t>2.59%</w:t>
            </w:r>
          </w:p>
        </w:tc>
      </w:tr>
      <w:tr w:rsidR="002B5D18" w:rsidRPr="00490C53" w14:paraId="11417E7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center"/>
          </w:tcPr>
          <w:p w14:paraId="36E16E69" w14:textId="77777777" w:rsidR="002B5D18" w:rsidRPr="00490C53" w:rsidRDefault="002B5D18">
            <w:pPr>
              <w:pStyle w:val="Tabletext"/>
              <w:rPr>
                <w:lang w:eastAsia="en-GB"/>
              </w:rPr>
            </w:pPr>
          </w:p>
        </w:tc>
        <w:tc>
          <w:tcPr>
            <w:tcW w:w="1047" w:type="pct"/>
            <w:noWrap/>
            <w:vAlign w:val="center"/>
            <w:hideMark/>
          </w:tcPr>
          <w:p w14:paraId="01557E80" w14:textId="77777777" w:rsidR="002B5D18" w:rsidRPr="00490C53" w:rsidRDefault="002B5D18">
            <w:pPr>
              <w:pStyle w:val="Tabletext"/>
              <w:rPr>
                <w:lang w:eastAsia="en-GB"/>
              </w:rPr>
            </w:pPr>
            <w:r w:rsidRPr="00490C53">
              <w:rPr>
                <w:lang w:eastAsia="en-GB"/>
              </w:rPr>
              <w:t>More than 20 years</w:t>
            </w:r>
          </w:p>
        </w:tc>
        <w:tc>
          <w:tcPr>
            <w:tcW w:w="1488" w:type="pct"/>
            <w:noWrap/>
            <w:vAlign w:val="center"/>
          </w:tcPr>
          <w:p w14:paraId="47E2AB7F" w14:textId="77777777" w:rsidR="002B5D18" w:rsidRPr="00490C53" w:rsidRDefault="002B5D18">
            <w:pPr>
              <w:pStyle w:val="Tabletext"/>
              <w:jc w:val="right"/>
              <w:rPr>
                <w:lang w:eastAsia="en-GB"/>
              </w:rPr>
            </w:pPr>
            <w:r w:rsidRPr="00490C53">
              <w:t>16.88%</w:t>
            </w:r>
          </w:p>
        </w:tc>
        <w:tc>
          <w:tcPr>
            <w:tcW w:w="1488" w:type="pct"/>
            <w:noWrap/>
            <w:vAlign w:val="center"/>
          </w:tcPr>
          <w:p w14:paraId="5DDA0D6A" w14:textId="77777777" w:rsidR="002B5D18" w:rsidRPr="00490C53" w:rsidRDefault="002B5D18">
            <w:pPr>
              <w:pStyle w:val="Tabletext"/>
              <w:jc w:val="right"/>
              <w:rPr>
                <w:lang w:eastAsia="en-GB"/>
              </w:rPr>
            </w:pPr>
            <w:r w:rsidRPr="00490C53">
              <w:t>1.55%</w:t>
            </w:r>
          </w:p>
        </w:tc>
      </w:tr>
      <w:tr w:rsidR="002B5D18" w:rsidRPr="00490C53" w14:paraId="455CD6FC" w14:textId="77777777">
        <w:tblPrEx>
          <w:tblCellMar>
            <w:left w:w="108" w:type="dxa"/>
            <w:right w:w="108" w:type="dxa"/>
          </w:tblCellMar>
        </w:tblPrEx>
        <w:trPr>
          <w:trHeight w:val="290"/>
        </w:trPr>
        <w:tc>
          <w:tcPr>
            <w:tcW w:w="977" w:type="pct"/>
            <w:tcBorders>
              <w:bottom w:val="single" w:sz="4" w:space="0" w:color="0054BA" w:themeColor="accent2"/>
            </w:tcBorders>
            <w:noWrap/>
            <w:vAlign w:val="center"/>
            <w:hideMark/>
          </w:tcPr>
          <w:p w14:paraId="189E593B" w14:textId="77777777" w:rsidR="002B5D18" w:rsidRPr="00490C53" w:rsidRDefault="002B5D18">
            <w:pPr>
              <w:pStyle w:val="Tabletext"/>
              <w:rPr>
                <w:lang w:eastAsia="en-GB"/>
              </w:rPr>
            </w:pPr>
            <w:r w:rsidRPr="00490C53">
              <w:rPr>
                <w:lang w:eastAsia="en-GB"/>
              </w:rPr>
              <w:t>Average</w:t>
            </w:r>
          </w:p>
        </w:tc>
        <w:tc>
          <w:tcPr>
            <w:tcW w:w="1047" w:type="pct"/>
            <w:tcBorders>
              <w:bottom w:val="single" w:sz="4" w:space="0" w:color="0054BA" w:themeColor="accent2"/>
            </w:tcBorders>
            <w:noWrap/>
            <w:vAlign w:val="center"/>
            <w:hideMark/>
          </w:tcPr>
          <w:p w14:paraId="0DD1DB6B" w14:textId="77777777" w:rsidR="002B5D18" w:rsidRPr="00490C53" w:rsidRDefault="002B5D18">
            <w:pPr>
              <w:pStyle w:val="Tabletext"/>
              <w:rPr>
                <w:lang w:eastAsia="en-GB"/>
              </w:rPr>
            </w:pPr>
            <w:r w:rsidRPr="00490C53">
              <w:rPr>
                <w:lang w:eastAsia="en-GB"/>
              </w:rPr>
              <w:t> </w:t>
            </w:r>
          </w:p>
        </w:tc>
        <w:tc>
          <w:tcPr>
            <w:tcW w:w="1488" w:type="pct"/>
            <w:tcBorders>
              <w:bottom w:val="single" w:sz="4" w:space="0" w:color="0054BA" w:themeColor="accent2"/>
            </w:tcBorders>
            <w:noWrap/>
            <w:vAlign w:val="center"/>
          </w:tcPr>
          <w:p w14:paraId="46DB4713" w14:textId="77777777" w:rsidR="002B5D18" w:rsidRPr="00490C53" w:rsidRDefault="002B5D18">
            <w:pPr>
              <w:pStyle w:val="Tabletext"/>
              <w:jc w:val="right"/>
              <w:rPr>
                <w:lang w:eastAsia="en-GB"/>
              </w:rPr>
            </w:pPr>
            <w:r w:rsidRPr="00490C53">
              <w:t>5.51%</w:t>
            </w:r>
          </w:p>
        </w:tc>
        <w:tc>
          <w:tcPr>
            <w:tcW w:w="1488" w:type="pct"/>
            <w:tcBorders>
              <w:bottom w:val="single" w:sz="4" w:space="0" w:color="0054BA" w:themeColor="accent2"/>
            </w:tcBorders>
            <w:noWrap/>
            <w:vAlign w:val="center"/>
          </w:tcPr>
          <w:p w14:paraId="65428E60" w14:textId="77777777" w:rsidR="002B5D18" w:rsidRPr="00490C53" w:rsidRDefault="002B5D18">
            <w:pPr>
              <w:pStyle w:val="Tabletext"/>
              <w:jc w:val="right"/>
              <w:rPr>
                <w:lang w:eastAsia="en-GB"/>
              </w:rPr>
            </w:pPr>
            <w:r w:rsidRPr="00490C53">
              <w:t>1.65%</w:t>
            </w:r>
          </w:p>
        </w:tc>
      </w:tr>
    </w:tbl>
    <w:p w14:paraId="15B060C9" w14:textId="77777777" w:rsidR="002B5D18" w:rsidRPr="00490C53" w:rsidRDefault="002B5D18" w:rsidP="002B5D18">
      <w:pPr>
        <w:pStyle w:val="Caption"/>
      </w:pPr>
      <w:r w:rsidRPr="00490C53">
        <w:t>Source: London Economics’ analysis of survey data</w:t>
      </w:r>
    </w:p>
    <w:p w14:paraId="2A7DAD54" w14:textId="45D2A67D" w:rsidR="002B5D18" w:rsidRPr="00490C53" w:rsidRDefault="002B5D18" w:rsidP="002B5D18">
      <w:pPr>
        <w:pStyle w:val="Heading5"/>
      </w:pPr>
      <w:bookmarkStart w:id="266" w:name="_Ref124159526"/>
      <w:r w:rsidRPr="00490C53">
        <w:t xml:space="preserve">Table </w:t>
      </w:r>
      <w:r w:rsidRPr="00846F78">
        <w:fldChar w:fldCharType="begin"/>
      </w:r>
      <w:r w:rsidRPr="00490C53">
        <w:instrText xml:space="preserve"> SEQ Table \* ARABIC </w:instrText>
      </w:r>
      <w:r w:rsidRPr="00846F78">
        <w:fldChar w:fldCharType="separate"/>
      </w:r>
      <w:r w:rsidR="00397D49">
        <w:rPr>
          <w:noProof/>
        </w:rPr>
        <w:t>24</w:t>
      </w:r>
      <w:r w:rsidRPr="00846F78">
        <w:fldChar w:fldCharType="end"/>
      </w:r>
      <w:bookmarkEnd w:id="266"/>
      <w:r w:rsidRPr="00490C53">
        <w:t xml:space="preserve">: Balance table </w:t>
      </w:r>
      <w:r w:rsidR="00DC510F">
        <w:t>–</w:t>
      </w:r>
      <w:r w:rsidRPr="00490C53">
        <w:t xml:space="preserve"> CBILS/CLBILS</w:t>
      </w:r>
    </w:p>
    <w:tbl>
      <w:tblPr>
        <w:tblStyle w:val="TableGrid"/>
        <w:tblW w:w="5000" w:type="pct"/>
        <w:tblLayout w:type="fixed"/>
        <w:tblLook w:val="04A0" w:firstRow="1" w:lastRow="0" w:firstColumn="1" w:lastColumn="0" w:noHBand="0" w:noVBand="1"/>
      </w:tblPr>
      <w:tblGrid>
        <w:gridCol w:w="1843"/>
        <w:gridCol w:w="2409"/>
        <w:gridCol w:w="2951"/>
        <w:gridCol w:w="2951"/>
      </w:tblGrid>
      <w:tr w:rsidR="002B5D18" w:rsidRPr="00490C53" w14:paraId="7EE7B754"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908" w:type="pct"/>
            <w:noWrap/>
            <w:vAlign w:val="center"/>
            <w:hideMark/>
          </w:tcPr>
          <w:p w14:paraId="326F2CBC" w14:textId="77777777" w:rsidR="002B5D18" w:rsidRPr="00490C53" w:rsidRDefault="002B5D18">
            <w:pPr>
              <w:pStyle w:val="Tablecolumnheading-white"/>
              <w:rPr>
                <w:lang w:eastAsia="en-GB"/>
              </w:rPr>
            </w:pPr>
            <w:r w:rsidRPr="00490C53">
              <w:rPr>
                <w:lang w:eastAsia="en-GB"/>
              </w:rPr>
              <w:t>Characteristic</w:t>
            </w:r>
          </w:p>
        </w:tc>
        <w:tc>
          <w:tcPr>
            <w:tcW w:w="1186" w:type="pct"/>
            <w:noWrap/>
            <w:vAlign w:val="center"/>
            <w:hideMark/>
          </w:tcPr>
          <w:p w14:paraId="6E13EB21" w14:textId="77777777" w:rsidR="002B5D18" w:rsidRPr="00490C53" w:rsidRDefault="002B5D18">
            <w:pPr>
              <w:pStyle w:val="Tablecolumnheading-white"/>
              <w:rPr>
                <w:lang w:eastAsia="en-GB"/>
              </w:rPr>
            </w:pPr>
            <w:r w:rsidRPr="00490C53">
              <w:rPr>
                <w:lang w:eastAsia="en-GB"/>
              </w:rPr>
              <w:t>Feature</w:t>
            </w:r>
          </w:p>
        </w:tc>
        <w:tc>
          <w:tcPr>
            <w:tcW w:w="1453" w:type="pct"/>
            <w:noWrap/>
            <w:vAlign w:val="center"/>
            <w:hideMark/>
          </w:tcPr>
          <w:p w14:paraId="0D305218" w14:textId="2D97088F" w:rsidR="002B5D18" w:rsidRPr="00490C53" w:rsidRDefault="002B5D18">
            <w:pPr>
              <w:pStyle w:val="Tabletext"/>
              <w:jc w:val="right"/>
              <w:rPr>
                <w:rFonts w:cstheme="minorHAnsi"/>
                <w:b w:val="0"/>
                <w:color w:val="FFFFFF" w:themeColor="background1"/>
                <w:szCs w:val="24"/>
                <w:lang w:eastAsia="en-GB"/>
              </w:rPr>
            </w:pPr>
            <w:r w:rsidRPr="00490C53">
              <w:rPr>
                <w:rFonts w:asciiTheme="minorHAnsi" w:hAnsiTheme="minorHAnsi" w:cstheme="minorHAnsi"/>
                <w:color w:val="FFFFFF" w:themeColor="background1"/>
                <w:szCs w:val="24"/>
                <w:lang w:eastAsia="en-GB"/>
              </w:rPr>
              <w:t xml:space="preserve">Difference in prevalence between </w:t>
            </w:r>
            <w:r w:rsidR="00D35B42">
              <w:rPr>
                <w:rFonts w:asciiTheme="minorHAnsi" w:hAnsiTheme="minorHAnsi" w:cstheme="minorHAnsi"/>
                <w:color w:val="FFFFFF" w:themeColor="background1"/>
                <w:szCs w:val="24"/>
                <w:lang w:eastAsia="en-GB"/>
              </w:rPr>
              <w:t>borrower</w:t>
            </w:r>
            <w:r w:rsidR="00D35B42" w:rsidRPr="00490C53">
              <w:rPr>
                <w:rFonts w:asciiTheme="minorHAnsi" w:hAnsiTheme="minorHAnsi" w:cstheme="minorHAnsi"/>
                <w:color w:val="FFFFFF" w:themeColor="background1"/>
                <w:szCs w:val="24"/>
                <w:lang w:eastAsia="en-GB"/>
              </w:rPr>
              <w:t xml:space="preserve"> </w:t>
            </w:r>
            <w:r w:rsidRPr="00490C53">
              <w:rPr>
                <w:rFonts w:asciiTheme="minorHAnsi" w:hAnsiTheme="minorHAnsi" w:cstheme="minorHAnsi"/>
                <w:color w:val="FFFFFF" w:themeColor="background1"/>
                <w:szCs w:val="24"/>
                <w:lang w:eastAsia="en-GB"/>
              </w:rPr>
              <w:t xml:space="preserve">and </w:t>
            </w:r>
            <w:r w:rsidR="00D35B42">
              <w:rPr>
                <w:rFonts w:asciiTheme="minorHAnsi" w:hAnsiTheme="minorHAnsi" w:cstheme="minorHAnsi"/>
                <w:color w:val="FFFFFF" w:themeColor="background1"/>
                <w:szCs w:val="24"/>
                <w:lang w:eastAsia="en-GB"/>
              </w:rPr>
              <w:t xml:space="preserve">non-borrower </w:t>
            </w:r>
            <w:r w:rsidRPr="00490C53">
              <w:rPr>
                <w:rFonts w:asciiTheme="minorHAnsi" w:hAnsiTheme="minorHAnsi" w:cstheme="minorHAnsi"/>
                <w:color w:val="FFFFFF" w:themeColor="background1"/>
                <w:szCs w:val="24"/>
                <w:lang w:eastAsia="en-GB"/>
              </w:rPr>
              <w:t>groups</w:t>
            </w:r>
          </w:p>
          <w:p w14:paraId="11CA1500" w14:textId="77777777" w:rsidR="002B5D18" w:rsidRPr="00490C53" w:rsidRDefault="002B5D18">
            <w:pPr>
              <w:pStyle w:val="Tablecolumnheading-white"/>
              <w:spacing w:before="0"/>
              <w:jc w:val="right"/>
              <w:rPr>
                <w:lang w:eastAsia="en-GB"/>
              </w:rPr>
            </w:pPr>
            <w:r w:rsidRPr="00490C53">
              <w:rPr>
                <w:rFonts w:asciiTheme="minorHAnsi" w:hAnsiTheme="minorHAnsi" w:cstheme="minorHAnsi"/>
                <w:szCs w:val="24"/>
                <w:lang w:eastAsia="en-GB"/>
              </w:rPr>
              <w:t xml:space="preserve"> (Full Sample)</w:t>
            </w:r>
          </w:p>
        </w:tc>
        <w:tc>
          <w:tcPr>
            <w:tcW w:w="1453" w:type="pct"/>
            <w:noWrap/>
            <w:vAlign w:val="center"/>
            <w:hideMark/>
          </w:tcPr>
          <w:p w14:paraId="10944FE9" w14:textId="512A8F9D" w:rsidR="002B5D18" w:rsidRPr="00490C53" w:rsidRDefault="002B5D18">
            <w:pPr>
              <w:pStyle w:val="Tabletext"/>
              <w:jc w:val="right"/>
              <w:rPr>
                <w:rFonts w:cstheme="minorHAnsi"/>
                <w:b w:val="0"/>
                <w:color w:val="FFFFFF" w:themeColor="background1"/>
                <w:szCs w:val="24"/>
                <w:lang w:eastAsia="en-GB"/>
              </w:rPr>
            </w:pPr>
            <w:r w:rsidRPr="00490C53">
              <w:rPr>
                <w:rFonts w:asciiTheme="minorHAnsi" w:hAnsiTheme="minorHAnsi" w:cstheme="minorHAnsi"/>
                <w:color w:val="FFFFFF" w:themeColor="background1"/>
                <w:szCs w:val="24"/>
                <w:lang w:eastAsia="en-GB"/>
              </w:rPr>
              <w:t xml:space="preserve">Difference in prevalence between </w:t>
            </w:r>
            <w:r w:rsidR="00D35B42">
              <w:rPr>
                <w:rFonts w:asciiTheme="minorHAnsi" w:hAnsiTheme="minorHAnsi" w:cstheme="minorHAnsi"/>
                <w:color w:val="FFFFFF" w:themeColor="background1"/>
                <w:szCs w:val="24"/>
                <w:lang w:eastAsia="en-GB"/>
              </w:rPr>
              <w:t>borrower</w:t>
            </w:r>
            <w:r w:rsidR="00D35B42" w:rsidRPr="00490C53">
              <w:rPr>
                <w:rFonts w:asciiTheme="minorHAnsi" w:hAnsiTheme="minorHAnsi" w:cstheme="minorHAnsi"/>
                <w:color w:val="FFFFFF" w:themeColor="background1"/>
                <w:szCs w:val="24"/>
                <w:lang w:eastAsia="en-GB"/>
              </w:rPr>
              <w:t xml:space="preserve"> </w:t>
            </w:r>
            <w:r w:rsidRPr="00490C53">
              <w:rPr>
                <w:rFonts w:asciiTheme="minorHAnsi" w:hAnsiTheme="minorHAnsi" w:cstheme="minorHAnsi"/>
                <w:color w:val="FFFFFF" w:themeColor="background1"/>
                <w:szCs w:val="24"/>
                <w:lang w:eastAsia="en-GB"/>
              </w:rPr>
              <w:t xml:space="preserve">and </w:t>
            </w:r>
            <w:r w:rsidR="00D35B42">
              <w:rPr>
                <w:rFonts w:asciiTheme="minorHAnsi" w:hAnsiTheme="minorHAnsi" w:cstheme="minorHAnsi"/>
                <w:color w:val="FFFFFF" w:themeColor="background1"/>
                <w:szCs w:val="24"/>
                <w:lang w:eastAsia="en-GB"/>
              </w:rPr>
              <w:t xml:space="preserve">non-borrower </w:t>
            </w:r>
            <w:r w:rsidRPr="00490C53">
              <w:rPr>
                <w:rFonts w:asciiTheme="minorHAnsi" w:hAnsiTheme="minorHAnsi" w:cstheme="minorHAnsi"/>
                <w:color w:val="FFFFFF" w:themeColor="background1"/>
                <w:szCs w:val="24"/>
                <w:lang w:eastAsia="en-GB"/>
              </w:rPr>
              <w:t xml:space="preserve">groups </w:t>
            </w:r>
          </w:p>
          <w:p w14:paraId="24CA45E2" w14:textId="77777777" w:rsidR="002B5D18" w:rsidRPr="00490C53" w:rsidRDefault="002B5D18">
            <w:pPr>
              <w:pStyle w:val="Tablecolumnheading-white"/>
              <w:spacing w:before="0"/>
              <w:jc w:val="right"/>
              <w:rPr>
                <w:lang w:eastAsia="en-GB"/>
              </w:rPr>
            </w:pPr>
            <w:r w:rsidRPr="00490C53">
              <w:rPr>
                <w:rFonts w:asciiTheme="minorHAnsi" w:hAnsiTheme="minorHAnsi" w:cstheme="minorHAnsi"/>
                <w:szCs w:val="24"/>
                <w:lang w:eastAsia="en-GB"/>
              </w:rPr>
              <w:t>(After PSM)</w:t>
            </w:r>
          </w:p>
        </w:tc>
      </w:tr>
      <w:tr w:rsidR="002B5D18" w:rsidRPr="00490C53" w14:paraId="63C29D0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hideMark/>
          </w:tcPr>
          <w:p w14:paraId="1A71159E" w14:textId="77777777" w:rsidR="002B5D18" w:rsidRPr="00490C53" w:rsidRDefault="002B5D18">
            <w:pPr>
              <w:pStyle w:val="Tabletext"/>
              <w:rPr>
                <w:lang w:eastAsia="en-GB"/>
              </w:rPr>
            </w:pPr>
            <w:r w:rsidRPr="00490C53">
              <w:rPr>
                <w:lang w:eastAsia="en-GB"/>
              </w:rPr>
              <w:t>Business Interruption</w:t>
            </w:r>
          </w:p>
        </w:tc>
        <w:tc>
          <w:tcPr>
            <w:tcW w:w="1186" w:type="pct"/>
            <w:noWrap/>
            <w:vAlign w:val="center"/>
            <w:hideMark/>
          </w:tcPr>
          <w:p w14:paraId="7F570ADD" w14:textId="77777777" w:rsidR="002B5D18" w:rsidRPr="00490C53" w:rsidRDefault="002B5D18">
            <w:pPr>
              <w:pStyle w:val="Tabletext"/>
              <w:rPr>
                <w:lang w:eastAsia="en-GB"/>
              </w:rPr>
            </w:pPr>
            <w:r w:rsidRPr="00490C53">
              <w:rPr>
                <w:lang w:eastAsia="en-GB"/>
              </w:rPr>
              <w:t>Changes for Covid-19 compliance</w:t>
            </w:r>
          </w:p>
        </w:tc>
        <w:tc>
          <w:tcPr>
            <w:tcW w:w="1453" w:type="pct"/>
            <w:noWrap/>
            <w:vAlign w:val="center"/>
            <w:hideMark/>
          </w:tcPr>
          <w:p w14:paraId="4948B087" w14:textId="77777777" w:rsidR="002B5D18" w:rsidRPr="00490C53" w:rsidRDefault="002B5D18">
            <w:pPr>
              <w:pStyle w:val="Tabletext"/>
              <w:jc w:val="right"/>
              <w:rPr>
                <w:lang w:eastAsia="en-GB"/>
              </w:rPr>
            </w:pPr>
            <w:r w:rsidRPr="00490C53">
              <w:t>4.70%</w:t>
            </w:r>
          </w:p>
        </w:tc>
        <w:tc>
          <w:tcPr>
            <w:tcW w:w="1453" w:type="pct"/>
            <w:noWrap/>
            <w:vAlign w:val="center"/>
            <w:hideMark/>
          </w:tcPr>
          <w:p w14:paraId="04A908C8" w14:textId="77777777" w:rsidR="002B5D18" w:rsidRPr="00490C53" w:rsidRDefault="002B5D18">
            <w:pPr>
              <w:pStyle w:val="Tabletext"/>
              <w:jc w:val="right"/>
              <w:rPr>
                <w:lang w:eastAsia="en-GB"/>
              </w:rPr>
            </w:pPr>
            <w:r w:rsidRPr="00490C53">
              <w:t>1.75%</w:t>
            </w:r>
          </w:p>
        </w:tc>
      </w:tr>
      <w:tr w:rsidR="002B5D18" w:rsidRPr="00490C53" w14:paraId="15ED2A5A" w14:textId="77777777">
        <w:tblPrEx>
          <w:tblCellMar>
            <w:left w:w="108" w:type="dxa"/>
            <w:right w:w="108" w:type="dxa"/>
          </w:tblCellMar>
        </w:tblPrEx>
        <w:trPr>
          <w:trHeight w:val="290"/>
        </w:trPr>
        <w:tc>
          <w:tcPr>
            <w:tcW w:w="908" w:type="pct"/>
            <w:noWrap/>
            <w:vAlign w:val="center"/>
          </w:tcPr>
          <w:p w14:paraId="3C0FBEA2" w14:textId="77777777" w:rsidR="002B5D18" w:rsidRPr="00490C53" w:rsidRDefault="002B5D18">
            <w:pPr>
              <w:pStyle w:val="Tabletext"/>
              <w:rPr>
                <w:lang w:eastAsia="en-GB"/>
              </w:rPr>
            </w:pPr>
          </w:p>
        </w:tc>
        <w:tc>
          <w:tcPr>
            <w:tcW w:w="1186" w:type="pct"/>
            <w:noWrap/>
            <w:vAlign w:val="center"/>
            <w:hideMark/>
          </w:tcPr>
          <w:p w14:paraId="43112E8F" w14:textId="77777777" w:rsidR="002B5D18" w:rsidRPr="00490C53" w:rsidRDefault="002B5D18">
            <w:pPr>
              <w:pStyle w:val="Tabletext"/>
              <w:rPr>
                <w:lang w:eastAsia="en-GB"/>
              </w:rPr>
            </w:pPr>
            <w:r w:rsidRPr="00490C53">
              <w:rPr>
                <w:lang w:eastAsia="en-GB"/>
              </w:rPr>
              <w:t>Access to External Finance</w:t>
            </w:r>
          </w:p>
        </w:tc>
        <w:tc>
          <w:tcPr>
            <w:tcW w:w="1453" w:type="pct"/>
            <w:noWrap/>
            <w:vAlign w:val="center"/>
            <w:hideMark/>
          </w:tcPr>
          <w:p w14:paraId="0533F866" w14:textId="77777777" w:rsidR="002B5D18" w:rsidRPr="00490C53" w:rsidRDefault="002B5D18">
            <w:pPr>
              <w:pStyle w:val="Tabletext"/>
              <w:jc w:val="right"/>
              <w:rPr>
                <w:lang w:eastAsia="en-GB"/>
              </w:rPr>
            </w:pPr>
            <w:r w:rsidRPr="00490C53">
              <w:t>4.08%</w:t>
            </w:r>
          </w:p>
        </w:tc>
        <w:tc>
          <w:tcPr>
            <w:tcW w:w="1453" w:type="pct"/>
            <w:noWrap/>
            <w:vAlign w:val="center"/>
            <w:hideMark/>
          </w:tcPr>
          <w:p w14:paraId="35CD095E" w14:textId="77777777" w:rsidR="002B5D18" w:rsidRPr="00490C53" w:rsidRDefault="002B5D18">
            <w:pPr>
              <w:pStyle w:val="Tabletext"/>
              <w:jc w:val="right"/>
              <w:rPr>
                <w:lang w:eastAsia="en-GB"/>
              </w:rPr>
            </w:pPr>
            <w:r w:rsidRPr="00490C53">
              <w:t>0.75%</w:t>
            </w:r>
          </w:p>
        </w:tc>
      </w:tr>
      <w:tr w:rsidR="002B5D18" w:rsidRPr="00490C53" w14:paraId="7522724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467E71F2" w14:textId="77777777" w:rsidR="002B5D18" w:rsidRPr="00490C53" w:rsidRDefault="002B5D18">
            <w:pPr>
              <w:pStyle w:val="Tabletext"/>
              <w:rPr>
                <w:lang w:eastAsia="en-GB"/>
              </w:rPr>
            </w:pPr>
          </w:p>
        </w:tc>
        <w:tc>
          <w:tcPr>
            <w:tcW w:w="1186" w:type="pct"/>
            <w:noWrap/>
            <w:vAlign w:val="center"/>
            <w:hideMark/>
          </w:tcPr>
          <w:p w14:paraId="7BE6340A" w14:textId="77777777" w:rsidR="002B5D18" w:rsidRPr="00490C53" w:rsidRDefault="002B5D18">
            <w:pPr>
              <w:pStyle w:val="Tabletext"/>
              <w:rPr>
                <w:lang w:eastAsia="en-GB"/>
              </w:rPr>
            </w:pPr>
            <w:r w:rsidRPr="00490C53">
              <w:rPr>
                <w:lang w:eastAsia="en-GB"/>
              </w:rPr>
              <w:t>Issues with Late Payment</w:t>
            </w:r>
          </w:p>
        </w:tc>
        <w:tc>
          <w:tcPr>
            <w:tcW w:w="1453" w:type="pct"/>
            <w:noWrap/>
            <w:vAlign w:val="center"/>
            <w:hideMark/>
          </w:tcPr>
          <w:p w14:paraId="49676FC0" w14:textId="77777777" w:rsidR="002B5D18" w:rsidRPr="00490C53" w:rsidRDefault="002B5D18">
            <w:pPr>
              <w:pStyle w:val="Tabletext"/>
              <w:jc w:val="right"/>
              <w:rPr>
                <w:lang w:eastAsia="en-GB"/>
              </w:rPr>
            </w:pPr>
            <w:r w:rsidRPr="00490C53">
              <w:t>9.28%</w:t>
            </w:r>
          </w:p>
        </w:tc>
        <w:tc>
          <w:tcPr>
            <w:tcW w:w="1453" w:type="pct"/>
            <w:noWrap/>
            <w:vAlign w:val="center"/>
            <w:hideMark/>
          </w:tcPr>
          <w:p w14:paraId="2036E601" w14:textId="77777777" w:rsidR="002B5D18" w:rsidRPr="00490C53" w:rsidRDefault="002B5D18">
            <w:pPr>
              <w:pStyle w:val="Tabletext"/>
              <w:jc w:val="right"/>
              <w:rPr>
                <w:lang w:eastAsia="en-GB"/>
              </w:rPr>
            </w:pPr>
            <w:r w:rsidRPr="00490C53">
              <w:t>5.25%</w:t>
            </w:r>
          </w:p>
        </w:tc>
      </w:tr>
      <w:tr w:rsidR="002B5D18" w:rsidRPr="00490C53" w14:paraId="106C9F53" w14:textId="77777777">
        <w:tblPrEx>
          <w:tblCellMar>
            <w:left w:w="108" w:type="dxa"/>
            <w:right w:w="108" w:type="dxa"/>
          </w:tblCellMar>
        </w:tblPrEx>
        <w:trPr>
          <w:trHeight w:val="290"/>
        </w:trPr>
        <w:tc>
          <w:tcPr>
            <w:tcW w:w="908" w:type="pct"/>
            <w:noWrap/>
            <w:vAlign w:val="center"/>
          </w:tcPr>
          <w:p w14:paraId="458602CD" w14:textId="77777777" w:rsidR="002B5D18" w:rsidRPr="00490C53" w:rsidRDefault="002B5D18">
            <w:pPr>
              <w:pStyle w:val="Tabletext"/>
              <w:rPr>
                <w:lang w:eastAsia="en-GB"/>
              </w:rPr>
            </w:pPr>
          </w:p>
        </w:tc>
        <w:tc>
          <w:tcPr>
            <w:tcW w:w="1186" w:type="pct"/>
            <w:noWrap/>
            <w:vAlign w:val="center"/>
            <w:hideMark/>
          </w:tcPr>
          <w:p w14:paraId="41264E8F" w14:textId="77777777" w:rsidR="002B5D18" w:rsidRPr="00490C53" w:rsidRDefault="002B5D18">
            <w:pPr>
              <w:pStyle w:val="Tabletext"/>
              <w:rPr>
                <w:lang w:eastAsia="en-GB"/>
              </w:rPr>
            </w:pPr>
            <w:r w:rsidRPr="00490C53">
              <w:rPr>
                <w:lang w:eastAsia="en-GB"/>
              </w:rPr>
              <w:t>Changes in Market Demand</w:t>
            </w:r>
          </w:p>
        </w:tc>
        <w:tc>
          <w:tcPr>
            <w:tcW w:w="1453" w:type="pct"/>
            <w:noWrap/>
            <w:vAlign w:val="center"/>
            <w:hideMark/>
          </w:tcPr>
          <w:p w14:paraId="75A0A6DA" w14:textId="77777777" w:rsidR="002B5D18" w:rsidRPr="00490C53" w:rsidRDefault="002B5D18">
            <w:pPr>
              <w:pStyle w:val="Tabletext"/>
              <w:jc w:val="right"/>
              <w:rPr>
                <w:lang w:eastAsia="en-GB"/>
              </w:rPr>
            </w:pPr>
            <w:r w:rsidRPr="00490C53">
              <w:t>11.64%</w:t>
            </w:r>
          </w:p>
        </w:tc>
        <w:tc>
          <w:tcPr>
            <w:tcW w:w="1453" w:type="pct"/>
            <w:noWrap/>
            <w:vAlign w:val="center"/>
            <w:hideMark/>
          </w:tcPr>
          <w:p w14:paraId="2F2DF068" w14:textId="77777777" w:rsidR="002B5D18" w:rsidRPr="00490C53" w:rsidRDefault="002B5D18">
            <w:pPr>
              <w:pStyle w:val="Tabletext"/>
              <w:jc w:val="right"/>
              <w:rPr>
                <w:lang w:eastAsia="en-GB"/>
              </w:rPr>
            </w:pPr>
            <w:r w:rsidRPr="00490C53">
              <w:t>0.25%</w:t>
            </w:r>
          </w:p>
        </w:tc>
      </w:tr>
      <w:tr w:rsidR="002B5D18" w:rsidRPr="00490C53" w14:paraId="129D73A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3228E8F4" w14:textId="77777777" w:rsidR="002B5D18" w:rsidRPr="00490C53" w:rsidRDefault="002B5D18">
            <w:pPr>
              <w:pStyle w:val="Tabletext"/>
              <w:rPr>
                <w:lang w:eastAsia="en-GB"/>
              </w:rPr>
            </w:pPr>
          </w:p>
        </w:tc>
        <w:tc>
          <w:tcPr>
            <w:tcW w:w="1186" w:type="pct"/>
            <w:noWrap/>
            <w:vAlign w:val="center"/>
            <w:hideMark/>
          </w:tcPr>
          <w:p w14:paraId="667D9C26" w14:textId="77777777" w:rsidR="002B5D18" w:rsidRPr="00490C53" w:rsidRDefault="002B5D18">
            <w:pPr>
              <w:pStyle w:val="Tabletext"/>
              <w:rPr>
                <w:lang w:eastAsia="en-GB"/>
              </w:rPr>
            </w:pPr>
            <w:r w:rsidRPr="00490C53">
              <w:rPr>
                <w:lang w:eastAsia="en-GB"/>
              </w:rPr>
              <w:t>Availability of Staff</w:t>
            </w:r>
          </w:p>
        </w:tc>
        <w:tc>
          <w:tcPr>
            <w:tcW w:w="1453" w:type="pct"/>
            <w:noWrap/>
            <w:vAlign w:val="center"/>
            <w:hideMark/>
          </w:tcPr>
          <w:p w14:paraId="7BDC50E4" w14:textId="77777777" w:rsidR="002B5D18" w:rsidRPr="00490C53" w:rsidRDefault="002B5D18">
            <w:pPr>
              <w:pStyle w:val="Tabletext"/>
              <w:jc w:val="right"/>
              <w:rPr>
                <w:lang w:eastAsia="en-GB"/>
              </w:rPr>
            </w:pPr>
            <w:r w:rsidRPr="00490C53">
              <w:t>0.99%</w:t>
            </w:r>
          </w:p>
        </w:tc>
        <w:tc>
          <w:tcPr>
            <w:tcW w:w="1453" w:type="pct"/>
            <w:noWrap/>
            <w:vAlign w:val="center"/>
            <w:hideMark/>
          </w:tcPr>
          <w:p w14:paraId="4E183B08" w14:textId="77777777" w:rsidR="002B5D18" w:rsidRPr="00490C53" w:rsidRDefault="002B5D18">
            <w:pPr>
              <w:pStyle w:val="Tabletext"/>
              <w:jc w:val="right"/>
              <w:rPr>
                <w:lang w:eastAsia="en-GB"/>
              </w:rPr>
            </w:pPr>
            <w:r w:rsidRPr="00490C53">
              <w:t>0.50%</w:t>
            </w:r>
          </w:p>
        </w:tc>
      </w:tr>
      <w:tr w:rsidR="002B5D18" w:rsidRPr="00490C53" w14:paraId="4FB58EEF" w14:textId="77777777">
        <w:tblPrEx>
          <w:tblCellMar>
            <w:left w:w="108" w:type="dxa"/>
            <w:right w:w="108" w:type="dxa"/>
          </w:tblCellMar>
        </w:tblPrEx>
        <w:trPr>
          <w:trHeight w:val="290"/>
        </w:trPr>
        <w:tc>
          <w:tcPr>
            <w:tcW w:w="908" w:type="pct"/>
            <w:noWrap/>
            <w:vAlign w:val="center"/>
          </w:tcPr>
          <w:p w14:paraId="3D6AAE07" w14:textId="77777777" w:rsidR="002B5D18" w:rsidRPr="00490C53" w:rsidRDefault="002B5D18">
            <w:pPr>
              <w:pStyle w:val="Tabletext"/>
              <w:rPr>
                <w:lang w:eastAsia="en-GB"/>
              </w:rPr>
            </w:pPr>
          </w:p>
        </w:tc>
        <w:tc>
          <w:tcPr>
            <w:tcW w:w="1186" w:type="pct"/>
            <w:noWrap/>
            <w:vAlign w:val="center"/>
            <w:hideMark/>
          </w:tcPr>
          <w:p w14:paraId="40A30CA6" w14:textId="77777777" w:rsidR="002B5D18" w:rsidRPr="00490C53" w:rsidRDefault="002B5D18">
            <w:pPr>
              <w:pStyle w:val="Tabletext"/>
              <w:rPr>
                <w:lang w:eastAsia="en-GB"/>
              </w:rPr>
            </w:pPr>
            <w:r w:rsidRPr="00490C53">
              <w:rPr>
                <w:lang w:eastAsia="en-GB"/>
              </w:rPr>
              <w:t>Supply Chain Disruption</w:t>
            </w:r>
          </w:p>
        </w:tc>
        <w:tc>
          <w:tcPr>
            <w:tcW w:w="1453" w:type="pct"/>
            <w:noWrap/>
            <w:vAlign w:val="center"/>
            <w:hideMark/>
          </w:tcPr>
          <w:p w14:paraId="4A29086E" w14:textId="77777777" w:rsidR="002B5D18" w:rsidRPr="00490C53" w:rsidRDefault="002B5D18">
            <w:pPr>
              <w:pStyle w:val="Tabletext"/>
              <w:jc w:val="right"/>
              <w:rPr>
                <w:lang w:eastAsia="en-GB"/>
              </w:rPr>
            </w:pPr>
            <w:r w:rsidRPr="00490C53">
              <w:t>8.52%</w:t>
            </w:r>
          </w:p>
        </w:tc>
        <w:tc>
          <w:tcPr>
            <w:tcW w:w="1453" w:type="pct"/>
            <w:noWrap/>
            <w:vAlign w:val="center"/>
            <w:hideMark/>
          </w:tcPr>
          <w:p w14:paraId="233552C8" w14:textId="77777777" w:rsidR="002B5D18" w:rsidRPr="00490C53" w:rsidRDefault="002B5D18">
            <w:pPr>
              <w:pStyle w:val="Tabletext"/>
              <w:jc w:val="right"/>
              <w:rPr>
                <w:lang w:eastAsia="en-GB"/>
              </w:rPr>
            </w:pPr>
            <w:r w:rsidRPr="00490C53">
              <w:t>2.25%</w:t>
            </w:r>
          </w:p>
        </w:tc>
      </w:tr>
      <w:tr w:rsidR="002B5D18" w:rsidRPr="00490C53" w14:paraId="77E244C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hideMark/>
          </w:tcPr>
          <w:p w14:paraId="03393D38" w14:textId="77777777" w:rsidR="002B5D18" w:rsidRPr="00490C53" w:rsidRDefault="002B5D18">
            <w:pPr>
              <w:pStyle w:val="Tabletext"/>
              <w:rPr>
                <w:lang w:eastAsia="en-GB"/>
              </w:rPr>
            </w:pPr>
            <w:r w:rsidRPr="00490C53">
              <w:rPr>
                <w:lang w:eastAsia="en-GB"/>
              </w:rPr>
              <w:t>Turnover</w:t>
            </w:r>
          </w:p>
        </w:tc>
        <w:tc>
          <w:tcPr>
            <w:tcW w:w="1186" w:type="pct"/>
            <w:noWrap/>
            <w:vAlign w:val="center"/>
            <w:hideMark/>
          </w:tcPr>
          <w:p w14:paraId="45EE5161" w14:textId="77777777" w:rsidR="002B5D18" w:rsidRPr="00490C53" w:rsidRDefault="002B5D18">
            <w:pPr>
              <w:pStyle w:val="Tabletext"/>
              <w:rPr>
                <w:lang w:eastAsia="en-GB"/>
              </w:rPr>
            </w:pPr>
            <w:r w:rsidRPr="00490C53">
              <w:rPr>
                <w:lang w:eastAsia="en-GB"/>
              </w:rPr>
              <w:t>less than 50,000</w:t>
            </w:r>
          </w:p>
        </w:tc>
        <w:tc>
          <w:tcPr>
            <w:tcW w:w="1453" w:type="pct"/>
            <w:noWrap/>
            <w:vAlign w:val="center"/>
            <w:hideMark/>
          </w:tcPr>
          <w:p w14:paraId="62B4CD61" w14:textId="77777777" w:rsidR="002B5D18" w:rsidRPr="00490C53" w:rsidRDefault="002B5D18">
            <w:pPr>
              <w:pStyle w:val="Tabletext"/>
              <w:jc w:val="right"/>
              <w:rPr>
                <w:lang w:eastAsia="en-GB"/>
              </w:rPr>
            </w:pPr>
            <w:r w:rsidRPr="00490C53">
              <w:t>0.71%</w:t>
            </w:r>
          </w:p>
        </w:tc>
        <w:tc>
          <w:tcPr>
            <w:tcW w:w="1453" w:type="pct"/>
            <w:noWrap/>
            <w:vAlign w:val="center"/>
            <w:hideMark/>
          </w:tcPr>
          <w:p w14:paraId="4D37FC98" w14:textId="77777777" w:rsidR="002B5D18" w:rsidRPr="00490C53" w:rsidRDefault="002B5D18">
            <w:pPr>
              <w:pStyle w:val="Tabletext"/>
              <w:jc w:val="right"/>
              <w:rPr>
                <w:lang w:eastAsia="en-GB"/>
              </w:rPr>
            </w:pPr>
            <w:r w:rsidRPr="00490C53">
              <w:t>0.00%</w:t>
            </w:r>
          </w:p>
        </w:tc>
      </w:tr>
      <w:tr w:rsidR="002B5D18" w:rsidRPr="00490C53" w14:paraId="0BF5D970" w14:textId="77777777">
        <w:tblPrEx>
          <w:tblCellMar>
            <w:left w:w="108" w:type="dxa"/>
            <w:right w:w="108" w:type="dxa"/>
          </w:tblCellMar>
        </w:tblPrEx>
        <w:trPr>
          <w:trHeight w:val="290"/>
        </w:trPr>
        <w:tc>
          <w:tcPr>
            <w:tcW w:w="908" w:type="pct"/>
            <w:noWrap/>
            <w:vAlign w:val="center"/>
          </w:tcPr>
          <w:p w14:paraId="3E76A120" w14:textId="77777777" w:rsidR="002B5D18" w:rsidRPr="00490C53" w:rsidRDefault="002B5D18">
            <w:pPr>
              <w:pStyle w:val="Tabletext"/>
              <w:rPr>
                <w:lang w:eastAsia="en-GB"/>
              </w:rPr>
            </w:pPr>
          </w:p>
        </w:tc>
        <w:tc>
          <w:tcPr>
            <w:tcW w:w="1186" w:type="pct"/>
            <w:noWrap/>
            <w:vAlign w:val="center"/>
            <w:hideMark/>
          </w:tcPr>
          <w:p w14:paraId="68102010" w14:textId="77777777" w:rsidR="002B5D18" w:rsidRPr="00490C53" w:rsidRDefault="002B5D18">
            <w:pPr>
              <w:pStyle w:val="Tabletext"/>
              <w:rPr>
                <w:lang w:eastAsia="en-GB"/>
              </w:rPr>
            </w:pPr>
            <w:r w:rsidRPr="00490C53">
              <w:rPr>
                <w:lang w:eastAsia="en-GB"/>
              </w:rPr>
              <w:t>50,000 or more, but below 100,000</w:t>
            </w:r>
          </w:p>
        </w:tc>
        <w:tc>
          <w:tcPr>
            <w:tcW w:w="1453" w:type="pct"/>
            <w:noWrap/>
            <w:vAlign w:val="center"/>
            <w:hideMark/>
          </w:tcPr>
          <w:p w14:paraId="4DAB050A" w14:textId="77777777" w:rsidR="002B5D18" w:rsidRPr="00490C53" w:rsidRDefault="002B5D18">
            <w:pPr>
              <w:pStyle w:val="Tabletext"/>
              <w:jc w:val="right"/>
              <w:rPr>
                <w:lang w:eastAsia="en-GB"/>
              </w:rPr>
            </w:pPr>
            <w:r w:rsidRPr="00490C53">
              <w:t>1.12%</w:t>
            </w:r>
          </w:p>
        </w:tc>
        <w:tc>
          <w:tcPr>
            <w:tcW w:w="1453" w:type="pct"/>
            <w:noWrap/>
            <w:vAlign w:val="center"/>
            <w:hideMark/>
          </w:tcPr>
          <w:p w14:paraId="34ED3ACF" w14:textId="77777777" w:rsidR="002B5D18" w:rsidRPr="00490C53" w:rsidRDefault="002B5D18">
            <w:pPr>
              <w:pStyle w:val="Tabletext"/>
              <w:jc w:val="right"/>
              <w:rPr>
                <w:lang w:eastAsia="en-GB"/>
              </w:rPr>
            </w:pPr>
            <w:r w:rsidRPr="00490C53">
              <w:t>0.00%</w:t>
            </w:r>
          </w:p>
        </w:tc>
      </w:tr>
      <w:tr w:rsidR="002B5D18" w:rsidRPr="00490C53" w14:paraId="3293F38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71A3670A" w14:textId="77777777" w:rsidR="002B5D18" w:rsidRPr="00490C53" w:rsidRDefault="002B5D18">
            <w:pPr>
              <w:pStyle w:val="Tabletext"/>
              <w:rPr>
                <w:lang w:eastAsia="en-GB"/>
              </w:rPr>
            </w:pPr>
          </w:p>
        </w:tc>
        <w:tc>
          <w:tcPr>
            <w:tcW w:w="1186" w:type="pct"/>
            <w:noWrap/>
            <w:vAlign w:val="center"/>
            <w:hideMark/>
          </w:tcPr>
          <w:p w14:paraId="24B4E42B" w14:textId="77777777" w:rsidR="002B5D18" w:rsidRPr="00490C53" w:rsidRDefault="002B5D18">
            <w:pPr>
              <w:pStyle w:val="Tabletext"/>
              <w:rPr>
                <w:lang w:eastAsia="en-GB"/>
              </w:rPr>
            </w:pPr>
            <w:r w:rsidRPr="00490C53">
              <w:rPr>
                <w:lang w:eastAsia="en-GB"/>
              </w:rPr>
              <w:t>100,000 or more, but below 250,000</w:t>
            </w:r>
          </w:p>
        </w:tc>
        <w:tc>
          <w:tcPr>
            <w:tcW w:w="1453" w:type="pct"/>
            <w:noWrap/>
            <w:vAlign w:val="center"/>
            <w:hideMark/>
          </w:tcPr>
          <w:p w14:paraId="4AA21113" w14:textId="77777777" w:rsidR="002B5D18" w:rsidRPr="00490C53" w:rsidRDefault="002B5D18">
            <w:pPr>
              <w:pStyle w:val="Tabletext"/>
              <w:jc w:val="right"/>
              <w:rPr>
                <w:lang w:eastAsia="en-GB"/>
              </w:rPr>
            </w:pPr>
            <w:r w:rsidRPr="00490C53">
              <w:t>6.19%</w:t>
            </w:r>
          </w:p>
        </w:tc>
        <w:tc>
          <w:tcPr>
            <w:tcW w:w="1453" w:type="pct"/>
            <w:noWrap/>
            <w:vAlign w:val="center"/>
            <w:hideMark/>
          </w:tcPr>
          <w:p w14:paraId="4675DC5F" w14:textId="77777777" w:rsidR="002B5D18" w:rsidRPr="00490C53" w:rsidRDefault="002B5D18">
            <w:pPr>
              <w:pStyle w:val="Tabletext"/>
              <w:jc w:val="right"/>
              <w:rPr>
                <w:lang w:eastAsia="en-GB"/>
              </w:rPr>
            </w:pPr>
            <w:r w:rsidRPr="00490C53">
              <w:t>1.00%</w:t>
            </w:r>
          </w:p>
        </w:tc>
      </w:tr>
      <w:tr w:rsidR="002B5D18" w:rsidRPr="00490C53" w14:paraId="4476E4BE" w14:textId="77777777">
        <w:tblPrEx>
          <w:tblCellMar>
            <w:left w:w="108" w:type="dxa"/>
            <w:right w:w="108" w:type="dxa"/>
          </w:tblCellMar>
        </w:tblPrEx>
        <w:trPr>
          <w:trHeight w:val="290"/>
        </w:trPr>
        <w:tc>
          <w:tcPr>
            <w:tcW w:w="908" w:type="pct"/>
            <w:noWrap/>
            <w:vAlign w:val="center"/>
          </w:tcPr>
          <w:p w14:paraId="70F1E1F9" w14:textId="77777777" w:rsidR="002B5D18" w:rsidRPr="00490C53" w:rsidRDefault="002B5D18">
            <w:pPr>
              <w:pStyle w:val="Tabletext"/>
              <w:rPr>
                <w:lang w:eastAsia="en-GB"/>
              </w:rPr>
            </w:pPr>
          </w:p>
        </w:tc>
        <w:tc>
          <w:tcPr>
            <w:tcW w:w="1186" w:type="pct"/>
            <w:noWrap/>
            <w:vAlign w:val="center"/>
            <w:hideMark/>
          </w:tcPr>
          <w:p w14:paraId="0A76F131" w14:textId="77777777" w:rsidR="002B5D18" w:rsidRPr="00490C53" w:rsidRDefault="002B5D18">
            <w:pPr>
              <w:pStyle w:val="Tabletext"/>
              <w:rPr>
                <w:lang w:eastAsia="en-GB"/>
              </w:rPr>
            </w:pPr>
            <w:r w:rsidRPr="00490C53">
              <w:rPr>
                <w:lang w:eastAsia="en-GB"/>
              </w:rPr>
              <w:t>250,000 or more, but below 500,000</w:t>
            </w:r>
          </w:p>
        </w:tc>
        <w:tc>
          <w:tcPr>
            <w:tcW w:w="1453" w:type="pct"/>
            <w:noWrap/>
            <w:vAlign w:val="center"/>
            <w:hideMark/>
          </w:tcPr>
          <w:p w14:paraId="100F8F4A" w14:textId="77777777" w:rsidR="002B5D18" w:rsidRPr="00490C53" w:rsidRDefault="002B5D18">
            <w:pPr>
              <w:pStyle w:val="Tabletext"/>
              <w:jc w:val="right"/>
              <w:rPr>
                <w:lang w:eastAsia="en-GB"/>
              </w:rPr>
            </w:pPr>
            <w:r w:rsidRPr="00490C53">
              <w:t>2.89%</w:t>
            </w:r>
          </w:p>
        </w:tc>
        <w:tc>
          <w:tcPr>
            <w:tcW w:w="1453" w:type="pct"/>
            <w:noWrap/>
            <w:vAlign w:val="center"/>
            <w:hideMark/>
          </w:tcPr>
          <w:p w14:paraId="3FF8BCFC" w14:textId="77777777" w:rsidR="002B5D18" w:rsidRPr="00490C53" w:rsidRDefault="002B5D18">
            <w:pPr>
              <w:pStyle w:val="Tabletext"/>
              <w:jc w:val="right"/>
              <w:rPr>
                <w:lang w:eastAsia="en-GB"/>
              </w:rPr>
            </w:pPr>
            <w:r w:rsidRPr="00490C53">
              <w:t>0.50%</w:t>
            </w:r>
          </w:p>
        </w:tc>
      </w:tr>
      <w:tr w:rsidR="002B5D18" w:rsidRPr="00490C53" w14:paraId="4E5C857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203214A8" w14:textId="77777777" w:rsidR="002B5D18" w:rsidRPr="00490C53" w:rsidRDefault="002B5D18">
            <w:pPr>
              <w:pStyle w:val="Tabletext"/>
              <w:rPr>
                <w:lang w:eastAsia="en-GB"/>
              </w:rPr>
            </w:pPr>
          </w:p>
        </w:tc>
        <w:tc>
          <w:tcPr>
            <w:tcW w:w="1186" w:type="pct"/>
            <w:noWrap/>
            <w:vAlign w:val="center"/>
            <w:hideMark/>
          </w:tcPr>
          <w:p w14:paraId="3C4F3D62" w14:textId="77777777" w:rsidR="002B5D18" w:rsidRPr="00490C53" w:rsidRDefault="002B5D18">
            <w:pPr>
              <w:pStyle w:val="Tabletext"/>
              <w:rPr>
                <w:lang w:eastAsia="en-GB"/>
              </w:rPr>
            </w:pPr>
            <w:r w:rsidRPr="00490C53">
              <w:rPr>
                <w:lang w:eastAsia="en-GB"/>
              </w:rPr>
              <w:t>500,000 or more, but below 1 million</w:t>
            </w:r>
          </w:p>
        </w:tc>
        <w:tc>
          <w:tcPr>
            <w:tcW w:w="1453" w:type="pct"/>
            <w:noWrap/>
            <w:vAlign w:val="center"/>
            <w:hideMark/>
          </w:tcPr>
          <w:p w14:paraId="46F2B5F6" w14:textId="77777777" w:rsidR="002B5D18" w:rsidRPr="00490C53" w:rsidRDefault="002B5D18">
            <w:pPr>
              <w:pStyle w:val="Tabletext"/>
              <w:jc w:val="right"/>
              <w:rPr>
                <w:lang w:eastAsia="en-GB"/>
              </w:rPr>
            </w:pPr>
            <w:r w:rsidRPr="00490C53">
              <w:t>7.48%</w:t>
            </w:r>
          </w:p>
        </w:tc>
        <w:tc>
          <w:tcPr>
            <w:tcW w:w="1453" w:type="pct"/>
            <w:noWrap/>
            <w:vAlign w:val="center"/>
            <w:hideMark/>
          </w:tcPr>
          <w:p w14:paraId="683B84A4" w14:textId="77777777" w:rsidR="002B5D18" w:rsidRPr="00490C53" w:rsidRDefault="002B5D18">
            <w:pPr>
              <w:pStyle w:val="Tabletext"/>
              <w:jc w:val="right"/>
              <w:rPr>
                <w:lang w:eastAsia="en-GB"/>
              </w:rPr>
            </w:pPr>
            <w:r w:rsidRPr="00490C53">
              <w:t>1.75%</w:t>
            </w:r>
          </w:p>
        </w:tc>
      </w:tr>
      <w:tr w:rsidR="002B5D18" w:rsidRPr="00490C53" w14:paraId="2A4A6F10" w14:textId="77777777">
        <w:tblPrEx>
          <w:tblCellMar>
            <w:left w:w="108" w:type="dxa"/>
            <w:right w:w="108" w:type="dxa"/>
          </w:tblCellMar>
        </w:tblPrEx>
        <w:trPr>
          <w:trHeight w:val="290"/>
        </w:trPr>
        <w:tc>
          <w:tcPr>
            <w:tcW w:w="908" w:type="pct"/>
            <w:noWrap/>
            <w:vAlign w:val="center"/>
          </w:tcPr>
          <w:p w14:paraId="4E78B956" w14:textId="77777777" w:rsidR="002B5D18" w:rsidRPr="00490C53" w:rsidRDefault="002B5D18">
            <w:pPr>
              <w:pStyle w:val="Tabletext"/>
              <w:rPr>
                <w:lang w:eastAsia="en-GB"/>
              </w:rPr>
            </w:pPr>
          </w:p>
        </w:tc>
        <w:tc>
          <w:tcPr>
            <w:tcW w:w="1186" w:type="pct"/>
            <w:noWrap/>
            <w:vAlign w:val="center"/>
            <w:hideMark/>
          </w:tcPr>
          <w:p w14:paraId="086AFE4C" w14:textId="77777777" w:rsidR="002B5D18" w:rsidRPr="00490C53" w:rsidRDefault="002B5D18">
            <w:pPr>
              <w:pStyle w:val="Tabletext"/>
              <w:rPr>
                <w:lang w:eastAsia="en-GB"/>
              </w:rPr>
            </w:pPr>
            <w:r w:rsidRPr="00490C53">
              <w:rPr>
                <w:lang w:eastAsia="en-GB"/>
              </w:rPr>
              <w:t>1 million or more, but below 5 million</w:t>
            </w:r>
          </w:p>
        </w:tc>
        <w:tc>
          <w:tcPr>
            <w:tcW w:w="1453" w:type="pct"/>
            <w:noWrap/>
            <w:vAlign w:val="center"/>
            <w:hideMark/>
          </w:tcPr>
          <w:p w14:paraId="0BAA6C39" w14:textId="77777777" w:rsidR="002B5D18" w:rsidRPr="00490C53" w:rsidRDefault="002B5D18">
            <w:pPr>
              <w:pStyle w:val="Tabletext"/>
              <w:jc w:val="right"/>
              <w:rPr>
                <w:lang w:eastAsia="en-GB"/>
              </w:rPr>
            </w:pPr>
            <w:r w:rsidRPr="00490C53">
              <w:t>6.74%</w:t>
            </w:r>
          </w:p>
        </w:tc>
        <w:tc>
          <w:tcPr>
            <w:tcW w:w="1453" w:type="pct"/>
            <w:noWrap/>
            <w:vAlign w:val="center"/>
            <w:hideMark/>
          </w:tcPr>
          <w:p w14:paraId="24068C8B" w14:textId="77777777" w:rsidR="002B5D18" w:rsidRPr="00490C53" w:rsidRDefault="002B5D18">
            <w:pPr>
              <w:pStyle w:val="Tabletext"/>
              <w:jc w:val="right"/>
              <w:rPr>
                <w:lang w:eastAsia="en-GB"/>
              </w:rPr>
            </w:pPr>
            <w:r w:rsidRPr="00490C53">
              <w:t>3.00%</w:t>
            </w:r>
          </w:p>
        </w:tc>
      </w:tr>
      <w:tr w:rsidR="002B5D18" w:rsidRPr="00490C53" w14:paraId="2D020CA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049385FE" w14:textId="77777777" w:rsidR="002B5D18" w:rsidRPr="00490C53" w:rsidRDefault="002B5D18">
            <w:pPr>
              <w:pStyle w:val="Tabletext"/>
              <w:rPr>
                <w:lang w:eastAsia="en-GB"/>
              </w:rPr>
            </w:pPr>
          </w:p>
        </w:tc>
        <w:tc>
          <w:tcPr>
            <w:tcW w:w="1186" w:type="pct"/>
            <w:noWrap/>
            <w:vAlign w:val="center"/>
            <w:hideMark/>
          </w:tcPr>
          <w:p w14:paraId="2A881833" w14:textId="77777777" w:rsidR="002B5D18" w:rsidRPr="00490C53" w:rsidRDefault="002B5D18">
            <w:pPr>
              <w:pStyle w:val="Tabletext"/>
              <w:rPr>
                <w:lang w:eastAsia="en-GB"/>
              </w:rPr>
            </w:pPr>
            <w:r w:rsidRPr="00490C53">
              <w:rPr>
                <w:lang w:eastAsia="en-GB"/>
              </w:rPr>
              <w:t>5 million or more, but below 10 million</w:t>
            </w:r>
          </w:p>
        </w:tc>
        <w:tc>
          <w:tcPr>
            <w:tcW w:w="1453" w:type="pct"/>
            <w:noWrap/>
            <w:vAlign w:val="center"/>
            <w:hideMark/>
          </w:tcPr>
          <w:p w14:paraId="42151579" w14:textId="77777777" w:rsidR="002B5D18" w:rsidRPr="00490C53" w:rsidRDefault="002B5D18">
            <w:pPr>
              <w:pStyle w:val="Tabletext"/>
              <w:jc w:val="right"/>
              <w:rPr>
                <w:lang w:eastAsia="en-GB"/>
              </w:rPr>
            </w:pPr>
            <w:r w:rsidRPr="00490C53">
              <w:t>0.45%</w:t>
            </w:r>
          </w:p>
        </w:tc>
        <w:tc>
          <w:tcPr>
            <w:tcW w:w="1453" w:type="pct"/>
            <w:noWrap/>
            <w:vAlign w:val="center"/>
            <w:hideMark/>
          </w:tcPr>
          <w:p w14:paraId="3DE59E98" w14:textId="77777777" w:rsidR="002B5D18" w:rsidRPr="00490C53" w:rsidRDefault="002B5D18">
            <w:pPr>
              <w:pStyle w:val="Tabletext"/>
              <w:jc w:val="right"/>
              <w:rPr>
                <w:lang w:eastAsia="en-GB"/>
              </w:rPr>
            </w:pPr>
            <w:r w:rsidRPr="00490C53">
              <w:t>0.50%</w:t>
            </w:r>
          </w:p>
        </w:tc>
      </w:tr>
      <w:tr w:rsidR="002B5D18" w:rsidRPr="00490C53" w14:paraId="56931BE0" w14:textId="77777777">
        <w:tblPrEx>
          <w:tblCellMar>
            <w:left w:w="108" w:type="dxa"/>
            <w:right w:w="108" w:type="dxa"/>
          </w:tblCellMar>
        </w:tblPrEx>
        <w:trPr>
          <w:trHeight w:val="290"/>
        </w:trPr>
        <w:tc>
          <w:tcPr>
            <w:tcW w:w="908" w:type="pct"/>
            <w:noWrap/>
            <w:vAlign w:val="center"/>
          </w:tcPr>
          <w:p w14:paraId="42AD326C" w14:textId="77777777" w:rsidR="002B5D18" w:rsidRPr="00490C53" w:rsidRDefault="002B5D18">
            <w:pPr>
              <w:pStyle w:val="Tabletext"/>
              <w:rPr>
                <w:lang w:eastAsia="en-GB"/>
              </w:rPr>
            </w:pPr>
          </w:p>
        </w:tc>
        <w:tc>
          <w:tcPr>
            <w:tcW w:w="1186" w:type="pct"/>
            <w:noWrap/>
            <w:vAlign w:val="center"/>
            <w:hideMark/>
          </w:tcPr>
          <w:p w14:paraId="09743074" w14:textId="77777777" w:rsidR="002B5D18" w:rsidRPr="00490C53" w:rsidRDefault="002B5D18">
            <w:pPr>
              <w:pStyle w:val="Tabletext"/>
              <w:rPr>
                <w:lang w:eastAsia="en-GB"/>
              </w:rPr>
            </w:pPr>
            <w:r w:rsidRPr="00490C53">
              <w:rPr>
                <w:lang w:eastAsia="en-GB"/>
              </w:rPr>
              <w:t>10 million or more, but below 25 million</w:t>
            </w:r>
          </w:p>
        </w:tc>
        <w:tc>
          <w:tcPr>
            <w:tcW w:w="1453" w:type="pct"/>
            <w:noWrap/>
            <w:vAlign w:val="center"/>
            <w:hideMark/>
          </w:tcPr>
          <w:p w14:paraId="4973961A" w14:textId="77777777" w:rsidR="002B5D18" w:rsidRPr="00490C53" w:rsidRDefault="002B5D18">
            <w:pPr>
              <w:pStyle w:val="Tabletext"/>
              <w:jc w:val="right"/>
              <w:rPr>
                <w:lang w:eastAsia="en-GB"/>
              </w:rPr>
            </w:pPr>
            <w:r w:rsidRPr="00490C53">
              <w:t>5.16%</w:t>
            </w:r>
          </w:p>
        </w:tc>
        <w:tc>
          <w:tcPr>
            <w:tcW w:w="1453" w:type="pct"/>
            <w:noWrap/>
            <w:vAlign w:val="center"/>
            <w:hideMark/>
          </w:tcPr>
          <w:p w14:paraId="7252339E" w14:textId="77777777" w:rsidR="002B5D18" w:rsidRPr="00490C53" w:rsidRDefault="002B5D18">
            <w:pPr>
              <w:pStyle w:val="Tabletext"/>
              <w:jc w:val="right"/>
              <w:rPr>
                <w:lang w:eastAsia="en-GB"/>
              </w:rPr>
            </w:pPr>
            <w:r w:rsidRPr="00490C53">
              <w:t>2.25%</w:t>
            </w:r>
          </w:p>
        </w:tc>
      </w:tr>
      <w:tr w:rsidR="002B5D18" w:rsidRPr="00490C53" w14:paraId="2BBF57D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64A1345E" w14:textId="77777777" w:rsidR="002B5D18" w:rsidRPr="00490C53" w:rsidRDefault="002B5D18">
            <w:pPr>
              <w:pStyle w:val="Tabletext"/>
              <w:rPr>
                <w:lang w:eastAsia="en-GB"/>
              </w:rPr>
            </w:pPr>
          </w:p>
        </w:tc>
        <w:tc>
          <w:tcPr>
            <w:tcW w:w="1186" w:type="pct"/>
            <w:noWrap/>
            <w:vAlign w:val="center"/>
            <w:hideMark/>
          </w:tcPr>
          <w:p w14:paraId="1762EBBE" w14:textId="77777777" w:rsidR="002B5D18" w:rsidRPr="00490C53" w:rsidRDefault="002B5D18">
            <w:pPr>
              <w:pStyle w:val="Tabletext"/>
              <w:rPr>
                <w:lang w:eastAsia="en-GB"/>
              </w:rPr>
            </w:pPr>
            <w:r w:rsidRPr="00490C53">
              <w:rPr>
                <w:lang w:eastAsia="en-GB"/>
              </w:rPr>
              <w:t>25 million or more, but below 45 million</w:t>
            </w:r>
          </w:p>
        </w:tc>
        <w:tc>
          <w:tcPr>
            <w:tcW w:w="1453" w:type="pct"/>
            <w:noWrap/>
            <w:vAlign w:val="center"/>
            <w:hideMark/>
          </w:tcPr>
          <w:p w14:paraId="48FA9996" w14:textId="77777777" w:rsidR="002B5D18" w:rsidRPr="00490C53" w:rsidRDefault="002B5D18">
            <w:pPr>
              <w:pStyle w:val="Tabletext"/>
              <w:jc w:val="right"/>
              <w:rPr>
                <w:lang w:eastAsia="en-GB"/>
              </w:rPr>
            </w:pPr>
            <w:r w:rsidRPr="00490C53">
              <w:t>1.69%</w:t>
            </w:r>
          </w:p>
        </w:tc>
        <w:tc>
          <w:tcPr>
            <w:tcW w:w="1453" w:type="pct"/>
            <w:noWrap/>
            <w:vAlign w:val="center"/>
            <w:hideMark/>
          </w:tcPr>
          <w:p w14:paraId="50E2E6DC" w14:textId="77777777" w:rsidR="002B5D18" w:rsidRPr="00490C53" w:rsidRDefault="002B5D18">
            <w:pPr>
              <w:pStyle w:val="Tabletext"/>
              <w:jc w:val="right"/>
              <w:rPr>
                <w:lang w:eastAsia="en-GB"/>
              </w:rPr>
            </w:pPr>
            <w:r w:rsidRPr="00490C53">
              <w:t>0.25%</w:t>
            </w:r>
          </w:p>
        </w:tc>
      </w:tr>
      <w:tr w:rsidR="002B5D18" w:rsidRPr="00490C53" w14:paraId="070D1C74" w14:textId="77777777">
        <w:tblPrEx>
          <w:tblCellMar>
            <w:left w:w="108" w:type="dxa"/>
            <w:right w:w="108" w:type="dxa"/>
          </w:tblCellMar>
        </w:tblPrEx>
        <w:trPr>
          <w:trHeight w:val="290"/>
        </w:trPr>
        <w:tc>
          <w:tcPr>
            <w:tcW w:w="908" w:type="pct"/>
            <w:noWrap/>
            <w:vAlign w:val="center"/>
          </w:tcPr>
          <w:p w14:paraId="6698DB38" w14:textId="77777777" w:rsidR="002B5D18" w:rsidRPr="00490C53" w:rsidRDefault="002B5D18">
            <w:pPr>
              <w:pStyle w:val="Tabletext"/>
              <w:rPr>
                <w:lang w:eastAsia="en-GB"/>
              </w:rPr>
            </w:pPr>
          </w:p>
        </w:tc>
        <w:tc>
          <w:tcPr>
            <w:tcW w:w="1186" w:type="pct"/>
            <w:noWrap/>
            <w:vAlign w:val="center"/>
            <w:hideMark/>
          </w:tcPr>
          <w:p w14:paraId="111EDB92" w14:textId="77777777" w:rsidR="002B5D18" w:rsidRPr="00490C53" w:rsidRDefault="002B5D18">
            <w:pPr>
              <w:pStyle w:val="Tabletext"/>
              <w:rPr>
                <w:lang w:eastAsia="en-GB"/>
              </w:rPr>
            </w:pPr>
            <w:r w:rsidRPr="00490C53">
              <w:rPr>
                <w:lang w:eastAsia="en-GB"/>
              </w:rPr>
              <w:t>45 million or more, but below 100 million</w:t>
            </w:r>
          </w:p>
        </w:tc>
        <w:tc>
          <w:tcPr>
            <w:tcW w:w="1453" w:type="pct"/>
            <w:noWrap/>
            <w:vAlign w:val="center"/>
            <w:hideMark/>
          </w:tcPr>
          <w:p w14:paraId="67DA3CEA" w14:textId="77777777" w:rsidR="002B5D18" w:rsidRPr="00490C53" w:rsidRDefault="002B5D18">
            <w:pPr>
              <w:pStyle w:val="Tabletext"/>
              <w:jc w:val="right"/>
              <w:rPr>
                <w:lang w:eastAsia="en-GB"/>
              </w:rPr>
            </w:pPr>
            <w:r w:rsidRPr="00490C53">
              <w:t>4.66%</w:t>
            </w:r>
          </w:p>
        </w:tc>
        <w:tc>
          <w:tcPr>
            <w:tcW w:w="1453" w:type="pct"/>
            <w:noWrap/>
            <w:vAlign w:val="center"/>
            <w:hideMark/>
          </w:tcPr>
          <w:p w14:paraId="3A5FC4C9" w14:textId="77777777" w:rsidR="002B5D18" w:rsidRPr="00490C53" w:rsidRDefault="002B5D18">
            <w:pPr>
              <w:pStyle w:val="Tabletext"/>
              <w:jc w:val="right"/>
              <w:rPr>
                <w:lang w:eastAsia="en-GB"/>
              </w:rPr>
            </w:pPr>
            <w:r w:rsidRPr="00490C53">
              <w:t>1.00%</w:t>
            </w:r>
          </w:p>
        </w:tc>
      </w:tr>
      <w:tr w:rsidR="002B5D18" w:rsidRPr="00490C53" w14:paraId="7B8CD02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1D0941EB" w14:textId="77777777" w:rsidR="002B5D18" w:rsidRPr="00490C53" w:rsidRDefault="002B5D18">
            <w:pPr>
              <w:pStyle w:val="Tabletext"/>
              <w:rPr>
                <w:lang w:eastAsia="en-GB"/>
              </w:rPr>
            </w:pPr>
          </w:p>
        </w:tc>
        <w:tc>
          <w:tcPr>
            <w:tcW w:w="1186" w:type="pct"/>
            <w:noWrap/>
            <w:vAlign w:val="center"/>
            <w:hideMark/>
          </w:tcPr>
          <w:p w14:paraId="07329B8F" w14:textId="77777777" w:rsidR="002B5D18" w:rsidRPr="00490C53" w:rsidRDefault="002B5D18">
            <w:pPr>
              <w:pStyle w:val="Tabletext"/>
              <w:rPr>
                <w:lang w:eastAsia="en-GB"/>
              </w:rPr>
            </w:pPr>
            <w:r w:rsidRPr="00490C53">
              <w:rPr>
                <w:lang w:eastAsia="en-GB"/>
              </w:rPr>
              <w:t>100 million or more, not more than 500million</w:t>
            </w:r>
          </w:p>
        </w:tc>
        <w:tc>
          <w:tcPr>
            <w:tcW w:w="1453" w:type="pct"/>
            <w:noWrap/>
            <w:vAlign w:val="center"/>
            <w:hideMark/>
          </w:tcPr>
          <w:p w14:paraId="3B865F7E" w14:textId="77777777" w:rsidR="002B5D18" w:rsidRPr="00490C53" w:rsidRDefault="002B5D18">
            <w:pPr>
              <w:pStyle w:val="Tabletext"/>
              <w:jc w:val="right"/>
              <w:rPr>
                <w:lang w:eastAsia="en-GB"/>
              </w:rPr>
            </w:pPr>
            <w:r w:rsidRPr="00490C53">
              <w:t>5.02%</w:t>
            </w:r>
          </w:p>
        </w:tc>
        <w:tc>
          <w:tcPr>
            <w:tcW w:w="1453" w:type="pct"/>
            <w:noWrap/>
            <w:vAlign w:val="center"/>
            <w:hideMark/>
          </w:tcPr>
          <w:p w14:paraId="2D0A3480" w14:textId="77777777" w:rsidR="002B5D18" w:rsidRPr="00490C53" w:rsidRDefault="002B5D18">
            <w:pPr>
              <w:pStyle w:val="Tabletext"/>
              <w:jc w:val="right"/>
              <w:rPr>
                <w:lang w:eastAsia="en-GB"/>
              </w:rPr>
            </w:pPr>
            <w:r w:rsidRPr="00490C53">
              <w:t>0.25%</w:t>
            </w:r>
          </w:p>
        </w:tc>
      </w:tr>
      <w:tr w:rsidR="002B5D18" w:rsidRPr="00490C53" w14:paraId="26F0C0E0" w14:textId="77777777">
        <w:tblPrEx>
          <w:tblCellMar>
            <w:left w:w="108" w:type="dxa"/>
            <w:right w:w="108" w:type="dxa"/>
          </w:tblCellMar>
        </w:tblPrEx>
        <w:trPr>
          <w:trHeight w:val="290"/>
        </w:trPr>
        <w:tc>
          <w:tcPr>
            <w:tcW w:w="908" w:type="pct"/>
            <w:noWrap/>
            <w:vAlign w:val="center"/>
          </w:tcPr>
          <w:p w14:paraId="641AC7E7" w14:textId="77777777" w:rsidR="002B5D18" w:rsidRPr="00490C53" w:rsidRDefault="002B5D18">
            <w:pPr>
              <w:pStyle w:val="Tabletext"/>
              <w:rPr>
                <w:lang w:eastAsia="en-GB"/>
              </w:rPr>
            </w:pPr>
          </w:p>
        </w:tc>
        <w:tc>
          <w:tcPr>
            <w:tcW w:w="1186" w:type="pct"/>
            <w:noWrap/>
            <w:vAlign w:val="center"/>
            <w:hideMark/>
          </w:tcPr>
          <w:p w14:paraId="7273D171" w14:textId="77777777" w:rsidR="002B5D18" w:rsidRPr="00490C53" w:rsidRDefault="002B5D18">
            <w:pPr>
              <w:pStyle w:val="Tabletext"/>
              <w:rPr>
                <w:lang w:eastAsia="en-GB"/>
              </w:rPr>
            </w:pPr>
            <w:r w:rsidRPr="00490C53">
              <w:rPr>
                <w:lang w:eastAsia="en-GB"/>
              </w:rPr>
              <w:t>More than 500 million</w:t>
            </w:r>
          </w:p>
        </w:tc>
        <w:tc>
          <w:tcPr>
            <w:tcW w:w="1453" w:type="pct"/>
            <w:noWrap/>
            <w:vAlign w:val="center"/>
            <w:hideMark/>
          </w:tcPr>
          <w:p w14:paraId="6036C4CD" w14:textId="77777777" w:rsidR="002B5D18" w:rsidRPr="00490C53" w:rsidRDefault="002B5D18">
            <w:pPr>
              <w:pStyle w:val="Tabletext"/>
              <w:jc w:val="right"/>
              <w:rPr>
                <w:lang w:eastAsia="en-GB"/>
              </w:rPr>
            </w:pPr>
            <w:r w:rsidRPr="00490C53">
              <w:t>0.31%</w:t>
            </w:r>
          </w:p>
        </w:tc>
        <w:tc>
          <w:tcPr>
            <w:tcW w:w="1453" w:type="pct"/>
            <w:noWrap/>
            <w:vAlign w:val="center"/>
            <w:hideMark/>
          </w:tcPr>
          <w:p w14:paraId="3028C3EA" w14:textId="77777777" w:rsidR="002B5D18" w:rsidRPr="00490C53" w:rsidRDefault="002B5D18">
            <w:pPr>
              <w:pStyle w:val="Tabletext"/>
              <w:jc w:val="right"/>
              <w:rPr>
                <w:lang w:eastAsia="en-GB"/>
              </w:rPr>
            </w:pPr>
            <w:r w:rsidRPr="00490C53">
              <w:t>0.00%</w:t>
            </w:r>
          </w:p>
        </w:tc>
      </w:tr>
      <w:tr w:rsidR="002B5D18" w:rsidRPr="00490C53" w14:paraId="65EA410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hideMark/>
          </w:tcPr>
          <w:p w14:paraId="7D24152F" w14:textId="77777777" w:rsidR="002B5D18" w:rsidRPr="00490C53" w:rsidRDefault="002B5D18">
            <w:pPr>
              <w:pStyle w:val="Tabletext"/>
              <w:rPr>
                <w:lang w:eastAsia="en-GB"/>
              </w:rPr>
            </w:pPr>
            <w:r w:rsidRPr="00490C53">
              <w:rPr>
                <w:lang w:eastAsia="en-GB"/>
              </w:rPr>
              <w:t>Staff</w:t>
            </w:r>
          </w:p>
        </w:tc>
        <w:tc>
          <w:tcPr>
            <w:tcW w:w="1186" w:type="pct"/>
            <w:noWrap/>
            <w:vAlign w:val="center"/>
            <w:hideMark/>
          </w:tcPr>
          <w:p w14:paraId="6C4D94AC" w14:textId="77777777" w:rsidR="002B5D18" w:rsidRPr="00490C53" w:rsidRDefault="002B5D18">
            <w:pPr>
              <w:pStyle w:val="Tabletext"/>
              <w:rPr>
                <w:lang w:eastAsia="en-GB"/>
              </w:rPr>
            </w:pPr>
            <w:r w:rsidRPr="00490C53">
              <w:rPr>
                <w:lang w:eastAsia="en-GB"/>
              </w:rPr>
              <w:t>1</w:t>
            </w:r>
          </w:p>
        </w:tc>
        <w:tc>
          <w:tcPr>
            <w:tcW w:w="1453" w:type="pct"/>
            <w:noWrap/>
            <w:vAlign w:val="center"/>
            <w:hideMark/>
          </w:tcPr>
          <w:p w14:paraId="774D7A33" w14:textId="77777777" w:rsidR="002B5D18" w:rsidRPr="00490C53" w:rsidRDefault="002B5D18">
            <w:pPr>
              <w:pStyle w:val="Tabletext"/>
              <w:jc w:val="right"/>
              <w:rPr>
                <w:lang w:eastAsia="en-GB"/>
              </w:rPr>
            </w:pPr>
            <w:r w:rsidRPr="00490C53">
              <w:t>2.51%</w:t>
            </w:r>
          </w:p>
        </w:tc>
        <w:tc>
          <w:tcPr>
            <w:tcW w:w="1453" w:type="pct"/>
            <w:noWrap/>
            <w:vAlign w:val="center"/>
            <w:hideMark/>
          </w:tcPr>
          <w:p w14:paraId="7255F022" w14:textId="77777777" w:rsidR="002B5D18" w:rsidRPr="00490C53" w:rsidRDefault="002B5D18">
            <w:pPr>
              <w:pStyle w:val="Tabletext"/>
              <w:jc w:val="right"/>
              <w:rPr>
                <w:lang w:eastAsia="en-GB"/>
              </w:rPr>
            </w:pPr>
            <w:r w:rsidRPr="00490C53">
              <w:t>0.50%</w:t>
            </w:r>
          </w:p>
        </w:tc>
      </w:tr>
      <w:tr w:rsidR="002B5D18" w:rsidRPr="00490C53" w14:paraId="61BC1D30" w14:textId="77777777">
        <w:tblPrEx>
          <w:tblCellMar>
            <w:left w:w="108" w:type="dxa"/>
            <w:right w:w="108" w:type="dxa"/>
          </w:tblCellMar>
        </w:tblPrEx>
        <w:trPr>
          <w:trHeight w:val="290"/>
        </w:trPr>
        <w:tc>
          <w:tcPr>
            <w:tcW w:w="908" w:type="pct"/>
            <w:noWrap/>
            <w:vAlign w:val="center"/>
          </w:tcPr>
          <w:p w14:paraId="66CECE43" w14:textId="77777777" w:rsidR="002B5D18" w:rsidRPr="00490C53" w:rsidRDefault="002B5D18">
            <w:pPr>
              <w:pStyle w:val="Tabletext"/>
              <w:rPr>
                <w:lang w:eastAsia="en-GB"/>
              </w:rPr>
            </w:pPr>
          </w:p>
        </w:tc>
        <w:tc>
          <w:tcPr>
            <w:tcW w:w="1186" w:type="pct"/>
            <w:noWrap/>
            <w:vAlign w:val="center"/>
            <w:hideMark/>
          </w:tcPr>
          <w:p w14:paraId="26CBDD2C" w14:textId="77777777" w:rsidR="002B5D18" w:rsidRPr="00490C53" w:rsidRDefault="002B5D18">
            <w:pPr>
              <w:pStyle w:val="Tabletext"/>
              <w:rPr>
                <w:lang w:eastAsia="en-GB"/>
              </w:rPr>
            </w:pPr>
            <w:r w:rsidRPr="00490C53">
              <w:rPr>
                <w:lang w:eastAsia="en-GB"/>
              </w:rPr>
              <w:t>2 to 4</w:t>
            </w:r>
          </w:p>
        </w:tc>
        <w:tc>
          <w:tcPr>
            <w:tcW w:w="1453" w:type="pct"/>
            <w:noWrap/>
            <w:vAlign w:val="center"/>
            <w:hideMark/>
          </w:tcPr>
          <w:p w14:paraId="75F0ABFC" w14:textId="77777777" w:rsidR="002B5D18" w:rsidRPr="00490C53" w:rsidRDefault="002B5D18">
            <w:pPr>
              <w:pStyle w:val="Tabletext"/>
              <w:jc w:val="right"/>
              <w:rPr>
                <w:lang w:eastAsia="en-GB"/>
              </w:rPr>
            </w:pPr>
            <w:r w:rsidRPr="00490C53">
              <w:t>0.31%</w:t>
            </w:r>
          </w:p>
        </w:tc>
        <w:tc>
          <w:tcPr>
            <w:tcW w:w="1453" w:type="pct"/>
            <w:noWrap/>
            <w:vAlign w:val="center"/>
            <w:hideMark/>
          </w:tcPr>
          <w:p w14:paraId="2D02DBEF" w14:textId="77777777" w:rsidR="002B5D18" w:rsidRPr="00490C53" w:rsidRDefault="002B5D18">
            <w:pPr>
              <w:pStyle w:val="Tabletext"/>
              <w:jc w:val="right"/>
              <w:rPr>
                <w:lang w:eastAsia="en-GB"/>
              </w:rPr>
            </w:pPr>
            <w:r w:rsidRPr="00490C53">
              <w:t>2.00%</w:t>
            </w:r>
          </w:p>
        </w:tc>
      </w:tr>
      <w:tr w:rsidR="002B5D18" w:rsidRPr="00490C53" w14:paraId="76B6DEF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08B8B194" w14:textId="77777777" w:rsidR="002B5D18" w:rsidRPr="00490C53" w:rsidRDefault="002B5D18">
            <w:pPr>
              <w:pStyle w:val="Tabletext"/>
              <w:rPr>
                <w:lang w:eastAsia="en-GB"/>
              </w:rPr>
            </w:pPr>
          </w:p>
        </w:tc>
        <w:tc>
          <w:tcPr>
            <w:tcW w:w="1186" w:type="pct"/>
            <w:noWrap/>
            <w:vAlign w:val="center"/>
            <w:hideMark/>
          </w:tcPr>
          <w:p w14:paraId="308126E6" w14:textId="77777777" w:rsidR="002B5D18" w:rsidRPr="00490C53" w:rsidRDefault="002B5D18">
            <w:pPr>
              <w:pStyle w:val="Tabletext"/>
              <w:rPr>
                <w:lang w:eastAsia="en-GB"/>
              </w:rPr>
            </w:pPr>
            <w:r w:rsidRPr="00490C53">
              <w:rPr>
                <w:lang w:eastAsia="en-GB"/>
              </w:rPr>
              <w:t>5 to 9</w:t>
            </w:r>
          </w:p>
        </w:tc>
        <w:tc>
          <w:tcPr>
            <w:tcW w:w="1453" w:type="pct"/>
            <w:noWrap/>
            <w:vAlign w:val="center"/>
            <w:hideMark/>
          </w:tcPr>
          <w:p w14:paraId="65BE1EDE" w14:textId="77777777" w:rsidR="002B5D18" w:rsidRPr="00490C53" w:rsidRDefault="002B5D18">
            <w:pPr>
              <w:pStyle w:val="Tabletext"/>
              <w:jc w:val="right"/>
              <w:rPr>
                <w:lang w:eastAsia="en-GB"/>
              </w:rPr>
            </w:pPr>
            <w:r w:rsidRPr="00490C53">
              <w:t>6.90%</w:t>
            </w:r>
          </w:p>
        </w:tc>
        <w:tc>
          <w:tcPr>
            <w:tcW w:w="1453" w:type="pct"/>
            <w:noWrap/>
            <w:vAlign w:val="center"/>
            <w:hideMark/>
          </w:tcPr>
          <w:p w14:paraId="49B31845" w14:textId="77777777" w:rsidR="002B5D18" w:rsidRPr="00490C53" w:rsidRDefault="002B5D18">
            <w:pPr>
              <w:pStyle w:val="Tabletext"/>
              <w:jc w:val="right"/>
              <w:rPr>
                <w:lang w:eastAsia="en-GB"/>
              </w:rPr>
            </w:pPr>
            <w:r w:rsidRPr="00490C53">
              <w:t>1.25%</w:t>
            </w:r>
          </w:p>
        </w:tc>
      </w:tr>
      <w:tr w:rsidR="002B5D18" w:rsidRPr="00490C53" w14:paraId="3397816F" w14:textId="77777777">
        <w:tblPrEx>
          <w:tblCellMar>
            <w:left w:w="108" w:type="dxa"/>
            <w:right w:w="108" w:type="dxa"/>
          </w:tblCellMar>
        </w:tblPrEx>
        <w:trPr>
          <w:trHeight w:val="290"/>
        </w:trPr>
        <w:tc>
          <w:tcPr>
            <w:tcW w:w="908" w:type="pct"/>
            <w:noWrap/>
            <w:vAlign w:val="center"/>
          </w:tcPr>
          <w:p w14:paraId="60938F27" w14:textId="77777777" w:rsidR="002B5D18" w:rsidRPr="00490C53" w:rsidRDefault="002B5D18">
            <w:pPr>
              <w:pStyle w:val="Tabletext"/>
              <w:rPr>
                <w:lang w:eastAsia="en-GB"/>
              </w:rPr>
            </w:pPr>
          </w:p>
        </w:tc>
        <w:tc>
          <w:tcPr>
            <w:tcW w:w="1186" w:type="pct"/>
            <w:noWrap/>
            <w:vAlign w:val="center"/>
            <w:hideMark/>
          </w:tcPr>
          <w:p w14:paraId="17E7AFA6" w14:textId="77777777" w:rsidR="002B5D18" w:rsidRPr="00490C53" w:rsidRDefault="002B5D18">
            <w:pPr>
              <w:pStyle w:val="Tabletext"/>
              <w:rPr>
                <w:lang w:eastAsia="en-GB"/>
              </w:rPr>
            </w:pPr>
            <w:r w:rsidRPr="00490C53">
              <w:rPr>
                <w:lang w:eastAsia="en-GB"/>
              </w:rPr>
              <w:t>10 to 24</w:t>
            </w:r>
          </w:p>
        </w:tc>
        <w:tc>
          <w:tcPr>
            <w:tcW w:w="1453" w:type="pct"/>
            <w:noWrap/>
            <w:vAlign w:val="center"/>
            <w:hideMark/>
          </w:tcPr>
          <w:p w14:paraId="2E4A3D09" w14:textId="77777777" w:rsidR="002B5D18" w:rsidRPr="00490C53" w:rsidRDefault="002B5D18">
            <w:pPr>
              <w:pStyle w:val="Tabletext"/>
              <w:jc w:val="right"/>
              <w:rPr>
                <w:lang w:eastAsia="en-GB"/>
              </w:rPr>
            </w:pPr>
            <w:r w:rsidRPr="00490C53">
              <w:t>2.71%</w:t>
            </w:r>
          </w:p>
        </w:tc>
        <w:tc>
          <w:tcPr>
            <w:tcW w:w="1453" w:type="pct"/>
            <w:noWrap/>
            <w:vAlign w:val="center"/>
            <w:hideMark/>
          </w:tcPr>
          <w:p w14:paraId="711451EA" w14:textId="77777777" w:rsidR="002B5D18" w:rsidRPr="00490C53" w:rsidRDefault="002B5D18">
            <w:pPr>
              <w:pStyle w:val="Tabletext"/>
              <w:jc w:val="right"/>
              <w:rPr>
                <w:lang w:eastAsia="en-GB"/>
              </w:rPr>
            </w:pPr>
            <w:r w:rsidRPr="00490C53">
              <w:t>3.25%</w:t>
            </w:r>
          </w:p>
        </w:tc>
      </w:tr>
      <w:tr w:rsidR="002B5D18" w:rsidRPr="00490C53" w14:paraId="1671409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564D49E0" w14:textId="77777777" w:rsidR="002B5D18" w:rsidRPr="00490C53" w:rsidRDefault="002B5D18">
            <w:pPr>
              <w:pStyle w:val="Tabletext"/>
              <w:rPr>
                <w:lang w:eastAsia="en-GB"/>
              </w:rPr>
            </w:pPr>
          </w:p>
        </w:tc>
        <w:tc>
          <w:tcPr>
            <w:tcW w:w="1186" w:type="pct"/>
            <w:noWrap/>
            <w:vAlign w:val="center"/>
            <w:hideMark/>
          </w:tcPr>
          <w:p w14:paraId="6E180C4F" w14:textId="77777777" w:rsidR="002B5D18" w:rsidRPr="00490C53" w:rsidRDefault="002B5D18">
            <w:pPr>
              <w:pStyle w:val="Tabletext"/>
              <w:rPr>
                <w:lang w:eastAsia="en-GB"/>
              </w:rPr>
            </w:pPr>
            <w:r w:rsidRPr="00490C53">
              <w:rPr>
                <w:lang w:eastAsia="en-GB"/>
              </w:rPr>
              <w:t>25 to 49</w:t>
            </w:r>
          </w:p>
        </w:tc>
        <w:tc>
          <w:tcPr>
            <w:tcW w:w="1453" w:type="pct"/>
            <w:noWrap/>
            <w:vAlign w:val="center"/>
            <w:hideMark/>
          </w:tcPr>
          <w:p w14:paraId="2B9D2F28" w14:textId="77777777" w:rsidR="002B5D18" w:rsidRPr="00490C53" w:rsidRDefault="002B5D18">
            <w:pPr>
              <w:pStyle w:val="Tabletext"/>
              <w:jc w:val="right"/>
              <w:rPr>
                <w:lang w:eastAsia="en-GB"/>
              </w:rPr>
            </w:pPr>
            <w:r w:rsidRPr="00490C53">
              <w:t>6.97%</w:t>
            </w:r>
          </w:p>
        </w:tc>
        <w:tc>
          <w:tcPr>
            <w:tcW w:w="1453" w:type="pct"/>
            <w:noWrap/>
            <w:vAlign w:val="center"/>
            <w:hideMark/>
          </w:tcPr>
          <w:p w14:paraId="4826E021" w14:textId="77777777" w:rsidR="002B5D18" w:rsidRPr="00490C53" w:rsidRDefault="002B5D18">
            <w:pPr>
              <w:pStyle w:val="Tabletext"/>
              <w:jc w:val="right"/>
              <w:rPr>
                <w:lang w:eastAsia="en-GB"/>
              </w:rPr>
            </w:pPr>
            <w:r w:rsidRPr="00490C53">
              <w:t>3.25%</w:t>
            </w:r>
          </w:p>
        </w:tc>
      </w:tr>
      <w:tr w:rsidR="002B5D18" w:rsidRPr="00490C53" w14:paraId="350F9D5B" w14:textId="77777777">
        <w:tblPrEx>
          <w:tblCellMar>
            <w:left w:w="108" w:type="dxa"/>
            <w:right w:w="108" w:type="dxa"/>
          </w:tblCellMar>
        </w:tblPrEx>
        <w:trPr>
          <w:trHeight w:val="290"/>
        </w:trPr>
        <w:tc>
          <w:tcPr>
            <w:tcW w:w="908" w:type="pct"/>
            <w:noWrap/>
            <w:vAlign w:val="center"/>
          </w:tcPr>
          <w:p w14:paraId="11C771DE" w14:textId="77777777" w:rsidR="002B5D18" w:rsidRPr="00490C53" w:rsidRDefault="002B5D18">
            <w:pPr>
              <w:pStyle w:val="Tabletext"/>
              <w:rPr>
                <w:lang w:eastAsia="en-GB"/>
              </w:rPr>
            </w:pPr>
          </w:p>
        </w:tc>
        <w:tc>
          <w:tcPr>
            <w:tcW w:w="1186" w:type="pct"/>
            <w:noWrap/>
            <w:vAlign w:val="center"/>
            <w:hideMark/>
          </w:tcPr>
          <w:p w14:paraId="2B680E0B" w14:textId="77777777" w:rsidR="002B5D18" w:rsidRPr="00490C53" w:rsidRDefault="002B5D18">
            <w:pPr>
              <w:pStyle w:val="Tabletext"/>
              <w:rPr>
                <w:lang w:eastAsia="en-GB"/>
              </w:rPr>
            </w:pPr>
            <w:r w:rsidRPr="00490C53">
              <w:rPr>
                <w:lang w:eastAsia="en-GB"/>
              </w:rPr>
              <w:t>50 to 249</w:t>
            </w:r>
          </w:p>
        </w:tc>
        <w:tc>
          <w:tcPr>
            <w:tcW w:w="1453" w:type="pct"/>
            <w:noWrap/>
            <w:vAlign w:val="center"/>
            <w:hideMark/>
          </w:tcPr>
          <w:p w14:paraId="51EF7EE8" w14:textId="77777777" w:rsidR="002B5D18" w:rsidRPr="00490C53" w:rsidRDefault="002B5D18">
            <w:pPr>
              <w:pStyle w:val="Tabletext"/>
              <w:jc w:val="right"/>
              <w:rPr>
                <w:lang w:eastAsia="en-GB"/>
              </w:rPr>
            </w:pPr>
            <w:r w:rsidRPr="00490C53">
              <w:t>6.88%</w:t>
            </w:r>
          </w:p>
        </w:tc>
        <w:tc>
          <w:tcPr>
            <w:tcW w:w="1453" w:type="pct"/>
            <w:noWrap/>
            <w:vAlign w:val="center"/>
            <w:hideMark/>
          </w:tcPr>
          <w:p w14:paraId="6BE46BFC" w14:textId="77777777" w:rsidR="002B5D18" w:rsidRPr="00490C53" w:rsidRDefault="002B5D18">
            <w:pPr>
              <w:pStyle w:val="Tabletext"/>
              <w:jc w:val="right"/>
              <w:rPr>
                <w:lang w:eastAsia="en-GB"/>
              </w:rPr>
            </w:pPr>
            <w:r w:rsidRPr="00490C53">
              <w:t>3.00%</w:t>
            </w:r>
          </w:p>
        </w:tc>
      </w:tr>
      <w:tr w:rsidR="002B5D18" w:rsidRPr="00490C53" w14:paraId="00B8A6D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33147ACF" w14:textId="77777777" w:rsidR="002B5D18" w:rsidRPr="00490C53" w:rsidRDefault="002B5D18">
            <w:pPr>
              <w:pStyle w:val="Tabletext"/>
              <w:rPr>
                <w:lang w:eastAsia="en-GB"/>
              </w:rPr>
            </w:pPr>
          </w:p>
        </w:tc>
        <w:tc>
          <w:tcPr>
            <w:tcW w:w="1186" w:type="pct"/>
            <w:noWrap/>
            <w:vAlign w:val="center"/>
            <w:hideMark/>
          </w:tcPr>
          <w:p w14:paraId="33B82D5E" w14:textId="77777777" w:rsidR="002B5D18" w:rsidRPr="00490C53" w:rsidRDefault="002B5D18">
            <w:pPr>
              <w:pStyle w:val="Tabletext"/>
              <w:rPr>
                <w:lang w:eastAsia="en-GB"/>
              </w:rPr>
            </w:pPr>
            <w:r w:rsidRPr="00490C53">
              <w:rPr>
                <w:lang w:eastAsia="en-GB"/>
              </w:rPr>
              <w:t>250 to 999</w:t>
            </w:r>
          </w:p>
        </w:tc>
        <w:tc>
          <w:tcPr>
            <w:tcW w:w="1453" w:type="pct"/>
            <w:noWrap/>
            <w:vAlign w:val="center"/>
            <w:hideMark/>
          </w:tcPr>
          <w:p w14:paraId="3BB144A4" w14:textId="77777777" w:rsidR="002B5D18" w:rsidRPr="00490C53" w:rsidRDefault="002B5D18">
            <w:pPr>
              <w:pStyle w:val="Tabletext"/>
              <w:jc w:val="right"/>
              <w:rPr>
                <w:lang w:eastAsia="en-GB"/>
              </w:rPr>
            </w:pPr>
            <w:r w:rsidRPr="00490C53">
              <w:t>4.38%</w:t>
            </w:r>
          </w:p>
        </w:tc>
        <w:tc>
          <w:tcPr>
            <w:tcW w:w="1453" w:type="pct"/>
            <w:noWrap/>
            <w:vAlign w:val="center"/>
            <w:hideMark/>
          </w:tcPr>
          <w:p w14:paraId="1AA32B16" w14:textId="77777777" w:rsidR="002B5D18" w:rsidRPr="00490C53" w:rsidRDefault="002B5D18">
            <w:pPr>
              <w:pStyle w:val="Tabletext"/>
              <w:jc w:val="right"/>
              <w:rPr>
                <w:lang w:eastAsia="en-GB"/>
              </w:rPr>
            </w:pPr>
            <w:r w:rsidRPr="00490C53">
              <w:t>0.75%</w:t>
            </w:r>
          </w:p>
        </w:tc>
      </w:tr>
      <w:tr w:rsidR="002B5D18" w:rsidRPr="00490C53" w14:paraId="5F0958E4" w14:textId="77777777">
        <w:tblPrEx>
          <w:tblCellMar>
            <w:left w:w="108" w:type="dxa"/>
            <w:right w:w="108" w:type="dxa"/>
          </w:tblCellMar>
        </w:tblPrEx>
        <w:trPr>
          <w:trHeight w:val="290"/>
        </w:trPr>
        <w:tc>
          <w:tcPr>
            <w:tcW w:w="908" w:type="pct"/>
            <w:noWrap/>
            <w:vAlign w:val="center"/>
          </w:tcPr>
          <w:p w14:paraId="46E624C8" w14:textId="77777777" w:rsidR="002B5D18" w:rsidRPr="00490C53" w:rsidRDefault="002B5D18">
            <w:pPr>
              <w:pStyle w:val="Tabletext"/>
              <w:rPr>
                <w:lang w:eastAsia="en-GB"/>
              </w:rPr>
            </w:pPr>
          </w:p>
        </w:tc>
        <w:tc>
          <w:tcPr>
            <w:tcW w:w="1186" w:type="pct"/>
            <w:noWrap/>
            <w:vAlign w:val="center"/>
            <w:hideMark/>
          </w:tcPr>
          <w:p w14:paraId="061DE4DA" w14:textId="77777777" w:rsidR="002B5D18" w:rsidRPr="00490C53" w:rsidRDefault="002B5D18">
            <w:pPr>
              <w:pStyle w:val="Tabletext"/>
              <w:rPr>
                <w:lang w:eastAsia="en-GB"/>
              </w:rPr>
            </w:pPr>
            <w:r w:rsidRPr="00490C53">
              <w:rPr>
                <w:lang w:eastAsia="en-GB"/>
              </w:rPr>
              <w:t>1,000 to 2,499</w:t>
            </w:r>
          </w:p>
        </w:tc>
        <w:tc>
          <w:tcPr>
            <w:tcW w:w="1453" w:type="pct"/>
            <w:noWrap/>
            <w:vAlign w:val="center"/>
            <w:hideMark/>
          </w:tcPr>
          <w:p w14:paraId="43E1361E" w14:textId="77777777" w:rsidR="002B5D18" w:rsidRPr="00490C53" w:rsidRDefault="002B5D18">
            <w:pPr>
              <w:pStyle w:val="Tabletext"/>
              <w:jc w:val="right"/>
              <w:rPr>
                <w:lang w:eastAsia="en-GB"/>
              </w:rPr>
            </w:pPr>
            <w:r w:rsidRPr="00490C53">
              <w:t>2.08%</w:t>
            </w:r>
          </w:p>
        </w:tc>
        <w:tc>
          <w:tcPr>
            <w:tcW w:w="1453" w:type="pct"/>
            <w:noWrap/>
            <w:vAlign w:val="center"/>
            <w:hideMark/>
          </w:tcPr>
          <w:p w14:paraId="31E5FC35" w14:textId="77777777" w:rsidR="002B5D18" w:rsidRPr="00490C53" w:rsidRDefault="002B5D18">
            <w:pPr>
              <w:pStyle w:val="Tabletext"/>
              <w:jc w:val="right"/>
              <w:rPr>
                <w:lang w:eastAsia="en-GB"/>
              </w:rPr>
            </w:pPr>
            <w:r w:rsidRPr="00490C53">
              <w:t>0.00%</w:t>
            </w:r>
          </w:p>
        </w:tc>
      </w:tr>
      <w:tr w:rsidR="002B5D18" w:rsidRPr="00490C53" w14:paraId="48DD7BF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04A4024A" w14:textId="77777777" w:rsidR="002B5D18" w:rsidRPr="00490C53" w:rsidRDefault="002B5D18">
            <w:pPr>
              <w:pStyle w:val="Tabletext"/>
              <w:rPr>
                <w:lang w:eastAsia="en-GB"/>
              </w:rPr>
            </w:pPr>
          </w:p>
        </w:tc>
        <w:tc>
          <w:tcPr>
            <w:tcW w:w="1186" w:type="pct"/>
            <w:noWrap/>
            <w:vAlign w:val="center"/>
            <w:hideMark/>
          </w:tcPr>
          <w:p w14:paraId="22F89418" w14:textId="77777777" w:rsidR="002B5D18" w:rsidRPr="00490C53" w:rsidRDefault="002B5D18">
            <w:pPr>
              <w:pStyle w:val="Tabletext"/>
              <w:rPr>
                <w:lang w:eastAsia="en-GB"/>
              </w:rPr>
            </w:pPr>
            <w:r w:rsidRPr="00490C53">
              <w:rPr>
                <w:lang w:eastAsia="en-GB"/>
              </w:rPr>
              <w:t>2,500 to 4,999</w:t>
            </w:r>
          </w:p>
        </w:tc>
        <w:tc>
          <w:tcPr>
            <w:tcW w:w="1453" w:type="pct"/>
            <w:noWrap/>
            <w:vAlign w:val="center"/>
            <w:hideMark/>
          </w:tcPr>
          <w:p w14:paraId="355633F0" w14:textId="77777777" w:rsidR="002B5D18" w:rsidRPr="00490C53" w:rsidRDefault="002B5D18">
            <w:pPr>
              <w:pStyle w:val="Tabletext"/>
              <w:jc w:val="right"/>
              <w:rPr>
                <w:lang w:eastAsia="en-GB"/>
              </w:rPr>
            </w:pPr>
            <w:r w:rsidRPr="00490C53">
              <w:t>0.89%</w:t>
            </w:r>
          </w:p>
        </w:tc>
        <w:tc>
          <w:tcPr>
            <w:tcW w:w="1453" w:type="pct"/>
            <w:noWrap/>
            <w:vAlign w:val="center"/>
            <w:hideMark/>
          </w:tcPr>
          <w:p w14:paraId="47134226" w14:textId="77777777" w:rsidR="002B5D18" w:rsidRPr="00490C53" w:rsidRDefault="002B5D18">
            <w:pPr>
              <w:pStyle w:val="Tabletext"/>
              <w:jc w:val="right"/>
              <w:rPr>
                <w:lang w:eastAsia="en-GB"/>
              </w:rPr>
            </w:pPr>
            <w:r w:rsidRPr="00490C53">
              <w:t>0.00%</w:t>
            </w:r>
          </w:p>
        </w:tc>
      </w:tr>
      <w:tr w:rsidR="002B5D18" w:rsidRPr="00490C53" w14:paraId="403703B3" w14:textId="77777777">
        <w:tblPrEx>
          <w:tblCellMar>
            <w:left w:w="108" w:type="dxa"/>
            <w:right w:w="108" w:type="dxa"/>
          </w:tblCellMar>
        </w:tblPrEx>
        <w:trPr>
          <w:trHeight w:val="290"/>
        </w:trPr>
        <w:tc>
          <w:tcPr>
            <w:tcW w:w="908" w:type="pct"/>
            <w:noWrap/>
            <w:vAlign w:val="center"/>
          </w:tcPr>
          <w:p w14:paraId="73EA0D4B" w14:textId="77777777" w:rsidR="002B5D18" w:rsidRPr="00490C53" w:rsidRDefault="002B5D18">
            <w:pPr>
              <w:pStyle w:val="Tabletext"/>
              <w:rPr>
                <w:lang w:eastAsia="en-GB"/>
              </w:rPr>
            </w:pPr>
          </w:p>
        </w:tc>
        <w:tc>
          <w:tcPr>
            <w:tcW w:w="1186" w:type="pct"/>
            <w:noWrap/>
            <w:vAlign w:val="center"/>
            <w:hideMark/>
          </w:tcPr>
          <w:p w14:paraId="750CF087" w14:textId="77777777" w:rsidR="002B5D18" w:rsidRPr="00490C53" w:rsidRDefault="002B5D18">
            <w:pPr>
              <w:pStyle w:val="Tabletext"/>
              <w:rPr>
                <w:lang w:eastAsia="en-GB"/>
              </w:rPr>
            </w:pPr>
            <w:r w:rsidRPr="00490C53">
              <w:rPr>
                <w:lang w:eastAsia="en-GB"/>
              </w:rPr>
              <w:t>5,000 or more</w:t>
            </w:r>
          </w:p>
        </w:tc>
        <w:tc>
          <w:tcPr>
            <w:tcW w:w="1453" w:type="pct"/>
            <w:noWrap/>
            <w:vAlign w:val="center"/>
            <w:hideMark/>
          </w:tcPr>
          <w:p w14:paraId="0C7455AB" w14:textId="77777777" w:rsidR="002B5D18" w:rsidRPr="00490C53" w:rsidRDefault="002B5D18">
            <w:pPr>
              <w:pStyle w:val="Tabletext"/>
              <w:jc w:val="right"/>
              <w:rPr>
                <w:lang w:eastAsia="en-GB"/>
              </w:rPr>
            </w:pPr>
            <w:r w:rsidRPr="00490C53">
              <w:t>0.15%</w:t>
            </w:r>
          </w:p>
        </w:tc>
        <w:tc>
          <w:tcPr>
            <w:tcW w:w="1453" w:type="pct"/>
            <w:noWrap/>
            <w:vAlign w:val="center"/>
            <w:hideMark/>
          </w:tcPr>
          <w:p w14:paraId="660746E1" w14:textId="77777777" w:rsidR="002B5D18" w:rsidRPr="00490C53" w:rsidRDefault="002B5D18">
            <w:pPr>
              <w:pStyle w:val="Tabletext"/>
              <w:jc w:val="right"/>
              <w:rPr>
                <w:lang w:eastAsia="en-GB"/>
              </w:rPr>
            </w:pPr>
            <w:r w:rsidRPr="00490C53">
              <w:t>0.00%</w:t>
            </w:r>
          </w:p>
        </w:tc>
      </w:tr>
      <w:tr w:rsidR="002B5D18" w:rsidRPr="00490C53" w14:paraId="0C87A0E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hideMark/>
          </w:tcPr>
          <w:p w14:paraId="1995BB54" w14:textId="77777777" w:rsidR="002B5D18" w:rsidRPr="00490C53" w:rsidRDefault="002B5D18">
            <w:pPr>
              <w:pStyle w:val="Tabletext"/>
              <w:rPr>
                <w:lang w:eastAsia="en-GB"/>
              </w:rPr>
            </w:pPr>
            <w:r w:rsidRPr="00490C53">
              <w:rPr>
                <w:lang w:eastAsia="en-GB"/>
              </w:rPr>
              <w:t>Region</w:t>
            </w:r>
          </w:p>
        </w:tc>
        <w:tc>
          <w:tcPr>
            <w:tcW w:w="1186" w:type="pct"/>
            <w:noWrap/>
            <w:vAlign w:val="center"/>
            <w:hideMark/>
          </w:tcPr>
          <w:p w14:paraId="20403C11" w14:textId="77777777" w:rsidR="002B5D18" w:rsidRPr="00490C53" w:rsidRDefault="002B5D18">
            <w:pPr>
              <w:pStyle w:val="Tabletext"/>
              <w:rPr>
                <w:lang w:eastAsia="en-GB"/>
              </w:rPr>
            </w:pPr>
            <w:r w:rsidRPr="00490C53">
              <w:rPr>
                <w:lang w:eastAsia="en-GB"/>
              </w:rPr>
              <w:t>East / Midlands</w:t>
            </w:r>
          </w:p>
        </w:tc>
        <w:tc>
          <w:tcPr>
            <w:tcW w:w="1453" w:type="pct"/>
            <w:noWrap/>
            <w:vAlign w:val="center"/>
            <w:hideMark/>
          </w:tcPr>
          <w:p w14:paraId="5B4D14A4" w14:textId="77777777" w:rsidR="002B5D18" w:rsidRPr="00490C53" w:rsidRDefault="002B5D18">
            <w:pPr>
              <w:pStyle w:val="Tabletext"/>
              <w:jc w:val="right"/>
              <w:rPr>
                <w:lang w:eastAsia="en-GB"/>
              </w:rPr>
            </w:pPr>
            <w:r w:rsidRPr="00490C53">
              <w:t>0.70%</w:t>
            </w:r>
          </w:p>
        </w:tc>
        <w:tc>
          <w:tcPr>
            <w:tcW w:w="1453" w:type="pct"/>
            <w:noWrap/>
            <w:vAlign w:val="center"/>
            <w:hideMark/>
          </w:tcPr>
          <w:p w14:paraId="371DC7D2" w14:textId="77777777" w:rsidR="002B5D18" w:rsidRPr="00490C53" w:rsidRDefault="002B5D18">
            <w:pPr>
              <w:pStyle w:val="Tabletext"/>
              <w:jc w:val="right"/>
              <w:rPr>
                <w:lang w:eastAsia="en-GB"/>
              </w:rPr>
            </w:pPr>
            <w:r w:rsidRPr="00490C53">
              <w:t>1.00%</w:t>
            </w:r>
          </w:p>
        </w:tc>
      </w:tr>
      <w:tr w:rsidR="002B5D18" w:rsidRPr="00490C53" w14:paraId="5FB3B9E0" w14:textId="77777777">
        <w:tblPrEx>
          <w:tblCellMar>
            <w:left w:w="108" w:type="dxa"/>
            <w:right w:w="108" w:type="dxa"/>
          </w:tblCellMar>
        </w:tblPrEx>
        <w:trPr>
          <w:trHeight w:val="290"/>
        </w:trPr>
        <w:tc>
          <w:tcPr>
            <w:tcW w:w="908" w:type="pct"/>
            <w:noWrap/>
            <w:vAlign w:val="center"/>
          </w:tcPr>
          <w:p w14:paraId="4A338632" w14:textId="77777777" w:rsidR="002B5D18" w:rsidRPr="00490C53" w:rsidRDefault="002B5D18">
            <w:pPr>
              <w:pStyle w:val="Tabletext"/>
              <w:rPr>
                <w:lang w:eastAsia="en-GB"/>
              </w:rPr>
            </w:pPr>
          </w:p>
        </w:tc>
        <w:tc>
          <w:tcPr>
            <w:tcW w:w="1186" w:type="pct"/>
            <w:noWrap/>
            <w:vAlign w:val="center"/>
            <w:hideMark/>
          </w:tcPr>
          <w:p w14:paraId="35AFF751" w14:textId="77777777" w:rsidR="002B5D18" w:rsidRPr="00490C53" w:rsidRDefault="002B5D18">
            <w:pPr>
              <w:pStyle w:val="Tabletext"/>
              <w:rPr>
                <w:lang w:eastAsia="en-GB"/>
              </w:rPr>
            </w:pPr>
            <w:r w:rsidRPr="00490C53">
              <w:rPr>
                <w:lang w:eastAsia="en-GB"/>
              </w:rPr>
              <w:t>London</w:t>
            </w:r>
          </w:p>
        </w:tc>
        <w:tc>
          <w:tcPr>
            <w:tcW w:w="1453" w:type="pct"/>
            <w:noWrap/>
            <w:vAlign w:val="center"/>
            <w:hideMark/>
          </w:tcPr>
          <w:p w14:paraId="3AAFBF62" w14:textId="77777777" w:rsidR="002B5D18" w:rsidRPr="00490C53" w:rsidRDefault="002B5D18">
            <w:pPr>
              <w:pStyle w:val="Tabletext"/>
              <w:jc w:val="right"/>
              <w:rPr>
                <w:lang w:eastAsia="en-GB"/>
              </w:rPr>
            </w:pPr>
            <w:r w:rsidRPr="00490C53">
              <w:t>0.65%</w:t>
            </w:r>
          </w:p>
        </w:tc>
        <w:tc>
          <w:tcPr>
            <w:tcW w:w="1453" w:type="pct"/>
            <w:noWrap/>
            <w:vAlign w:val="center"/>
            <w:hideMark/>
          </w:tcPr>
          <w:p w14:paraId="034DEE18" w14:textId="77777777" w:rsidR="002B5D18" w:rsidRPr="00490C53" w:rsidRDefault="002B5D18">
            <w:pPr>
              <w:pStyle w:val="Tabletext"/>
              <w:jc w:val="right"/>
              <w:rPr>
                <w:lang w:eastAsia="en-GB"/>
              </w:rPr>
            </w:pPr>
            <w:r w:rsidRPr="00490C53">
              <w:t>0.25%</w:t>
            </w:r>
          </w:p>
        </w:tc>
      </w:tr>
      <w:tr w:rsidR="002B5D18" w:rsidRPr="00490C53" w14:paraId="398CA0E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0CEEB832" w14:textId="77777777" w:rsidR="002B5D18" w:rsidRPr="00490C53" w:rsidRDefault="002B5D18">
            <w:pPr>
              <w:pStyle w:val="Tabletext"/>
              <w:rPr>
                <w:lang w:eastAsia="en-GB"/>
              </w:rPr>
            </w:pPr>
          </w:p>
        </w:tc>
        <w:tc>
          <w:tcPr>
            <w:tcW w:w="1186" w:type="pct"/>
            <w:noWrap/>
            <w:vAlign w:val="center"/>
            <w:hideMark/>
          </w:tcPr>
          <w:p w14:paraId="3D1D1D46" w14:textId="77777777" w:rsidR="002B5D18" w:rsidRPr="00490C53" w:rsidRDefault="002B5D18">
            <w:pPr>
              <w:pStyle w:val="Tabletext"/>
              <w:rPr>
                <w:lang w:eastAsia="en-GB"/>
              </w:rPr>
            </w:pPr>
            <w:r w:rsidRPr="00490C53">
              <w:rPr>
                <w:lang w:eastAsia="en-GB"/>
              </w:rPr>
              <w:t>North / Yorkshire</w:t>
            </w:r>
          </w:p>
        </w:tc>
        <w:tc>
          <w:tcPr>
            <w:tcW w:w="1453" w:type="pct"/>
            <w:noWrap/>
            <w:vAlign w:val="center"/>
            <w:hideMark/>
          </w:tcPr>
          <w:p w14:paraId="20F8C85E" w14:textId="77777777" w:rsidR="002B5D18" w:rsidRPr="00490C53" w:rsidRDefault="002B5D18">
            <w:pPr>
              <w:pStyle w:val="Tabletext"/>
              <w:jc w:val="right"/>
              <w:rPr>
                <w:lang w:eastAsia="en-GB"/>
              </w:rPr>
            </w:pPr>
            <w:r w:rsidRPr="00490C53">
              <w:t>0.79%</w:t>
            </w:r>
          </w:p>
        </w:tc>
        <w:tc>
          <w:tcPr>
            <w:tcW w:w="1453" w:type="pct"/>
            <w:noWrap/>
            <w:vAlign w:val="center"/>
            <w:hideMark/>
          </w:tcPr>
          <w:p w14:paraId="032B91FF" w14:textId="77777777" w:rsidR="002B5D18" w:rsidRPr="00490C53" w:rsidRDefault="002B5D18">
            <w:pPr>
              <w:pStyle w:val="Tabletext"/>
              <w:jc w:val="right"/>
              <w:rPr>
                <w:lang w:eastAsia="en-GB"/>
              </w:rPr>
            </w:pPr>
            <w:r w:rsidRPr="00490C53">
              <w:t>3.00%</w:t>
            </w:r>
          </w:p>
        </w:tc>
      </w:tr>
      <w:tr w:rsidR="002B5D18" w:rsidRPr="00490C53" w14:paraId="770B91D8" w14:textId="77777777">
        <w:tblPrEx>
          <w:tblCellMar>
            <w:left w:w="108" w:type="dxa"/>
            <w:right w:w="108" w:type="dxa"/>
          </w:tblCellMar>
        </w:tblPrEx>
        <w:trPr>
          <w:trHeight w:val="290"/>
        </w:trPr>
        <w:tc>
          <w:tcPr>
            <w:tcW w:w="908" w:type="pct"/>
            <w:noWrap/>
            <w:vAlign w:val="center"/>
          </w:tcPr>
          <w:p w14:paraId="63069444" w14:textId="77777777" w:rsidR="002B5D18" w:rsidRPr="00490C53" w:rsidRDefault="002B5D18">
            <w:pPr>
              <w:pStyle w:val="Tabletext"/>
              <w:rPr>
                <w:lang w:eastAsia="en-GB"/>
              </w:rPr>
            </w:pPr>
          </w:p>
        </w:tc>
        <w:tc>
          <w:tcPr>
            <w:tcW w:w="1186" w:type="pct"/>
            <w:noWrap/>
            <w:vAlign w:val="center"/>
            <w:hideMark/>
          </w:tcPr>
          <w:p w14:paraId="0E72E254" w14:textId="77777777" w:rsidR="002B5D18" w:rsidRPr="00490C53" w:rsidRDefault="002B5D18">
            <w:pPr>
              <w:pStyle w:val="Tabletext"/>
              <w:rPr>
                <w:lang w:eastAsia="en-GB"/>
              </w:rPr>
            </w:pPr>
            <w:r w:rsidRPr="00490C53">
              <w:rPr>
                <w:lang w:eastAsia="en-GB"/>
              </w:rPr>
              <w:t>Northern Ireland</w:t>
            </w:r>
          </w:p>
        </w:tc>
        <w:tc>
          <w:tcPr>
            <w:tcW w:w="1453" w:type="pct"/>
            <w:noWrap/>
            <w:vAlign w:val="center"/>
            <w:hideMark/>
          </w:tcPr>
          <w:p w14:paraId="68615A06" w14:textId="77777777" w:rsidR="002B5D18" w:rsidRPr="00490C53" w:rsidRDefault="002B5D18">
            <w:pPr>
              <w:pStyle w:val="Tabletext"/>
              <w:jc w:val="right"/>
              <w:rPr>
                <w:lang w:eastAsia="en-GB"/>
              </w:rPr>
            </w:pPr>
            <w:r w:rsidRPr="00490C53">
              <w:t>3.75%</w:t>
            </w:r>
          </w:p>
        </w:tc>
        <w:tc>
          <w:tcPr>
            <w:tcW w:w="1453" w:type="pct"/>
            <w:noWrap/>
            <w:vAlign w:val="center"/>
            <w:hideMark/>
          </w:tcPr>
          <w:p w14:paraId="79C78A24" w14:textId="77777777" w:rsidR="002B5D18" w:rsidRPr="00490C53" w:rsidRDefault="002B5D18">
            <w:pPr>
              <w:pStyle w:val="Tabletext"/>
              <w:jc w:val="right"/>
              <w:rPr>
                <w:lang w:eastAsia="en-GB"/>
              </w:rPr>
            </w:pPr>
            <w:r w:rsidRPr="00490C53">
              <w:t>0.50%</w:t>
            </w:r>
          </w:p>
        </w:tc>
      </w:tr>
      <w:tr w:rsidR="002B5D18" w:rsidRPr="00490C53" w14:paraId="28F03CA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11E6F499" w14:textId="77777777" w:rsidR="002B5D18" w:rsidRPr="00490C53" w:rsidRDefault="002B5D18">
            <w:pPr>
              <w:pStyle w:val="Tabletext"/>
              <w:rPr>
                <w:lang w:eastAsia="en-GB"/>
              </w:rPr>
            </w:pPr>
          </w:p>
        </w:tc>
        <w:tc>
          <w:tcPr>
            <w:tcW w:w="1186" w:type="pct"/>
            <w:noWrap/>
            <w:vAlign w:val="center"/>
            <w:hideMark/>
          </w:tcPr>
          <w:p w14:paraId="64423F10" w14:textId="77777777" w:rsidR="002B5D18" w:rsidRPr="00490C53" w:rsidRDefault="002B5D18">
            <w:pPr>
              <w:pStyle w:val="Tabletext"/>
              <w:rPr>
                <w:lang w:eastAsia="en-GB"/>
              </w:rPr>
            </w:pPr>
            <w:r w:rsidRPr="00490C53">
              <w:rPr>
                <w:lang w:eastAsia="en-GB"/>
              </w:rPr>
              <w:t>Scotland</w:t>
            </w:r>
          </w:p>
        </w:tc>
        <w:tc>
          <w:tcPr>
            <w:tcW w:w="1453" w:type="pct"/>
            <w:noWrap/>
            <w:vAlign w:val="center"/>
            <w:hideMark/>
          </w:tcPr>
          <w:p w14:paraId="5C7A2C77" w14:textId="77777777" w:rsidR="002B5D18" w:rsidRPr="00490C53" w:rsidRDefault="002B5D18">
            <w:pPr>
              <w:pStyle w:val="Tabletext"/>
              <w:jc w:val="right"/>
              <w:rPr>
                <w:lang w:eastAsia="en-GB"/>
              </w:rPr>
            </w:pPr>
            <w:r w:rsidRPr="00490C53">
              <w:t>2.39%</w:t>
            </w:r>
          </w:p>
        </w:tc>
        <w:tc>
          <w:tcPr>
            <w:tcW w:w="1453" w:type="pct"/>
            <w:noWrap/>
            <w:vAlign w:val="center"/>
            <w:hideMark/>
          </w:tcPr>
          <w:p w14:paraId="5608C166" w14:textId="77777777" w:rsidR="002B5D18" w:rsidRPr="00490C53" w:rsidRDefault="002B5D18">
            <w:pPr>
              <w:pStyle w:val="Tabletext"/>
              <w:jc w:val="right"/>
              <w:rPr>
                <w:lang w:eastAsia="en-GB"/>
              </w:rPr>
            </w:pPr>
            <w:r w:rsidRPr="00490C53">
              <w:t>1.00%</w:t>
            </w:r>
          </w:p>
        </w:tc>
      </w:tr>
      <w:tr w:rsidR="002B5D18" w:rsidRPr="00490C53" w14:paraId="1C2EEAE8" w14:textId="77777777">
        <w:tblPrEx>
          <w:tblCellMar>
            <w:left w:w="108" w:type="dxa"/>
            <w:right w:w="108" w:type="dxa"/>
          </w:tblCellMar>
        </w:tblPrEx>
        <w:trPr>
          <w:trHeight w:val="290"/>
        </w:trPr>
        <w:tc>
          <w:tcPr>
            <w:tcW w:w="908" w:type="pct"/>
            <w:noWrap/>
            <w:vAlign w:val="center"/>
          </w:tcPr>
          <w:p w14:paraId="23546B6D" w14:textId="77777777" w:rsidR="002B5D18" w:rsidRPr="00490C53" w:rsidRDefault="002B5D18">
            <w:pPr>
              <w:pStyle w:val="Tabletext"/>
              <w:rPr>
                <w:lang w:eastAsia="en-GB"/>
              </w:rPr>
            </w:pPr>
          </w:p>
        </w:tc>
        <w:tc>
          <w:tcPr>
            <w:tcW w:w="1186" w:type="pct"/>
            <w:noWrap/>
            <w:vAlign w:val="center"/>
            <w:hideMark/>
          </w:tcPr>
          <w:p w14:paraId="78A9FF5F" w14:textId="77777777" w:rsidR="002B5D18" w:rsidRPr="00490C53" w:rsidRDefault="002B5D18">
            <w:pPr>
              <w:pStyle w:val="Tabletext"/>
              <w:rPr>
                <w:lang w:eastAsia="en-GB"/>
              </w:rPr>
            </w:pPr>
            <w:r w:rsidRPr="00490C53">
              <w:rPr>
                <w:lang w:eastAsia="en-GB"/>
              </w:rPr>
              <w:t>South</w:t>
            </w:r>
          </w:p>
        </w:tc>
        <w:tc>
          <w:tcPr>
            <w:tcW w:w="1453" w:type="pct"/>
            <w:noWrap/>
            <w:vAlign w:val="center"/>
            <w:hideMark/>
          </w:tcPr>
          <w:p w14:paraId="2CB6EA5B" w14:textId="77777777" w:rsidR="002B5D18" w:rsidRPr="00490C53" w:rsidRDefault="002B5D18">
            <w:pPr>
              <w:pStyle w:val="Tabletext"/>
              <w:jc w:val="right"/>
              <w:rPr>
                <w:lang w:eastAsia="en-GB"/>
              </w:rPr>
            </w:pPr>
            <w:r w:rsidRPr="00490C53">
              <w:t>2.12%</w:t>
            </w:r>
          </w:p>
        </w:tc>
        <w:tc>
          <w:tcPr>
            <w:tcW w:w="1453" w:type="pct"/>
            <w:noWrap/>
            <w:vAlign w:val="center"/>
            <w:hideMark/>
          </w:tcPr>
          <w:p w14:paraId="00496EDE" w14:textId="77777777" w:rsidR="002B5D18" w:rsidRPr="00490C53" w:rsidRDefault="002B5D18">
            <w:pPr>
              <w:pStyle w:val="Tabletext"/>
              <w:jc w:val="right"/>
              <w:rPr>
                <w:lang w:eastAsia="en-GB"/>
              </w:rPr>
            </w:pPr>
            <w:r w:rsidRPr="00490C53">
              <w:t>0.50%</w:t>
            </w:r>
          </w:p>
        </w:tc>
      </w:tr>
      <w:tr w:rsidR="002B5D18" w:rsidRPr="00490C53" w14:paraId="357CD29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4EF678DC" w14:textId="77777777" w:rsidR="002B5D18" w:rsidRPr="00490C53" w:rsidRDefault="002B5D18">
            <w:pPr>
              <w:pStyle w:val="Tabletext"/>
              <w:rPr>
                <w:lang w:eastAsia="en-GB"/>
              </w:rPr>
            </w:pPr>
          </w:p>
        </w:tc>
        <w:tc>
          <w:tcPr>
            <w:tcW w:w="1186" w:type="pct"/>
            <w:noWrap/>
            <w:vAlign w:val="center"/>
            <w:hideMark/>
          </w:tcPr>
          <w:p w14:paraId="60876916" w14:textId="77777777" w:rsidR="002B5D18" w:rsidRPr="00490C53" w:rsidRDefault="002B5D18">
            <w:pPr>
              <w:pStyle w:val="Tabletext"/>
              <w:rPr>
                <w:lang w:eastAsia="en-GB"/>
              </w:rPr>
            </w:pPr>
            <w:r w:rsidRPr="00490C53">
              <w:rPr>
                <w:lang w:eastAsia="en-GB"/>
              </w:rPr>
              <w:t>Wales</w:t>
            </w:r>
          </w:p>
        </w:tc>
        <w:tc>
          <w:tcPr>
            <w:tcW w:w="1453" w:type="pct"/>
            <w:noWrap/>
            <w:vAlign w:val="center"/>
            <w:hideMark/>
          </w:tcPr>
          <w:p w14:paraId="45D750AD" w14:textId="77777777" w:rsidR="002B5D18" w:rsidRPr="00490C53" w:rsidRDefault="002B5D18">
            <w:pPr>
              <w:pStyle w:val="Tabletext"/>
              <w:jc w:val="right"/>
              <w:rPr>
                <w:lang w:eastAsia="en-GB"/>
              </w:rPr>
            </w:pPr>
            <w:r w:rsidRPr="00490C53">
              <w:t>1.59%</w:t>
            </w:r>
          </w:p>
        </w:tc>
        <w:tc>
          <w:tcPr>
            <w:tcW w:w="1453" w:type="pct"/>
            <w:noWrap/>
            <w:vAlign w:val="center"/>
            <w:hideMark/>
          </w:tcPr>
          <w:p w14:paraId="703ED4F6" w14:textId="77777777" w:rsidR="002B5D18" w:rsidRPr="00490C53" w:rsidRDefault="002B5D18">
            <w:pPr>
              <w:pStyle w:val="Tabletext"/>
              <w:jc w:val="right"/>
              <w:rPr>
                <w:lang w:eastAsia="en-GB"/>
              </w:rPr>
            </w:pPr>
            <w:r w:rsidRPr="00490C53">
              <w:t>2.25%</w:t>
            </w:r>
          </w:p>
        </w:tc>
      </w:tr>
      <w:tr w:rsidR="002B5D18" w:rsidRPr="00490C53" w14:paraId="7198933F" w14:textId="77777777">
        <w:tblPrEx>
          <w:tblCellMar>
            <w:left w:w="108" w:type="dxa"/>
            <w:right w:w="108" w:type="dxa"/>
          </w:tblCellMar>
        </w:tblPrEx>
        <w:trPr>
          <w:trHeight w:val="290"/>
        </w:trPr>
        <w:tc>
          <w:tcPr>
            <w:tcW w:w="908" w:type="pct"/>
            <w:noWrap/>
            <w:vAlign w:val="center"/>
            <w:hideMark/>
          </w:tcPr>
          <w:p w14:paraId="10A789A7" w14:textId="77777777" w:rsidR="002B5D18" w:rsidRPr="00490C53" w:rsidRDefault="002B5D18">
            <w:pPr>
              <w:pStyle w:val="Tabletext"/>
              <w:rPr>
                <w:lang w:eastAsia="en-GB"/>
              </w:rPr>
            </w:pPr>
            <w:r w:rsidRPr="00490C53">
              <w:rPr>
                <w:lang w:eastAsia="en-GB"/>
              </w:rPr>
              <w:t>Sector</w:t>
            </w:r>
          </w:p>
        </w:tc>
        <w:tc>
          <w:tcPr>
            <w:tcW w:w="1186" w:type="pct"/>
            <w:noWrap/>
            <w:vAlign w:val="center"/>
            <w:hideMark/>
          </w:tcPr>
          <w:p w14:paraId="06589840" w14:textId="77777777" w:rsidR="002B5D18" w:rsidRPr="00490C53" w:rsidRDefault="002B5D18">
            <w:pPr>
              <w:pStyle w:val="Tabletext"/>
              <w:rPr>
                <w:lang w:eastAsia="en-GB"/>
              </w:rPr>
            </w:pPr>
            <w:r w:rsidRPr="00490C53">
              <w:rPr>
                <w:lang w:eastAsia="en-GB"/>
              </w:rPr>
              <w:t>Business services</w:t>
            </w:r>
          </w:p>
        </w:tc>
        <w:tc>
          <w:tcPr>
            <w:tcW w:w="1453" w:type="pct"/>
            <w:noWrap/>
            <w:vAlign w:val="center"/>
            <w:hideMark/>
          </w:tcPr>
          <w:p w14:paraId="0FD574CB" w14:textId="77777777" w:rsidR="002B5D18" w:rsidRPr="00490C53" w:rsidRDefault="002B5D18">
            <w:pPr>
              <w:pStyle w:val="Tabletext"/>
              <w:jc w:val="right"/>
              <w:rPr>
                <w:lang w:eastAsia="en-GB"/>
              </w:rPr>
            </w:pPr>
            <w:r w:rsidRPr="00490C53">
              <w:t>11.92%</w:t>
            </w:r>
          </w:p>
        </w:tc>
        <w:tc>
          <w:tcPr>
            <w:tcW w:w="1453" w:type="pct"/>
            <w:noWrap/>
            <w:vAlign w:val="center"/>
            <w:hideMark/>
          </w:tcPr>
          <w:p w14:paraId="0AEE434D" w14:textId="77777777" w:rsidR="002B5D18" w:rsidRPr="00490C53" w:rsidRDefault="002B5D18">
            <w:pPr>
              <w:pStyle w:val="Tabletext"/>
              <w:jc w:val="right"/>
              <w:rPr>
                <w:lang w:eastAsia="en-GB"/>
              </w:rPr>
            </w:pPr>
            <w:r w:rsidRPr="00490C53">
              <w:t>1.25%</w:t>
            </w:r>
          </w:p>
        </w:tc>
      </w:tr>
      <w:tr w:rsidR="002B5D18" w:rsidRPr="00490C53" w14:paraId="2E00496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0555D386" w14:textId="77777777" w:rsidR="002B5D18" w:rsidRPr="00490C53" w:rsidRDefault="002B5D18">
            <w:pPr>
              <w:pStyle w:val="Tabletext"/>
              <w:rPr>
                <w:lang w:eastAsia="en-GB"/>
              </w:rPr>
            </w:pPr>
          </w:p>
        </w:tc>
        <w:tc>
          <w:tcPr>
            <w:tcW w:w="1186" w:type="pct"/>
            <w:noWrap/>
            <w:vAlign w:val="center"/>
            <w:hideMark/>
          </w:tcPr>
          <w:p w14:paraId="48A06411" w14:textId="77777777" w:rsidR="002B5D18" w:rsidRPr="00490C53" w:rsidRDefault="002B5D18">
            <w:pPr>
              <w:pStyle w:val="Tabletext"/>
              <w:rPr>
                <w:lang w:eastAsia="en-GB"/>
              </w:rPr>
            </w:pPr>
            <w:r w:rsidRPr="00490C53">
              <w:rPr>
                <w:lang w:eastAsia="en-GB"/>
              </w:rPr>
              <w:t>Construction</w:t>
            </w:r>
          </w:p>
        </w:tc>
        <w:tc>
          <w:tcPr>
            <w:tcW w:w="1453" w:type="pct"/>
            <w:noWrap/>
            <w:vAlign w:val="center"/>
            <w:hideMark/>
          </w:tcPr>
          <w:p w14:paraId="4C2BB658" w14:textId="77777777" w:rsidR="002B5D18" w:rsidRPr="00490C53" w:rsidRDefault="002B5D18">
            <w:pPr>
              <w:pStyle w:val="Tabletext"/>
              <w:jc w:val="right"/>
              <w:rPr>
                <w:lang w:eastAsia="en-GB"/>
              </w:rPr>
            </w:pPr>
            <w:r w:rsidRPr="00490C53">
              <w:t>1.75%</w:t>
            </w:r>
          </w:p>
        </w:tc>
        <w:tc>
          <w:tcPr>
            <w:tcW w:w="1453" w:type="pct"/>
            <w:noWrap/>
            <w:vAlign w:val="center"/>
            <w:hideMark/>
          </w:tcPr>
          <w:p w14:paraId="43FF2376" w14:textId="77777777" w:rsidR="002B5D18" w:rsidRPr="00490C53" w:rsidRDefault="002B5D18">
            <w:pPr>
              <w:pStyle w:val="Tabletext"/>
              <w:jc w:val="right"/>
              <w:rPr>
                <w:lang w:eastAsia="en-GB"/>
              </w:rPr>
            </w:pPr>
            <w:r w:rsidRPr="00490C53">
              <w:t>0.25%</w:t>
            </w:r>
          </w:p>
        </w:tc>
      </w:tr>
      <w:tr w:rsidR="002B5D18" w:rsidRPr="00490C53" w14:paraId="5FED9280" w14:textId="77777777">
        <w:tblPrEx>
          <w:tblCellMar>
            <w:left w:w="108" w:type="dxa"/>
            <w:right w:w="108" w:type="dxa"/>
          </w:tblCellMar>
        </w:tblPrEx>
        <w:trPr>
          <w:trHeight w:val="290"/>
        </w:trPr>
        <w:tc>
          <w:tcPr>
            <w:tcW w:w="908" w:type="pct"/>
            <w:noWrap/>
            <w:vAlign w:val="center"/>
          </w:tcPr>
          <w:p w14:paraId="5C0BA3BE" w14:textId="77777777" w:rsidR="002B5D18" w:rsidRPr="00490C53" w:rsidRDefault="002B5D18">
            <w:pPr>
              <w:pStyle w:val="Tabletext"/>
              <w:rPr>
                <w:lang w:eastAsia="en-GB"/>
              </w:rPr>
            </w:pPr>
          </w:p>
        </w:tc>
        <w:tc>
          <w:tcPr>
            <w:tcW w:w="1186" w:type="pct"/>
            <w:noWrap/>
            <w:vAlign w:val="center"/>
            <w:hideMark/>
          </w:tcPr>
          <w:p w14:paraId="45958EE2" w14:textId="77777777" w:rsidR="002B5D18" w:rsidRPr="00490C53" w:rsidRDefault="002B5D18">
            <w:pPr>
              <w:pStyle w:val="Tabletext"/>
              <w:rPr>
                <w:lang w:eastAsia="en-GB"/>
              </w:rPr>
            </w:pPr>
            <w:r w:rsidRPr="00490C53">
              <w:rPr>
                <w:lang w:eastAsia="en-GB"/>
              </w:rPr>
              <w:t>Distribution</w:t>
            </w:r>
          </w:p>
        </w:tc>
        <w:tc>
          <w:tcPr>
            <w:tcW w:w="1453" w:type="pct"/>
            <w:noWrap/>
            <w:vAlign w:val="center"/>
            <w:hideMark/>
          </w:tcPr>
          <w:p w14:paraId="15974C4C" w14:textId="77777777" w:rsidR="002B5D18" w:rsidRPr="00490C53" w:rsidRDefault="002B5D18">
            <w:pPr>
              <w:pStyle w:val="Tabletext"/>
              <w:jc w:val="right"/>
              <w:rPr>
                <w:lang w:eastAsia="en-GB"/>
              </w:rPr>
            </w:pPr>
            <w:r w:rsidRPr="00490C53">
              <w:t>0.28%</w:t>
            </w:r>
          </w:p>
        </w:tc>
        <w:tc>
          <w:tcPr>
            <w:tcW w:w="1453" w:type="pct"/>
            <w:noWrap/>
            <w:vAlign w:val="center"/>
            <w:hideMark/>
          </w:tcPr>
          <w:p w14:paraId="6856AB11" w14:textId="77777777" w:rsidR="002B5D18" w:rsidRPr="00490C53" w:rsidRDefault="002B5D18">
            <w:pPr>
              <w:pStyle w:val="Tabletext"/>
              <w:jc w:val="right"/>
              <w:rPr>
                <w:lang w:eastAsia="en-GB"/>
              </w:rPr>
            </w:pPr>
            <w:r w:rsidRPr="00490C53">
              <w:t>0.75%</w:t>
            </w:r>
          </w:p>
        </w:tc>
      </w:tr>
      <w:tr w:rsidR="002B5D18" w:rsidRPr="00490C53" w14:paraId="6E8E14D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381A24D9" w14:textId="77777777" w:rsidR="002B5D18" w:rsidRPr="00490C53" w:rsidRDefault="002B5D18">
            <w:pPr>
              <w:pStyle w:val="Tabletext"/>
              <w:rPr>
                <w:lang w:eastAsia="en-GB"/>
              </w:rPr>
            </w:pPr>
          </w:p>
        </w:tc>
        <w:tc>
          <w:tcPr>
            <w:tcW w:w="1186" w:type="pct"/>
            <w:noWrap/>
            <w:vAlign w:val="center"/>
            <w:hideMark/>
          </w:tcPr>
          <w:p w14:paraId="5E046555" w14:textId="77777777" w:rsidR="002B5D18" w:rsidRPr="00490C53" w:rsidRDefault="002B5D18">
            <w:pPr>
              <w:pStyle w:val="Tabletext"/>
              <w:rPr>
                <w:lang w:eastAsia="en-GB"/>
              </w:rPr>
            </w:pPr>
            <w:r w:rsidRPr="00490C53">
              <w:rPr>
                <w:lang w:eastAsia="en-GB"/>
              </w:rPr>
              <w:t>Other Services</w:t>
            </w:r>
          </w:p>
        </w:tc>
        <w:tc>
          <w:tcPr>
            <w:tcW w:w="1453" w:type="pct"/>
            <w:noWrap/>
            <w:vAlign w:val="center"/>
            <w:hideMark/>
          </w:tcPr>
          <w:p w14:paraId="69B0592D" w14:textId="77777777" w:rsidR="002B5D18" w:rsidRPr="00490C53" w:rsidRDefault="002B5D18">
            <w:pPr>
              <w:pStyle w:val="Tabletext"/>
              <w:jc w:val="right"/>
              <w:rPr>
                <w:lang w:eastAsia="en-GB"/>
              </w:rPr>
            </w:pPr>
            <w:r w:rsidRPr="00490C53">
              <w:t>12.61%</w:t>
            </w:r>
          </w:p>
        </w:tc>
        <w:tc>
          <w:tcPr>
            <w:tcW w:w="1453" w:type="pct"/>
            <w:noWrap/>
            <w:vAlign w:val="center"/>
            <w:hideMark/>
          </w:tcPr>
          <w:p w14:paraId="2D59F162" w14:textId="77777777" w:rsidR="002B5D18" w:rsidRPr="00490C53" w:rsidRDefault="002B5D18">
            <w:pPr>
              <w:pStyle w:val="Tabletext"/>
              <w:jc w:val="right"/>
              <w:rPr>
                <w:lang w:eastAsia="en-GB"/>
              </w:rPr>
            </w:pPr>
            <w:r w:rsidRPr="00490C53">
              <w:t>3.00%</w:t>
            </w:r>
          </w:p>
        </w:tc>
      </w:tr>
      <w:tr w:rsidR="002B5D18" w:rsidRPr="00490C53" w14:paraId="14188ACA" w14:textId="77777777">
        <w:tblPrEx>
          <w:tblCellMar>
            <w:left w:w="108" w:type="dxa"/>
            <w:right w:w="108" w:type="dxa"/>
          </w:tblCellMar>
        </w:tblPrEx>
        <w:trPr>
          <w:trHeight w:val="290"/>
        </w:trPr>
        <w:tc>
          <w:tcPr>
            <w:tcW w:w="908" w:type="pct"/>
            <w:noWrap/>
            <w:vAlign w:val="center"/>
          </w:tcPr>
          <w:p w14:paraId="5BC36170" w14:textId="77777777" w:rsidR="002B5D18" w:rsidRPr="00490C53" w:rsidRDefault="002B5D18">
            <w:pPr>
              <w:pStyle w:val="Tabletext"/>
              <w:rPr>
                <w:lang w:eastAsia="en-GB"/>
              </w:rPr>
            </w:pPr>
          </w:p>
        </w:tc>
        <w:tc>
          <w:tcPr>
            <w:tcW w:w="1186" w:type="pct"/>
            <w:noWrap/>
            <w:vAlign w:val="center"/>
            <w:hideMark/>
          </w:tcPr>
          <w:p w14:paraId="717DE8F7" w14:textId="77777777" w:rsidR="002B5D18" w:rsidRPr="00490C53" w:rsidRDefault="002B5D18">
            <w:pPr>
              <w:pStyle w:val="Tabletext"/>
              <w:rPr>
                <w:lang w:eastAsia="en-GB"/>
              </w:rPr>
            </w:pPr>
            <w:r w:rsidRPr="00490C53">
              <w:rPr>
                <w:lang w:eastAsia="en-GB"/>
              </w:rPr>
              <w:t>Production</w:t>
            </w:r>
          </w:p>
        </w:tc>
        <w:tc>
          <w:tcPr>
            <w:tcW w:w="1453" w:type="pct"/>
            <w:noWrap/>
            <w:vAlign w:val="center"/>
            <w:hideMark/>
          </w:tcPr>
          <w:p w14:paraId="065F3F6C" w14:textId="77777777" w:rsidR="002B5D18" w:rsidRPr="00490C53" w:rsidRDefault="002B5D18">
            <w:pPr>
              <w:pStyle w:val="Tabletext"/>
              <w:jc w:val="right"/>
              <w:rPr>
                <w:lang w:eastAsia="en-GB"/>
              </w:rPr>
            </w:pPr>
            <w:r w:rsidRPr="00490C53">
              <w:t>2.72%</w:t>
            </w:r>
          </w:p>
        </w:tc>
        <w:tc>
          <w:tcPr>
            <w:tcW w:w="1453" w:type="pct"/>
            <w:noWrap/>
            <w:vAlign w:val="center"/>
            <w:hideMark/>
          </w:tcPr>
          <w:p w14:paraId="0F10D719" w14:textId="77777777" w:rsidR="002B5D18" w:rsidRPr="00490C53" w:rsidRDefault="002B5D18">
            <w:pPr>
              <w:pStyle w:val="Tabletext"/>
              <w:jc w:val="right"/>
              <w:rPr>
                <w:lang w:eastAsia="en-GB"/>
              </w:rPr>
            </w:pPr>
            <w:r w:rsidRPr="00490C53">
              <w:t>1.25%</w:t>
            </w:r>
          </w:p>
        </w:tc>
      </w:tr>
      <w:tr w:rsidR="002B5D18" w:rsidRPr="00490C53" w14:paraId="0F765AD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hideMark/>
          </w:tcPr>
          <w:p w14:paraId="0C911D69" w14:textId="77777777" w:rsidR="002B5D18" w:rsidRPr="00490C53" w:rsidRDefault="002B5D18">
            <w:pPr>
              <w:pStyle w:val="Tabletext"/>
              <w:rPr>
                <w:lang w:eastAsia="en-GB"/>
              </w:rPr>
            </w:pPr>
            <w:r w:rsidRPr="00490C53">
              <w:rPr>
                <w:lang w:eastAsia="en-GB"/>
              </w:rPr>
              <w:t>Age</w:t>
            </w:r>
          </w:p>
        </w:tc>
        <w:tc>
          <w:tcPr>
            <w:tcW w:w="1186" w:type="pct"/>
            <w:noWrap/>
            <w:vAlign w:val="center"/>
            <w:hideMark/>
          </w:tcPr>
          <w:p w14:paraId="3621F733" w14:textId="77777777" w:rsidR="002B5D18" w:rsidRPr="00490C53" w:rsidRDefault="002B5D18">
            <w:pPr>
              <w:pStyle w:val="Tabletext"/>
              <w:rPr>
                <w:lang w:eastAsia="en-GB"/>
              </w:rPr>
            </w:pPr>
            <w:r w:rsidRPr="00490C53">
              <w:rPr>
                <w:lang w:eastAsia="en-GB"/>
              </w:rPr>
              <w:t>5 years or less</w:t>
            </w:r>
          </w:p>
        </w:tc>
        <w:tc>
          <w:tcPr>
            <w:tcW w:w="1453" w:type="pct"/>
            <w:noWrap/>
            <w:vAlign w:val="center"/>
            <w:hideMark/>
          </w:tcPr>
          <w:p w14:paraId="50151FE4" w14:textId="77777777" w:rsidR="002B5D18" w:rsidRPr="00490C53" w:rsidRDefault="002B5D18">
            <w:pPr>
              <w:pStyle w:val="Tabletext"/>
              <w:jc w:val="right"/>
              <w:rPr>
                <w:lang w:eastAsia="en-GB"/>
              </w:rPr>
            </w:pPr>
            <w:r w:rsidRPr="00490C53">
              <w:t>1.13%</w:t>
            </w:r>
          </w:p>
        </w:tc>
        <w:tc>
          <w:tcPr>
            <w:tcW w:w="1453" w:type="pct"/>
            <w:noWrap/>
            <w:vAlign w:val="center"/>
            <w:hideMark/>
          </w:tcPr>
          <w:p w14:paraId="557548CA" w14:textId="77777777" w:rsidR="002B5D18" w:rsidRPr="00490C53" w:rsidRDefault="002B5D18">
            <w:pPr>
              <w:pStyle w:val="Tabletext"/>
              <w:jc w:val="right"/>
              <w:rPr>
                <w:lang w:eastAsia="en-GB"/>
              </w:rPr>
            </w:pPr>
            <w:r w:rsidRPr="00490C53">
              <w:t>0.50%</w:t>
            </w:r>
          </w:p>
        </w:tc>
      </w:tr>
      <w:tr w:rsidR="002B5D18" w:rsidRPr="00490C53" w14:paraId="04903A44" w14:textId="77777777">
        <w:tblPrEx>
          <w:tblCellMar>
            <w:left w:w="108" w:type="dxa"/>
            <w:right w:w="108" w:type="dxa"/>
          </w:tblCellMar>
        </w:tblPrEx>
        <w:trPr>
          <w:trHeight w:val="290"/>
        </w:trPr>
        <w:tc>
          <w:tcPr>
            <w:tcW w:w="908" w:type="pct"/>
            <w:noWrap/>
            <w:vAlign w:val="center"/>
          </w:tcPr>
          <w:p w14:paraId="4A88457F" w14:textId="77777777" w:rsidR="002B5D18" w:rsidRPr="00490C53" w:rsidRDefault="002B5D18">
            <w:pPr>
              <w:pStyle w:val="Tabletext"/>
              <w:rPr>
                <w:lang w:eastAsia="en-GB"/>
              </w:rPr>
            </w:pPr>
          </w:p>
        </w:tc>
        <w:tc>
          <w:tcPr>
            <w:tcW w:w="1186" w:type="pct"/>
            <w:noWrap/>
            <w:vAlign w:val="center"/>
            <w:hideMark/>
          </w:tcPr>
          <w:p w14:paraId="68DEECFB" w14:textId="77777777" w:rsidR="002B5D18" w:rsidRPr="00490C53" w:rsidRDefault="002B5D18">
            <w:pPr>
              <w:pStyle w:val="Tabletext"/>
              <w:rPr>
                <w:lang w:eastAsia="en-GB"/>
              </w:rPr>
            </w:pPr>
            <w:r w:rsidRPr="00490C53">
              <w:rPr>
                <w:lang w:eastAsia="en-GB"/>
              </w:rPr>
              <w:t>6 to 9 years</w:t>
            </w:r>
          </w:p>
        </w:tc>
        <w:tc>
          <w:tcPr>
            <w:tcW w:w="1453" w:type="pct"/>
            <w:noWrap/>
            <w:vAlign w:val="center"/>
            <w:hideMark/>
          </w:tcPr>
          <w:p w14:paraId="4B363CD6" w14:textId="77777777" w:rsidR="002B5D18" w:rsidRPr="00490C53" w:rsidRDefault="002B5D18">
            <w:pPr>
              <w:pStyle w:val="Tabletext"/>
              <w:jc w:val="right"/>
              <w:rPr>
                <w:lang w:eastAsia="en-GB"/>
              </w:rPr>
            </w:pPr>
            <w:r w:rsidRPr="00490C53">
              <w:t>0.06%</w:t>
            </w:r>
          </w:p>
        </w:tc>
        <w:tc>
          <w:tcPr>
            <w:tcW w:w="1453" w:type="pct"/>
            <w:noWrap/>
            <w:vAlign w:val="center"/>
            <w:hideMark/>
          </w:tcPr>
          <w:p w14:paraId="7AC8CDE8" w14:textId="77777777" w:rsidR="002B5D18" w:rsidRPr="00490C53" w:rsidRDefault="002B5D18">
            <w:pPr>
              <w:pStyle w:val="Tabletext"/>
              <w:jc w:val="right"/>
              <w:rPr>
                <w:lang w:eastAsia="en-GB"/>
              </w:rPr>
            </w:pPr>
            <w:r w:rsidRPr="00490C53">
              <w:t>0.00%</w:t>
            </w:r>
          </w:p>
        </w:tc>
      </w:tr>
      <w:tr w:rsidR="002B5D18" w:rsidRPr="00490C53" w14:paraId="2126B3D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2C17F548" w14:textId="77777777" w:rsidR="002B5D18" w:rsidRPr="00490C53" w:rsidRDefault="002B5D18">
            <w:pPr>
              <w:pStyle w:val="Tabletext"/>
              <w:rPr>
                <w:lang w:eastAsia="en-GB"/>
              </w:rPr>
            </w:pPr>
          </w:p>
        </w:tc>
        <w:tc>
          <w:tcPr>
            <w:tcW w:w="1186" w:type="pct"/>
            <w:noWrap/>
            <w:vAlign w:val="center"/>
            <w:hideMark/>
          </w:tcPr>
          <w:p w14:paraId="2E2995F0" w14:textId="77777777" w:rsidR="002B5D18" w:rsidRPr="00490C53" w:rsidRDefault="002B5D18">
            <w:pPr>
              <w:pStyle w:val="Tabletext"/>
              <w:rPr>
                <w:lang w:eastAsia="en-GB"/>
              </w:rPr>
            </w:pPr>
            <w:r w:rsidRPr="00490C53">
              <w:rPr>
                <w:lang w:eastAsia="en-GB"/>
              </w:rPr>
              <w:t>10 to 15 years</w:t>
            </w:r>
          </w:p>
        </w:tc>
        <w:tc>
          <w:tcPr>
            <w:tcW w:w="1453" w:type="pct"/>
            <w:noWrap/>
            <w:vAlign w:val="center"/>
            <w:hideMark/>
          </w:tcPr>
          <w:p w14:paraId="0C69D64E" w14:textId="77777777" w:rsidR="002B5D18" w:rsidRPr="00490C53" w:rsidRDefault="002B5D18">
            <w:pPr>
              <w:pStyle w:val="Tabletext"/>
              <w:jc w:val="right"/>
              <w:rPr>
                <w:lang w:eastAsia="en-GB"/>
              </w:rPr>
            </w:pPr>
            <w:r w:rsidRPr="00490C53">
              <w:t>9.47%</w:t>
            </w:r>
          </w:p>
        </w:tc>
        <w:tc>
          <w:tcPr>
            <w:tcW w:w="1453" w:type="pct"/>
            <w:noWrap/>
            <w:vAlign w:val="center"/>
            <w:hideMark/>
          </w:tcPr>
          <w:p w14:paraId="534F3811" w14:textId="77777777" w:rsidR="002B5D18" w:rsidRPr="00490C53" w:rsidRDefault="002B5D18">
            <w:pPr>
              <w:pStyle w:val="Tabletext"/>
              <w:jc w:val="right"/>
              <w:rPr>
                <w:lang w:eastAsia="en-GB"/>
              </w:rPr>
            </w:pPr>
            <w:r w:rsidRPr="00490C53">
              <w:t>3.00%</w:t>
            </w:r>
          </w:p>
        </w:tc>
      </w:tr>
      <w:tr w:rsidR="002B5D18" w:rsidRPr="00490C53" w14:paraId="3629436F" w14:textId="77777777">
        <w:tblPrEx>
          <w:tblCellMar>
            <w:left w:w="108" w:type="dxa"/>
            <w:right w:w="108" w:type="dxa"/>
          </w:tblCellMar>
        </w:tblPrEx>
        <w:trPr>
          <w:trHeight w:val="290"/>
        </w:trPr>
        <w:tc>
          <w:tcPr>
            <w:tcW w:w="908" w:type="pct"/>
            <w:noWrap/>
            <w:vAlign w:val="center"/>
          </w:tcPr>
          <w:p w14:paraId="64CD82B6" w14:textId="77777777" w:rsidR="002B5D18" w:rsidRPr="00490C53" w:rsidRDefault="002B5D18">
            <w:pPr>
              <w:pStyle w:val="Tabletext"/>
              <w:rPr>
                <w:lang w:eastAsia="en-GB"/>
              </w:rPr>
            </w:pPr>
          </w:p>
        </w:tc>
        <w:tc>
          <w:tcPr>
            <w:tcW w:w="1186" w:type="pct"/>
            <w:noWrap/>
            <w:vAlign w:val="center"/>
            <w:hideMark/>
          </w:tcPr>
          <w:p w14:paraId="3B1C70E3" w14:textId="77777777" w:rsidR="002B5D18" w:rsidRPr="00490C53" w:rsidRDefault="002B5D18">
            <w:pPr>
              <w:pStyle w:val="Tabletext"/>
              <w:rPr>
                <w:lang w:eastAsia="en-GB"/>
              </w:rPr>
            </w:pPr>
            <w:r w:rsidRPr="00490C53">
              <w:rPr>
                <w:lang w:eastAsia="en-GB"/>
              </w:rPr>
              <w:t>16 to 20 years</w:t>
            </w:r>
          </w:p>
        </w:tc>
        <w:tc>
          <w:tcPr>
            <w:tcW w:w="1453" w:type="pct"/>
            <w:noWrap/>
            <w:vAlign w:val="center"/>
            <w:hideMark/>
          </w:tcPr>
          <w:p w14:paraId="4D23761A" w14:textId="77777777" w:rsidR="002B5D18" w:rsidRPr="00490C53" w:rsidRDefault="002B5D18">
            <w:pPr>
              <w:pStyle w:val="Tabletext"/>
              <w:jc w:val="right"/>
              <w:rPr>
                <w:lang w:eastAsia="en-GB"/>
              </w:rPr>
            </w:pPr>
            <w:r w:rsidRPr="00490C53">
              <w:t>4.17%</w:t>
            </w:r>
          </w:p>
        </w:tc>
        <w:tc>
          <w:tcPr>
            <w:tcW w:w="1453" w:type="pct"/>
            <w:noWrap/>
            <w:vAlign w:val="center"/>
            <w:hideMark/>
          </w:tcPr>
          <w:p w14:paraId="6476A1C7" w14:textId="77777777" w:rsidR="002B5D18" w:rsidRPr="00490C53" w:rsidRDefault="002B5D18">
            <w:pPr>
              <w:pStyle w:val="Tabletext"/>
              <w:jc w:val="right"/>
              <w:rPr>
                <w:lang w:eastAsia="en-GB"/>
              </w:rPr>
            </w:pPr>
            <w:r w:rsidRPr="00490C53">
              <w:t>4.00%</w:t>
            </w:r>
          </w:p>
        </w:tc>
      </w:tr>
      <w:tr w:rsidR="002B5D18" w:rsidRPr="00490C53" w14:paraId="16FDBDA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08" w:type="pct"/>
            <w:noWrap/>
            <w:vAlign w:val="center"/>
          </w:tcPr>
          <w:p w14:paraId="680CC1A1" w14:textId="77777777" w:rsidR="002B5D18" w:rsidRPr="00490C53" w:rsidRDefault="002B5D18">
            <w:pPr>
              <w:pStyle w:val="Tabletext"/>
              <w:rPr>
                <w:lang w:eastAsia="en-GB"/>
              </w:rPr>
            </w:pPr>
          </w:p>
        </w:tc>
        <w:tc>
          <w:tcPr>
            <w:tcW w:w="1186" w:type="pct"/>
            <w:noWrap/>
            <w:vAlign w:val="center"/>
            <w:hideMark/>
          </w:tcPr>
          <w:p w14:paraId="4C6D2231" w14:textId="77777777" w:rsidR="002B5D18" w:rsidRPr="00490C53" w:rsidRDefault="002B5D18">
            <w:pPr>
              <w:pStyle w:val="Tabletext"/>
              <w:rPr>
                <w:lang w:eastAsia="en-GB"/>
              </w:rPr>
            </w:pPr>
            <w:r w:rsidRPr="00490C53">
              <w:rPr>
                <w:lang w:eastAsia="en-GB"/>
              </w:rPr>
              <w:t>More than 20 years</w:t>
            </w:r>
          </w:p>
        </w:tc>
        <w:tc>
          <w:tcPr>
            <w:tcW w:w="1453" w:type="pct"/>
            <w:noWrap/>
            <w:vAlign w:val="center"/>
            <w:hideMark/>
          </w:tcPr>
          <w:p w14:paraId="11C59070" w14:textId="77777777" w:rsidR="002B5D18" w:rsidRPr="00490C53" w:rsidRDefault="002B5D18">
            <w:pPr>
              <w:pStyle w:val="Tabletext"/>
              <w:jc w:val="right"/>
              <w:rPr>
                <w:lang w:eastAsia="en-GB"/>
              </w:rPr>
            </w:pPr>
            <w:r w:rsidRPr="00490C53">
              <w:t>12.57%</w:t>
            </w:r>
          </w:p>
        </w:tc>
        <w:tc>
          <w:tcPr>
            <w:tcW w:w="1453" w:type="pct"/>
            <w:noWrap/>
            <w:vAlign w:val="center"/>
            <w:hideMark/>
          </w:tcPr>
          <w:p w14:paraId="6342DBF9" w14:textId="77777777" w:rsidR="002B5D18" w:rsidRPr="00490C53" w:rsidRDefault="002B5D18">
            <w:pPr>
              <w:pStyle w:val="Tabletext"/>
              <w:jc w:val="right"/>
              <w:rPr>
                <w:lang w:eastAsia="en-GB"/>
              </w:rPr>
            </w:pPr>
            <w:r w:rsidRPr="00490C53">
              <w:t>6.50%</w:t>
            </w:r>
          </w:p>
        </w:tc>
      </w:tr>
      <w:tr w:rsidR="002B5D18" w:rsidRPr="00490C53" w14:paraId="1F2D38AE" w14:textId="77777777">
        <w:tblPrEx>
          <w:tblCellMar>
            <w:left w:w="108" w:type="dxa"/>
            <w:right w:w="108" w:type="dxa"/>
          </w:tblCellMar>
        </w:tblPrEx>
        <w:trPr>
          <w:trHeight w:val="290"/>
        </w:trPr>
        <w:tc>
          <w:tcPr>
            <w:tcW w:w="908" w:type="pct"/>
            <w:tcBorders>
              <w:bottom w:val="single" w:sz="4" w:space="0" w:color="0054BA" w:themeColor="accent2"/>
            </w:tcBorders>
            <w:noWrap/>
            <w:vAlign w:val="center"/>
            <w:hideMark/>
          </w:tcPr>
          <w:p w14:paraId="1F6122C8" w14:textId="77777777" w:rsidR="002B5D18" w:rsidRPr="00490C53" w:rsidRDefault="002B5D18">
            <w:pPr>
              <w:pStyle w:val="Tabletext"/>
              <w:rPr>
                <w:lang w:eastAsia="en-GB"/>
              </w:rPr>
            </w:pPr>
            <w:r w:rsidRPr="00490C53">
              <w:rPr>
                <w:lang w:eastAsia="en-GB"/>
              </w:rPr>
              <w:t>Average</w:t>
            </w:r>
          </w:p>
        </w:tc>
        <w:tc>
          <w:tcPr>
            <w:tcW w:w="1186" w:type="pct"/>
            <w:tcBorders>
              <w:bottom w:val="single" w:sz="4" w:space="0" w:color="0054BA" w:themeColor="accent2"/>
            </w:tcBorders>
            <w:noWrap/>
            <w:vAlign w:val="center"/>
            <w:hideMark/>
          </w:tcPr>
          <w:p w14:paraId="6C802334" w14:textId="77777777" w:rsidR="002B5D18" w:rsidRPr="00490C53" w:rsidRDefault="002B5D18">
            <w:pPr>
              <w:pStyle w:val="Tabletext"/>
              <w:rPr>
                <w:lang w:eastAsia="en-GB"/>
              </w:rPr>
            </w:pPr>
            <w:r w:rsidRPr="00490C53">
              <w:rPr>
                <w:lang w:eastAsia="en-GB"/>
              </w:rPr>
              <w:t> </w:t>
            </w:r>
          </w:p>
        </w:tc>
        <w:tc>
          <w:tcPr>
            <w:tcW w:w="1453" w:type="pct"/>
            <w:tcBorders>
              <w:bottom w:val="single" w:sz="4" w:space="0" w:color="0054BA" w:themeColor="accent2"/>
            </w:tcBorders>
            <w:noWrap/>
            <w:vAlign w:val="center"/>
            <w:hideMark/>
          </w:tcPr>
          <w:p w14:paraId="0AD365D9" w14:textId="77777777" w:rsidR="002B5D18" w:rsidRPr="00490C53" w:rsidRDefault="002B5D18">
            <w:pPr>
              <w:pStyle w:val="Tabletext"/>
              <w:jc w:val="right"/>
              <w:rPr>
                <w:lang w:eastAsia="en-GB"/>
              </w:rPr>
            </w:pPr>
            <w:r w:rsidRPr="00490C53">
              <w:t>4.09%</w:t>
            </w:r>
          </w:p>
        </w:tc>
        <w:tc>
          <w:tcPr>
            <w:tcW w:w="1453" w:type="pct"/>
            <w:tcBorders>
              <w:bottom w:val="single" w:sz="4" w:space="0" w:color="0054BA" w:themeColor="accent2"/>
            </w:tcBorders>
            <w:noWrap/>
            <w:vAlign w:val="center"/>
            <w:hideMark/>
          </w:tcPr>
          <w:p w14:paraId="6AF6F54B" w14:textId="77777777" w:rsidR="002B5D18" w:rsidRPr="00490C53" w:rsidRDefault="002B5D18">
            <w:pPr>
              <w:pStyle w:val="Tabletext"/>
              <w:jc w:val="right"/>
              <w:rPr>
                <w:lang w:eastAsia="en-GB"/>
              </w:rPr>
            </w:pPr>
            <w:r w:rsidRPr="00490C53">
              <w:t>1.43%</w:t>
            </w:r>
          </w:p>
        </w:tc>
      </w:tr>
    </w:tbl>
    <w:p w14:paraId="24E43D8F" w14:textId="77777777" w:rsidR="002B5D18" w:rsidRPr="00490C53" w:rsidRDefault="002B5D18" w:rsidP="002B5D18">
      <w:pPr>
        <w:pStyle w:val="Caption"/>
      </w:pPr>
      <w:r w:rsidRPr="00490C53">
        <w:t>Source: London Economics’ analysis of survey data.</w:t>
      </w:r>
    </w:p>
    <w:p w14:paraId="1262EBDF" w14:textId="29A8BFDA" w:rsidR="007938A8" w:rsidRPr="00236B73" w:rsidRDefault="007938A8" w:rsidP="00236B73">
      <w:pPr>
        <w:rPr>
          <w:color w:val="142855" w:themeColor="text2"/>
        </w:rPr>
      </w:pPr>
      <w:r w:rsidRPr="00236B73">
        <w:rPr>
          <w:color w:val="142855" w:themeColor="text2"/>
        </w:rPr>
        <w:t>Fix</w:t>
      </w:r>
      <w:r w:rsidR="00C003EE" w:rsidRPr="00236B73">
        <w:rPr>
          <w:color w:val="142855" w:themeColor="text2"/>
        </w:rPr>
        <w:t>ed effects estimation</w:t>
      </w:r>
    </w:p>
    <w:p w14:paraId="77FE337A" w14:textId="341B240A" w:rsidR="00B84367" w:rsidRPr="00490C53" w:rsidRDefault="00B84367" w:rsidP="00B84367">
      <w:r w:rsidRPr="00490C53">
        <w:t xml:space="preserve">Under the fixed effects approach, outcomes are compared before and in the two years after the Covid-19 Loan Guarantee Schemes were introduced </w:t>
      </w:r>
      <w:r w:rsidR="0073367E" w:rsidRPr="00490C53">
        <w:t>to</w:t>
      </w:r>
      <w:r w:rsidRPr="00490C53">
        <w:t xml:space="preserve"> account for pre-existing differences in </w:t>
      </w:r>
      <w:r w:rsidRPr="00490C53">
        <w:lastRenderedPageBreak/>
        <w:t xml:space="preserve">performance (as measured by turnover and employment) </w:t>
      </w:r>
      <w:r w:rsidR="005D64E8" w:rsidRPr="00490C53">
        <w:t>between the treatment and control groups that may not have been eliminated by the propensity score matching process.</w:t>
      </w:r>
      <w:r w:rsidR="005D64E8" w:rsidRPr="00490C53">
        <w:rPr>
          <w:rStyle w:val="FootnoteReference"/>
        </w:rPr>
        <w:footnoteReference w:id="131"/>
      </w:r>
      <w:r w:rsidR="005D64E8" w:rsidRPr="00490C53">
        <w:t xml:space="preserve"> </w:t>
      </w:r>
    </w:p>
    <w:p w14:paraId="4DC229ED" w14:textId="014F6CF7" w:rsidR="00C566C8" w:rsidRPr="00490C53" w:rsidRDefault="00DF6AA4" w:rsidP="00B84367">
      <w:r w:rsidRPr="00490C53">
        <w:t>The difference bet</w:t>
      </w:r>
      <w:r w:rsidR="00553D42" w:rsidRPr="00490C53">
        <w:t xml:space="preserve">ween outcomes before the pandemic and in the second year </w:t>
      </w:r>
      <w:r w:rsidR="00D748F4">
        <w:t>of</w:t>
      </w:r>
      <w:r w:rsidR="00D748F4" w:rsidRPr="00490C53">
        <w:t xml:space="preserve"> </w:t>
      </w:r>
      <w:r w:rsidR="00553D42" w:rsidRPr="00490C53">
        <w:t xml:space="preserve">the pandemic for control businesses is captured by the coefficient </w:t>
      </w:r>
      <w:r w:rsidR="00013BE1" w:rsidRPr="00490C53">
        <w:t>for the variable “Post-intervention (Y</w:t>
      </w:r>
      <w:r w:rsidR="00DA466B">
        <w:t xml:space="preserve">ear </w:t>
      </w:r>
      <w:r w:rsidR="00013BE1" w:rsidRPr="00490C53">
        <w:t xml:space="preserve">2)”. The difference between outcomes before the pandemic and in the second year </w:t>
      </w:r>
      <w:r w:rsidR="00D748F4">
        <w:t>of</w:t>
      </w:r>
      <w:r w:rsidR="00D748F4" w:rsidRPr="00490C53">
        <w:t xml:space="preserve"> </w:t>
      </w:r>
      <w:r w:rsidR="00013BE1" w:rsidRPr="00490C53">
        <w:t>the pandemic for treatment businesses is captured by the variables “Post-intervention (Y</w:t>
      </w:r>
      <w:r w:rsidR="00DA466B">
        <w:t xml:space="preserve">ear </w:t>
      </w:r>
      <w:r w:rsidR="00013BE1" w:rsidRPr="00490C53">
        <w:t>2)” and “Borrower, post-intervention (Y</w:t>
      </w:r>
      <w:r w:rsidR="00DA466B">
        <w:t xml:space="preserve">ear </w:t>
      </w:r>
      <w:r w:rsidR="00013BE1" w:rsidRPr="00490C53">
        <w:t xml:space="preserve">2)”. </w:t>
      </w:r>
      <w:r w:rsidR="00D97EB4">
        <w:t>More specifically, the net effect is obtained by adding together the two coefficients.</w:t>
      </w:r>
      <w:r w:rsidR="00D97EB4">
        <w:rPr>
          <w:rStyle w:val="FootnoteReference"/>
        </w:rPr>
        <w:footnoteReference w:id="132"/>
      </w:r>
      <w:r w:rsidR="00D97EB4">
        <w:t xml:space="preserve"> </w:t>
      </w:r>
      <w:r w:rsidR="00013BE1" w:rsidRPr="00490C53">
        <w:t xml:space="preserve">Therefore, the impact of the scheme in the second year </w:t>
      </w:r>
      <w:r w:rsidR="00D748F4">
        <w:t>of</w:t>
      </w:r>
      <w:r w:rsidR="00D748F4" w:rsidRPr="00490C53">
        <w:t xml:space="preserve"> </w:t>
      </w:r>
      <w:r w:rsidR="00013BE1" w:rsidRPr="00490C53">
        <w:t xml:space="preserve">the pandemic is captured by </w:t>
      </w:r>
      <w:r w:rsidR="0073367E" w:rsidRPr="00490C53">
        <w:t>the variable “Borrower, post-intervention (Y</w:t>
      </w:r>
      <w:r w:rsidR="00DA466B">
        <w:t xml:space="preserve">ear </w:t>
      </w:r>
      <w:r w:rsidR="0073367E" w:rsidRPr="00490C53">
        <w:t>2)”</w:t>
      </w:r>
      <w:r w:rsidR="00D97EB4">
        <w:t>.</w:t>
      </w:r>
    </w:p>
    <w:p w14:paraId="10FE84F5" w14:textId="77777777" w:rsidR="00BA01F7" w:rsidRPr="00490C53" w:rsidRDefault="00BA01F7" w:rsidP="00BA01F7">
      <w:r w:rsidRPr="00490C53">
        <w:t>The core specification for the fixed effects model is described by the following equation:</w:t>
      </w:r>
    </w:p>
    <w:p w14:paraId="0F3F5F9B" w14:textId="77777777" w:rsidR="00BA01F7" w:rsidRPr="00490C53" w:rsidRDefault="006924B0" w:rsidP="00BA01F7">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r>
            <m:rPr>
              <m:sty m:val="bi"/>
            </m:rPr>
            <w:rPr>
              <w:rFonts w:ascii="Cambria Math" w:hAnsi="Cambria Math"/>
            </w:rPr>
            <m:t>φ</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m:t>
              </m:r>
            </m:sub>
          </m:sSub>
          <m:r>
            <w:rPr>
              <w:rFonts w:ascii="Cambria Math" w:hAnsi="Cambria Math"/>
            </w:rPr>
            <m:t>+</m:t>
          </m:r>
          <m:r>
            <m:rPr>
              <m:sty m:val="bi"/>
            </m:rP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m:t>
                  </m:r>
                </m:sub>
              </m:sSub>
            </m:e>
          </m:d>
          <m:r>
            <m:rPr>
              <m:sty m:val="bi"/>
            </m:rPr>
            <w:rPr>
              <w:rFonts w:ascii="Cambria Math" w:hAnsi="Cambria Math"/>
            </w:rPr>
            <m:t>+</m:t>
          </m:r>
          <m:r>
            <m:rPr>
              <m:sty m:val="bi"/>
            </m:rPr>
            <w:rPr>
              <w:rFonts w:ascii="Cambria Math" w:hAnsi="Cambria Math"/>
            </w:rPr>
            <m:t>μ</m:t>
          </m:r>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p w14:paraId="0D43846B" w14:textId="382081D4" w:rsidR="00BA01F7" w:rsidRPr="00490C53" w:rsidRDefault="006924B0" w:rsidP="00BA01F7">
      <w:pPr>
        <w:pStyle w:val="ListBullet"/>
        <w:spacing w:after="240"/>
        <w:rPr>
          <w:rFonts w:cstheme="minorHAnsi"/>
          <w:iCs/>
        </w:rPr>
      </w:pP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00BA01F7" w:rsidRPr="00490C53">
        <w:rPr>
          <w:rFonts w:ascii="Cambria Math" w:hAnsi="Cambria Math"/>
          <w:i/>
        </w:rPr>
        <w:t xml:space="preserve"> </w:t>
      </w:r>
      <w:r w:rsidR="00BA01F7" w:rsidRPr="00490C53">
        <w:rPr>
          <w:rFonts w:cstheme="minorHAnsi"/>
          <w:iCs/>
        </w:rPr>
        <w:t>denotes the outcome variable (</w:t>
      </w:r>
      <w:proofErr w:type="gramStart"/>
      <w:r w:rsidR="00BA01F7" w:rsidRPr="00490C53">
        <w:rPr>
          <w:rFonts w:cstheme="minorHAnsi"/>
          <w:iCs/>
        </w:rPr>
        <w:t>i.e.</w:t>
      </w:r>
      <w:proofErr w:type="gramEnd"/>
      <w:r w:rsidR="00BA01F7" w:rsidRPr="00490C53">
        <w:rPr>
          <w:rFonts w:cstheme="minorHAnsi"/>
          <w:iCs/>
        </w:rPr>
        <w:t xml:space="preserve"> either log employment or log turnover)</w:t>
      </w:r>
      <w:r w:rsidR="000F2FA3">
        <w:rPr>
          <w:rStyle w:val="FootnoteReference"/>
          <w:rFonts w:cstheme="minorHAnsi"/>
          <w:iCs/>
        </w:rPr>
        <w:footnoteReference w:id="133"/>
      </w:r>
      <w:r w:rsidR="00BA01F7" w:rsidRPr="00490C53">
        <w:rPr>
          <w:rFonts w:cstheme="minorHAnsi"/>
          <w:iCs/>
        </w:rPr>
        <w:t>. The years included in the analysis are the last financial year before the pandemic and the latest two financial years.</w:t>
      </w:r>
    </w:p>
    <w:p w14:paraId="723BBECE" w14:textId="77777777" w:rsidR="00BA01F7" w:rsidRPr="00846F78" w:rsidRDefault="006924B0" w:rsidP="00BA01F7">
      <w:pPr>
        <w:pStyle w:val="ListBullet"/>
        <w:spacing w:after="240"/>
        <w:rPr>
          <w:rFonts w:ascii="Cambria Math" w:hAnsi="Cambria Math"/>
          <w:i/>
        </w:rPr>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BA01F7" w:rsidRPr="00490C53">
        <w:rPr>
          <w:rFonts w:ascii="Cambria Math" w:hAnsi="Cambria Math"/>
          <w:i/>
        </w:rPr>
        <w:t xml:space="preserve"> </w:t>
      </w:r>
      <w:r w:rsidR="00BA01F7" w:rsidRPr="00490C53">
        <w:rPr>
          <w:rFonts w:cstheme="minorHAnsi"/>
          <w:iCs/>
        </w:rPr>
        <w:t xml:space="preserve">is a constant term. </w:t>
      </w:r>
    </w:p>
    <w:p w14:paraId="50959E78" w14:textId="7E59DB6E" w:rsidR="00CF4AB9" w:rsidRPr="00490C53" w:rsidRDefault="006924B0" w:rsidP="00BA01F7">
      <w:pPr>
        <w:pStyle w:val="ListBullet"/>
        <w:spacing w:after="240"/>
        <w:rPr>
          <w:rFonts w:ascii="Cambria Math" w:hAnsi="Cambria Math"/>
          <w:i/>
        </w:rPr>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CF4AB9" w:rsidRPr="00490C53">
        <w:rPr>
          <w:rFonts w:ascii="Cambria Math" w:eastAsiaTheme="minorEastAsia" w:hAnsi="Cambria Math"/>
          <w:i/>
        </w:rPr>
        <w:t xml:space="preserve"> </w:t>
      </w:r>
      <w:r w:rsidR="00FA0193" w:rsidRPr="00490C53">
        <w:rPr>
          <w:rFonts w:cstheme="minorHAnsi"/>
          <w:iCs/>
        </w:rPr>
        <w:t>is a dummy variable indicating whether the firm is in the treatment group.</w:t>
      </w:r>
    </w:p>
    <w:p w14:paraId="7913DF0A" w14:textId="77777777" w:rsidR="00BA01F7" w:rsidRPr="00490C53" w:rsidRDefault="006924B0" w:rsidP="00BA01F7">
      <w:pPr>
        <w:pStyle w:val="ListBullet"/>
        <w:spacing w:after="240"/>
        <w:rPr>
          <w:rFonts w:cstheme="minorHAnsi"/>
          <w:i/>
        </w:rPr>
      </w:pPr>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t</m:t>
            </m:r>
          </m:sub>
        </m:sSub>
      </m:oMath>
      <w:r w:rsidR="00BA01F7" w:rsidRPr="00490C53">
        <w:rPr>
          <w:rFonts w:ascii="Cambria Math" w:hAnsi="Cambria Math"/>
          <w:i/>
        </w:rPr>
        <w:t xml:space="preserve"> </w:t>
      </w:r>
      <w:r w:rsidR="00BA01F7" w:rsidRPr="00490C53">
        <w:rPr>
          <w:rFonts w:cstheme="minorHAnsi"/>
          <w:iCs/>
        </w:rPr>
        <w:t xml:space="preserve">are time dummies for the different years in the analysis. These capture general variations in business outcomes across the period of study that are common to all businesses. </w:t>
      </w:r>
    </w:p>
    <w:p w14:paraId="0A608CBB" w14:textId="03676533" w:rsidR="00BA01F7" w:rsidRPr="00490C53" w:rsidRDefault="006924B0" w:rsidP="00BA01F7">
      <w:pPr>
        <w:pStyle w:val="ListBullet"/>
        <w:spacing w:after="240"/>
        <w:rPr>
          <w:rFonts w:cstheme="minorHAnsi"/>
          <w:iCs/>
          <w:color w:val="FF3246" w:themeColor="accent1"/>
        </w:rPr>
      </w:pP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it</m:t>
            </m:r>
          </m:sub>
        </m:sSub>
      </m:oMath>
      <w:r w:rsidR="00BA01F7" w:rsidRPr="00E63CE9">
        <w:rPr>
          <w:rFonts w:eastAsiaTheme="minorEastAsia" w:cstheme="minorHAnsi"/>
          <w:b/>
          <w:bCs/>
        </w:rPr>
        <w:t xml:space="preserve"> </w:t>
      </w:r>
      <w:r w:rsidR="00BA01F7" w:rsidRPr="00E63CE9">
        <w:rPr>
          <w:rFonts w:eastAsiaTheme="minorEastAsia" w:cstheme="minorHAnsi"/>
        </w:rPr>
        <w:t xml:space="preserve">are a set of dummies controlling </w:t>
      </w:r>
      <w:r w:rsidR="00BA01F7" w:rsidRPr="00490C53">
        <w:rPr>
          <w:rFonts w:eastAsiaTheme="minorEastAsia" w:cstheme="minorHAnsi"/>
        </w:rPr>
        <w:t>for participation in other support schemes.</w:t>
      </w:r>
    </w:p>
    <w:p w14:paraId="35038C6B" w14:textId="77777777" w:rsidR="00BA01F7" w:rsidRPr="00490C53" w:rsidRDefault="006924B0" w:rsidP="00BA01F7">
      <w:pPr>
        <w:pStyle w:val="ListBullet"/>
        <w:spacing w:after="240"/>
        <w:rPr>
          <w:rFonts w:eastAsiaTheme="minorEastAsia" w:cstheme="minorHAnsi"/>
        </w:rPr>
      </w:pP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BA01F7" w:rsidRPr="00490C53">
        <w:rPr>
          <w:rFonts w:eastAsiaTheme="minorEastAsia" w:cstheme="minorHAnsi"/>
        </w:rPr>
        <w:t xml:space="preserve"> are firm-level fixed effects. </w:t>
      </w:r>
    </w:p>
    <w:p w14:paraId="642EBE55" w14:textId="77777777" w:rsidR="00BA01F7" w:rsidRPr="00490C53" w:rsidRDefault="006924B0" w:rsidP="00BA01F7">
      <w:pPr>
        <w:pStyle w:val="ListBullet"/>
        <w:spacing w:after="240"/>
        <w:rPr>
          <w:rFonts w:ascii="Cambria Math" w:hAnsi="Cambria Math"/>
          <w:i/>
        </w:rPr>
      </w:pP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00BA01F7" w:rsidRPr="00490C53">
        <w:rPr>
          <w:rFonts w:cstheme="minorHAnsi"/>
          <w:i/>
        </w:rPr>
        <w:t xml:space="preserve"> </w:t>
      </w:r>
      <w:r w:rsidR="00BA01F7" w:rsidRPr="00490C53">
        <w:rPr>
          <w:rFonts w:cstheme="minorHAnsi"/>
          <w:iCs/>
        </w:rPr>
        <w:t xml:space="preserve">is the idiosyncratic error term. This captures factors which are not observed, and which change both across </w:t>
      </w:r>
      <w:r w:rsidR="00BA01F7" w:rsidRPr="00490C53">
        <w:t xml:space="preserve">businesses </w:t>
      </w:r>
      <w:r w:rsidR="00BA01F7" w:rsidRPr="00490C53">
        <w:rPr>
          <w:rFonts w:cstheme="minorHAnsi"/>
          <w:iCs/>
        </w:rPr>
        <w:t xml:space="preserve">and across time. Standard errors are clustered at the sector level to account for potential correlation in error terms across </w:t>
      </w:r>
      <w:r w:rsidR="00BA01F7" w:rsidRPr="00490C53">
        <w:t xml:space="preserve">businesses </w:t>
      </w:r>
      <w:r w:rsidR="00BA01F7" w:rsidRPr="00490C53">
        <w:rPr>
          <w:rFonts w:cstheme="minorHAnsi"/>
          <w:iCs/>
        </w:rPr>
        <w:t>in the same industry.</w:t>
      </w:r>
    </w:p>
    <w:p w14:paraId="7048BE6F" w14:textId="77777777" w:rsidR="00BA01F7" w:rsidRPr="00490C53" w:rsidRDefault="00013BE1" w:rsidP="00BA01F7">
      <w:pPr>
        <w:pStyle w:val="ListBullet"/>
        <w:spacing w:after="240"/>
        <w:rPr>
          <w:rFonts w:cstheme="minorHAnsi"/>
          <w:i/>
        </w:rPr>
      </w:pPr>
      <m:oMath>
        <m:r>
          <m:rPr>
            <m:sty m:val="bi"/>
          </m:rPr>
          <w:rPr>
            <w:rFonts w:ascii="Cambria Math" w:hAnsi="Cambria Math"/>
          </w:rPr>
          <m:t>φ</m:t>
        </m:r>
      </m:oMath>
      <w:r w:rsidR="00BA01F7" w:rsidRPr="00490C53">
        <w:rPr>
          <w:rFonts w:ascii="Cambria Math" w:hAnsi="Cambria Math"/>
          <w:i/>
        </w:rPr>
        <w:t xml:space="preserve">, </w:t>
      </w:r>
      <m:oMath>
        <m:r>
          <m:rPr>
            <m:sty m:val="bi"/>
          </m:rPr>
          <w:rPr>
            <w:rFonts w:ascii="Cambria Math" w:hAnsi="Cambria Math"/>
          </w:rPr>
          <m:t>λ</m:t>
        </m:r>
      </m:oMath>
      <w:r w:rsidR="00BA01F7" w:rsidRPr="00490C53">
        <w:rPr>
          <w:rFonts w:ascii="Cambria Math" w:hAnsi="Cambria Math"/>
          <w:i/>
        </w:rPr>
        <w:t xml:space="preserve"> </w:t>
      </w:r>
      <w:r w:rsidR="00BA01F7" w:rsidRPr="00490C53">
        <w:rPr>
          <w:rFonts w:cstheme="minorHAnsi"/>
          <w:iCs/>
        </w:rPr>
        <w:t xml:space="preserve">and </w:t>
      </w:r>
      <m:oMath>
        <m:r>
          <m:rPr>
            <m:sty m:val="bi"/>
          </m:rPr>
          <w:rPr>
            <w:rFonts w:ascii="Cambria Math" w:hAnsi="Cambria Math"/>
          </w:rPr>
          <m:t>μ</m:t>
        </m:r>
      </m:oMath>
      <w:r w:rsidR="00BA01F7" w:rsidRPr="00490C53">
        <w:rPr>
          <w:rFonts w:eastAsiaTheme="minorEastAsia" w:cstheme="minorHAnsi"/>
          <w:b/>
        </w:rPr>
        <w:t xml:space="preserve"> </w:t>
      </w:r>
      <w:r w:rsidR="00BA01F7" w:rsidRPr="00490C53">
        <w:rPr>
          <w:rFonts w:eastAsiaTheme="minorEastAsia" w:cstheme="minorHAnsi"/>
          <w:bCs/>
        </w:rPr>
        <w:t>a</w:t>
      </w:r>
      <w:r w:rsidR="00BA01F7" w:rsidRPr="00490C53">
        <w:rPr>
          <w:rFonts w:cstheme="minorHAnsi"/>
          <w:iCs/>
        </w:rPr>
        <w:t xml:space="preserve">re individual vectors of coefficients. </w:t>
      </w:r>
      <m:oMath>
        <m:r>
          <m:rPr>
            <m:sty m:val="bi"/>
          </m:rPr>
          <w:rPr>
            <w:rFonts w:ascii="Cambria Math" w:hAnsi="Cambria Math"/>
          </w:rPr>
          <m:t>λ</m:t>
        </m:r>
      </m:oMath>
      <w:r w:rsidR="00BA01F7" w:rsidRPr="00490C53">
        <w:rPr>
          <w:rFonts w:eastAsiaTheme="minorEastAsia" w:cstheme="minorHAnsi"/>
          <w:b/>
          <w:bCs/>
        </w:rPr>
        <w:t xml:space="preserve"> </w:t>
      </w:r>
      <w:r w:rsidR="00BA01F7" w:rsidRPr="00490C53">
        <w:rPr>
          <w:rFonts w:eastAsiaTheme="minorEastAsia" w:cstheme="minorHAnsi"/>
        </w:rPr>
        <w:t xml:space="preserve">consists of the estimates for the effect of the </w:t>
      </w:r>
      <w:r w:rsidR="00BA01F7" w:rsidRPr="00490C53">
        <w:t>Covid-19 Loan Guarantee Schemes</w:t>
      </w:r>
      <w:r w:rsidR="00BA01F7" w:rsidRPr="00490C53">
        <w:rPr>
          <w:rFonts w:eastAsiaTheme="minorEastAsia" w:cstheme="minorHAnsi"/>
          <w:b/>
          <w:bCs/>
        </w:rPr>
        <w:t xml:space="preserve">. </w:t>
      </w:r>
    </w:p>
    <w:p w14:paraId="66E77FAE" w14:textId="799660FD" w:rsidR="00C003EE" w:rsidRPr="005D5D23" w:rsidRDefault="00C003EE" w:rsidP="00236B73">
      <w:r w:rsidRPr="00236B73">
        <w:rPr>
          <w:color w:val="142855" w:themeColor="text2"/>
        </w:rPr>
        <w:t>Wider impacts analysis</w:t>
      </w:r>
    </w:p>
    <w:p w14:paraId="2DD48558" w14:textId="793A564F" w:rsidR="00414D3B" w:rsidRPr="00490C53" w:rsidRDefault="00B26D60" w:rsidP="00414D3B">
      <w:proofErr w:type="gramStart"/>
      <w:r w:rsidRPr="00490C53">
        <w:t>In order to</w:t>
      </w:r>
      <w:proofErr w:type="gramEnd"/>
      <w:r w:rsidRPr="00490C53">
        <w:t xml:space="preserve"> quantify the indirect impact of the Covid-19 </w:t>
      </w:r>
      <w:r w:rsidR="0A19C165">
        <w:t>Loan Guarantee S</w:t>
      </w:r>
      <w:r>
        <w:t>chemes</w:t>
      </w:r>
      <w:r w:rsidRPr="00490C53">
        <w:t xml:space="preserve"> on turnover and employment</w:t>
      </w:r>
      <w:r w:rsidR="0088687B" w:rsidRPr="00490C53">
        <w:t xml:space="preserve"> (of borrowers and non-borrowers)</w:t>
      </w:r>
      <w:r w:rsidRPr="00490C53">
        <w:t xml:space="preserve">, a different estimation strategy is used in comparison to the estimation of the direct impacts. </w:t>
      </w:r>
      <w:r w:rsidR="00414D3B" w:rsidRPr="00490C53">
        <w:t xml:space="preserve">The core specification for the </w:t>
      </w:r>
      <w:r w:rsidR="00D47AA4" w:rsidRPr="00490C53">
        <w:t>wider impacts</w:t>
      </w:r>
      <w:r w:rsidR="00414D3B" w:rsidRPr="00490C53">
        <w:t xml:space="preserve"> model is described by the following equation:</w:t>
      </w:r>
    </w:p>
    <w:p w14:paraId="4D0C45D4" w14:textId="6F510280" w:rsidR="00414D3B" w:rsidRPr="00490C53" w:rsidRDefault="006924B0" w:rsidP="00414D3B">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r>
            <m:rPr>
              <m:sty m:val="bi"/>
            </m:rPr>
            <w:rPr>
              <w:rFonts w:ascii="Cambria Math" w:hAnsi="Cambria Math"/>
            </w:rPr>
            <m:t>φ</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m:t>
              </m:r>
            </m:sub>
          </m:sSub>
          <m:r>
            <w:rPr>
              <w:rFonts w:ascii="Cambria Math" w:hAnsi="Cambria Math"/>
            </w:rPr>
            <m:t>+</m:t>
          </m:r>
          <m:r>
            <m:rPr>
              <m:sty m:val="bi"/>
            </m:rP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m:t>
                  </m:r>
                </m:sub>
              </m:sSub>
            </m:e>
          </m:d>
          <m:r>
            <m:rPr>
              <m:sty m:val="bi"/>
            </m:rPr>
            <w:rPr>
              <w:rFonts w:ascii="Cambria Math" w:hAnsi="Cambria Math"/>
            </w:rPr>
            <m:t>+</m:t>
          </m:r>
          <m:r>
            <m:rPr>
              <m:sty m:val="bi"/>
            </m:rPr>
            <w:rPr>
              <w:rFonts w:ascii="Cambria Math" w:hAnsi="Cambria Math"/>
            </w:rPr>
            <m:t>μ</m:t>
          </m:r>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it</m:t>
              </m:r>
            </m:sub>
          </m:sSub>
          <m:r>
            <w:rPr>
              <w:rFonts w:ascii="Cambria Math" w:hAnsi="Cambria Math"/>
            </w:rPr>
            <m:t>+</m:t>
          </m:r>
          <m:r>
            <w:rPr>
              <w:rFonts w:ascii="Cambria Math" w:hAnsi="Cambria Math"/>
            </w:rPr>
            <m:t>δ</m:t>
          </m:r>
          <m:sSub>
            <m:sSubPr>
              <m:ctrlPr>
                <w:rPr>
                  <w:rFonts w:ascii="Cambria Math" w:hAnsi="Cambria Math"/>
                  <w:bCs/>
                  <w:i/>
                </w:rPr>
              </m:ctrlPr>
            </m:sSubPr>
            <m:e>
              <m:r>
                <w:rPr>
                  <w:rFonts w:ascii="Cambria Math" w:hAnsi="Cambria Math"/>
                </w:rPr>
                <m:t>L</m:t>
              </m:r>
            </m:e>
            <m:sub>
              <m:r>
                <w:rPr>
                  <w:rFonts w:ascii="Cambria Math" w:hAnsi="Cambria Math"/>
                </w:rPr>
                <m:t>it</m:t>
              </m:r>
            </m:sub>
          </m:sSub>
          <m:r>
            <w:rPr>
              <w:rFonts w:ascii="Cambria Math" w:hAnsi="Cambria Math"/>
            </w:rPr>
            <m:t>+</m:t>
          </m:r>
          <m:r>
            <w:rPr>
              <w:rFonts w:ascii="Cambria Math" w:hAnsi="Cambria Math"/>
            </w:rPr>
            <m:t>θ</m:t>
          </m:r>
          <m:sSub>
            <m:sSubPr>
              <m:ctrlPr>
                <w:rPr>
                  <w:rFonts w:ascii="Cambria Math" w:hAnsi="Cambria Math"/>
                  <w:i/>
                </w:rPr>
              </m:ctrlPr>
            </m:sSubPr>
            <m:e>
              <m:r>
                <w:rPr>
                  <w:rFonts w:ascii="Cambria Math" w:hAnsi="Cambria Math"/>
                </w:rPr>
                <m:t>CJRS</m:t>
              </m:r>
            </m:e>
            <m:sub>
              <m:r>
                <w:rPr>
                  <w:rFonts w:ascii="Cambria Math" w:hAnsi="Cambria Math"/>
                </w:rPr>
                <m:t>it</m:t>
              </m:r>
            </m:sub>
          </m:sSub>
          <m:r>
            <w:rPr>
              <w:rFonts w:ascii="Cambria Math" w:hAnsi="Cambria Math"/>
            </w:rPr>
            <m:t>+</m:t>
          </m:r>
          <m:r>
            <m:rPr>
              <m:sty m:val="bi"/>
            </m:rPr>
            <w:rPr>
              <w:rFonts w:ascii="Cambria Math" w:hAnsi="Cambria Math"/>
            </w:rPr>
            <m:t>π</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p w14:paraId="6ADFAD14" w14:textId="52216BBF" w:rsidR="00414D3B" w:rsidRPr="00490C53" w:rsidRDefault="006924B0" w:rsidP="00414D3B">
      <w:pPr>
        <w:pStyle w:val="ListBullet"/>
        <w:spacing w:after="240"/>
        <w:rPr>
          <w:rFonts w:cstheme="minorHAnsi"/>
          <w:iCs/>
        </w:rPr>
      </w:pP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00414D3B" w:rsidRPr="00490C53">
        <w:rPr>
          <w:rFonts w:ascii="Cambria Math" w:hAnsi="Cambria Math"/>
          <w:i/>
        </w:rPr>
        <w:t xml:space="preserve"> </w:t>
      </w:r>
      <w:r w:rsidR="00414D3B" w:rsidRPr="00490C53">
        <w:rPr>
          <w:rFonts w:cstheme="minorHAnsi"/>
          <w:iCs/>
        </w:rPr>
        <w:t>denotes the outcome variable (</w:t>
      </w:r>
      <w:proofErr w:type="gramStart"/>
      <w:r w:rsidR="00414D3B" w:rsidRPr="00490C53">
        <w:rPr>
          <w:rFonts w:cstheme="minorHAnsi"/>
          <w:iCs/>
        </w:rPr>
        <w:t>i.e.</w:t>
      </w:r>
      <w:proofErr w:type="gramEnd"/>
      <w:r w:rsidR="00414D3B" w:rsidRPr="00490C53">
        <w:rPr>
          <w:rFonts w:cstheme="minorHAnsi"/>
          <w:iCs/>
        </w:rPr>
        <w:t xml:space="preserve"> either log employment or log turnover). The years included in the analysis are the last financial year before the pandemic and the latest two financial years.</w:t>
      </w:r>
      <w:r w:rsidR="007634ED" w:rsidRPr="00490C53">
        <w:rPr>
          <w:rFonts w:cstheme="minorHAnsi"/>
          <w:iCs/>
        </w:rPr>
        <w:t xml:space="preserve"> </w:t>
      </w:r>
    </w:p>
    <w:p w14:paraId="21FFDB05" w14:textId="77777777" w:rsidR="00414D3B" w:rsidRPr="00490C53" w:rsidRDefault="006924B0" w:rsidP="00414D3B">
      <w:pPr>
        <w:pStyle w:val="ListBullet"/>
        <w:spacing w:after="240"/>
        <w:rPr>
          <w:rFonts w:ascii="Cambria Math" w:hAnsi="Cambria Math"/>
          <w:i/>
        </w:rPr>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414D3B" w:rsidRPr="00490C53">
        <w:rPr>
          <w:rFonts w:ascii="Cambria Math" w:hAnsi="Cambria Math"/>
          <w:i/>
        </w:rPr>
        <w:t xml:space="preserve"> </w:t>
      </w:r>
      <w:r w:rsidR="00414D3B" w:rsidRPr="00490C53">
        <w:rPr>
          <w:rFonts w:cstheme="minorHAnsi"/>
          <w:iCs/>
        </w:rPr>
        <w:t xml:space="preserve">is a constant term. </w:t>
      </w:r>
    </w:p>
    <w:p w14:paraId="6F8200F1" w14:textId="77777777" w:rsidR="00414D3B" w:rsidRPr="00846F78" w:rsidRDefault="006924B0" w:rsidP="00414D3B">
      <w:pPr>
        <w:pStyle w:val="ListBullet"/>
        <w:spacing w:after="240"/>
        <w:rPr>
          <w:rFonts w:cstheme="minorHAnsi"/>
          <w:i/>
        </w:rPr>
      </w:pPr>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t</m:t>
            </m:r>
          </m:sub>
        </m:sSub>
      </m:oMath>
      <w:r w:rsidR="00414D3B" w:rsidRPr="00490C53">
        <w:rPr>
          <w:rFonts w:ascii="Cambria Math" w:hAnsi="Cambria Math"/>
          <w:i/>
        </w:rPr>
        <w:t xml:space="preserve"> </w:t>
      </w:r>
      <w:r w:rsidR="00414D3B" w:rsidRPr="00490C53">
        <w:rPr>
          <w:rFonts w:cstheme="minorHAnsi"/>
          <w:iCs/>
        </w:rPr>
        <w:t xml:space="preserve">are time dummies for the different years in the analysis. These capture general variations in business outcomes across the period of study that are common to all businesses. </w:t>
      </w:r>
    </w:p>
    <w:p w14:paraId="0D188F77" w14:textId="2D31101F" w:rsidR="00FA0193" w:rsidRPr="00846F78" w:rsidRDefault="006924B0" w:rsidP="00596F06">
      <w:pPr>
        <w:pStyle w:val="ListBullet"/>
        <w:spacing w:after="240"/>
        <w:rPr>
          <w:rFonts w:ascii="Cambria Math" w:hAnsi="Cambria Math"/>
          <w:i/>
        </w:rPr>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FA0193" w:rsidRPr="00490C53">
        <w:rPr>
          <w:rFonts w:ascii="Cambria Math" w:eastAsiaTheme="minorEastAsia" w:hAnsi="Cambria Math"/>
          <w:i/>
        </w:rPr>
        <w:t xml:space="preserve"> </w:t>
      </w:r>
      <w:r w:rsidR="00FA0193" w:rsidRPr="00490C53">
        <w:rPr>
          <w:rFonts w:cstheme="minorHAnsi"/>
          <w:iCs/>
        </w:rPr>
        <w:t>is a dummy variable indicating whether the firm is in the treatment group.</w:t>
      </w:r>
    </w:p>
    <w:p w14:paraId="696B0B3E" w14:textId="77777777" w:rsidR="00414D3B" w:rsidRPr="00846F78" w:rsidRDefault="006924B0" w:rsidP="00414D3B">
      <w:pPr>
        <w:pStyle w:val="ListBullet"/>
        <w:spacing w:after="240"/>
        <w:rPr>
          <w:rFonts w:cstheme="minorHAnsi"/>
          <w:iCs/>
          <w:color w:val="FF3246" w:themeColor="accent1"/>
        </w:rPr>
      </w:pP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it</m:t>
            </m:r>
          </m:sub>
        </m:sSub>
      </m:oMath>
      <w:r w:rsidR="00414D3B" w:rsidRPr="00490C53">
        <w:rPr>
          <w:rFonts w:eastAsiaTheme="minorEastAsia" w:cstheme="minorHAnsi"/>
          <w:b/>
          <w:bCs/>
        </w:rPr>
        <w:t xml:space="preserve"> </w:t>
      </w:r>
      <w:r w:rsidR="00414D3B" w:rsidRPr="00490C53">
        <w:rPr>
          <w:rFonts w:eastAsiaTheme="minorEastAsia" w:cstheme="minorHAnsi"/>
        </w:rPr>
        <w:t>are a set of dummies controlling for participation in other support schemes.</w:t>
      </w:r>
    </w:p>
    <w:p w14:paraId="5B10208F" w14:textId="161F0EAA" w:rsidR="0069505C" w:rsidRPr="00846F78" w:rsidRDefault="006924B0" w:rsidP="00414D3B">
      <w:pPr>
        <w:pStyle w:val="ListBullet"/>
        <w:spacing w:after="240"/>
        <w:rPr>
          <w:rFonts w:cstheme="minorHAnsi"/>
          <w:iCs/>
          <w:color w:val="FF3246" w:themeColor="accent1"/>
        </w:rPr>
      </w:pPr>
      <m:oMath>
        <m:sSub>
          <m:sSubPr>
            <m:ctrlPr>
              <w:rPr>
                <w:rFonts w:ascii="Cambria Math" w:hAnsi="Cambria Math"/>
                <w:i/>
              </w:rPr>
            </m:ctrlPr>
          </m:sSubPr>
          <m:e>
            <m:r>
              <w:rPr>
                <w:rFonts w:ascii="Cambria Math" w:hAnsi="Cambria Math"/>
              </w:rPr>
              <m:t>L</m:t>
            </m:r>
          </m:e>
          <m:sub>
            <m:r>
              <w:rPr>
                <w:rFonts w:ascii="Cambria Math" w:hAnsi="Cambria Math"/>
              </w:rPr>
              <m:t>it</m:t>
            </m:r>
          </m:sub>
        </m:sSub>
      </m:oMath>
      <w:r w:rsidR="00043FD6" w:rsidRPr="00490C53">
        <w:rPr>
          <w:rFonts w:eastAsiaTheme="minorEastAsia" w:cstheme="minorHAnsi"/>
          <w:b/>
          <w:bCs/>
        </w:rPr>
        <w:t xml:space="preserve"> </w:t>
      </w:r>
      <w:r w:rsidR="00043FD6" w:rsidRPr="00490C53">
        <w:rPr>
          <w:rFonts w:eastAsiaTheme="minorEastAsia" w:cstheme="minorHAnsi"/>
        </w:rPr>
        <w:t>denote</w:t>
      </w:r>
      <w:r w:rsidR="0088687B" w:rsidRPr="00490C53">
        <w:rPr>
          <w:rFonts w:eastAsiaTheme="minorEastAsia" w:cstheme="minorHAnsi"/>
        </w:rPr>
        <w:t>s</w:t>
      </w:r>
      <w:r w:rsidR="00043FD6" w:rsidRPr="00490C53">
        <w:rPr>
          <w:rFonts w:eastAsiaTheme="minorEastAsia" w:cstheme="minorHAnsi"/>
        </w:rPr>
        <w:t xml:space="preserve"> the value (per firm)</w:t>
      </w:r>
      <w:r w:rsidR="00596F06" w:rsidRPr="00490C53">
        <w:rPr>
          <w:rStyle w:val="FootnoteReference"/>
          <w:rFonts w:eastAsiaTheme="minorEastAsia" w:cstheme="minorHAnsi"/>
        </w:rPr>
        <w:footnoteReference w:id="134"/>
      </w:r>
      <w:r w:rsidR="00043FD6" w:rsidRPr="00490C53">
        <w:rPr>
          <w:rFonts w:eastAsiaTheme="minorEastAsia" w:cstheme="minorHAnsi"/>
        </w:rPr>
        <w:t xml:space="preserve"> </w:t>
      </w:r>
      <w:r w:rsidR="00596F06" w:rsidRPr="00490C53">
        <w:rPr>
          <w:rFonts w:eastAsiaTheme="minorEastAsia" w:cstheme="minorHAnsi"/>
        </w:rPr>
        <w:t xml:space="preserve">of loans extended under the loan guarantee schemes </w:t>
      </w:r>
      <w:r w:rsidR="00F44380" w:rsidRPr="00490C53">
        <w:rPr>
          <w:rFonts w:eastAsiaTheme="minorEastAsia" w:cstheme="minorHAnsi"/>
        </w:rPr>
        <w:t xml:space="preserve">to the sector of the firm. </w:t>
      </w:r>
    </w:p>
    <w:p w14:paraId="6618F116" w14:textId="44BD827A" w:rsidR="00F44380" w:rsidRPr="00846F78" w:rsidRDefault="006924B0" w:rsidP="00F44380">
      <w:pPr>
        <w:pStyle w:val="ListBullet"/>
        <w:spacing w:after="240"/>
        <w:rPr>
          <w:rFonts w:cstheme="minorHAnsi"/>
          <w:iCs/>
          <w:color w:val="FF3246" w:themeColor="accent1"/>
        </w:rPr>
      </w:pPr>
      <m:oMath>
        <m:sSub>
          <m:sSubPr>
            <m:ctrlPr>
              <w:rPr>
                <w:rFonts w:ascii="Cambria Math" w:hAnsi="Cambria Math"/>
                <w:i/>
              </w:rPr>
            </m:ctrlPr>
          </m:sSubPr>
          <m:e>
            <m:r>
              <w:rPr>
                <w:rFonts w:ascii="Cambria Math" w:hAnsi="Cambria Math"/>
              </w:rPr>
              <m:t>CJRS</m:t>
            </m:r>
          </m:e>
          <m:sub>
            <m:r>
              <w:rPr>
                <w:rFonts w:ascii="Cambria Math" w:hAnsi="Cambria Math"/>
              </w:rPr>
              <m:t>it</m:t>
            </m:r>
          </m:sub>
        </m:sSub>
      </m:oMath>
      <w:r w:rsidR="00F44380" w:rsidRPr="00490C53">
        <w:rPr>
          <w:rFonts w:eastAsiaTheme="minorEastAsia" w:cstheme="minorHAnsi"/>
          <w:b/>
          <w:bCs/>
        </w:rPr>
        <w:t xml:space="preserve"> </w:t>
      </w:r>
      <w:r w:rsidR="00F44380" w:rsidRPr="00490C53">
        <w:rPr>
          <w:rFonts w:eastAsiaTheme="minorEastAsia" w:cstheme="minorHAnsi"/>
        </w:rPr>
        <w:t>denote</w:t>
      </w:r>
      <w:r w:rsidR="0088687B" w:rsidRPr="00490C53">
        <w:rPr>
          <w:rFonts w:eastAsiaTheme="minorEastAsia" w:cstheme="minorHAnsi"/>
        </w:rPr>
        <w:t>s</w:t>
      </w:r>
      <w:r w:rsidR="00F44380" w:rsidRPr="00490C53">
        <w:rPr>
          <w:rFonts w:eastAsiaTheme="minorEastAsia" w:cstheme="minorHAnsi"/>
        </w:rPr>
        <w:t xml:space="preserve"> the value (per firm)</w:t>
      </w:r>
      <w:r w:rsidR="00F44380" w:rsidRPr="00490C53">
        <w:rPr>
          <w:rStyle w:val="FootnoteReference"/>
          <w:rFonts w:eastAsiaTheme="minorEastAsia" w:cstheme="minorHAnsi"/>
        </w:rPr>
        <w:footnoteReference w:id="135"/>
      </w:r>
      <w:r w:rsidR="00F44380" w:rsidRPr="00490C53">
        <w:rPr>
          <w:rFonts w:eastAsiaTheme="minorEastAsia" w:cstheme="minorHAnsi"/>
        </w:rPr>
        <w:t xml:space="preserve"> of CJRS support to the sector of the firm</w:t>
      </w:r>
      <w:r w:rsidR="0088687B" w:rsidRPr="00490C53">
        <w:rPr>
          <w:rFonts w:eastAsiaTheme="minorEastAsia" w:cstheme="minorHAnsi"/>
        </w:rPr>
        <w:t>.</w:t>
      </w:r>
    </w:p>
    <w:p w14:paraId="7712B5D5" w14:textId="2B7ED7B0" w:rsidR="005B5491" w:rsidRPr="00490C53" w:rsidRDefault="006924B0" w:rsidP="00F44380">
      <w:pPr>
        <w:pStyle w:val="ListBullet"/>
        <w:spacing w:after="240"/>
        <w:rPr>
          <w:rFonts w:cstheme="minorHAnsi"/>
          <w:iCs/>
          <w:color w:val="FF3246" w:themeColor="accent1"/>
        </w:rPr>
      </w:pPr>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it</m:t>
            </m:r>
          </m:sub>
        </m:sSub>
      </m:oMath>
      <w:r w:rsidR="005B5491" w:rsidRPr="00490C53">
        <w:rPr>
          <w:rFonts w:eastAsiaTheme="minorEastAsia" w:cstheme="minorHAnsi"/>
          <w:b/>
          <w:bCs/>
        </w:rPr>
        <w:t xml:space="preserve"> </w:t>
      </w:r>
      <w:r w:rsidR="005B5491" w:rsidRPr="00490C53">
        <w:rPr>
          <w:rFonts w:eastAsiaTheme="minorEastAsia" w:cstheme="minorHAnsi"/>
        </w:rPr>
        <w:t xml:space="preserve">is a vector of control variables. </w:t>
      </w:r>
    </w:p>
    <w:p w14:paraId="4A9B46BA" w14:textId="77777777" w:rsidR="00414D3B" w:rsidRPr="00490C53" w:rsidRDefault="006924B0" w:rsidP="00414D3B">
      <w:pPr>
        <w:pStyle w:val="ListBullet"/>
        <w:spacing w:after="240"/>
        <w:rPr>
          <w:rFonts w:eastAsiaTheme="minorEastAsia" w:cstheme="minorHAnsi"/>
        </w:rPr>
      </w:pP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414D3B" w:rsidRPr="00490C53">
        <w:rPr>
          <w:rFonts w:eastAsiaTheme="minorEastAsia" w:cstheme="minorHAnsi"/>
        </w:rPr>
        <w:t xml:space="preserve"> are firm-level fixed effects. </w:t>
      </w:r>
    </w:p>
    <w:p w14:paraId="41F53B6A" w14:textId="77777777" w:rsidR="00414D3B" w:rsidRPr="00490C53" w:rsidRDefault="006924B0" w:rsidP="00414D3B">
      <w:pPr>
        <w:pStyle w:val="ListBullet"/>
        <w:spacing w:after="240"/>
        <w:rPr>
          <w:rFonts w:ascii="Cambria Math" w:hAnsi="Cambria Math"/>
          <w:i/>
        </w:rPr>
      </w:pP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00414D3B" w:rsidRPr="00490C53">
        <w:rPr>
          <w:rFonts w:cstheme="minorHAnsi"/>
          <w:i/>
        </w:rPr>
        <w:t xml:space="preserve"> </w:t>
      </w:r>
      <w:r w:rsidR="00414D3B" w:rsidRPr="00490C53">
        <w:rPr>
          <w:rFonts w:cstheme="minorHAnsi"/>
          <w:iCs/>
        </w:rPr>
        <w:t xml:space="preserve">is the idiosyncratic error term. This captures factors which are not observed, and which change both across </w:t>
      </w:r>
      <w:r w:rsidR="00414D3B" w:rsidRPr="00490C53">
        <w:t xml:space="preserve">businesses </w:t>
      </w:r>
      <w:r w:rsidR="00414D3B" w:rsidRPr="00490C53">
        <w:rPr>
          <w:rFonts w:cstheme="minorHAnsi"/>
          <w:iCs/>
        </w:rPr>
        <w:t xml:space="preserve">and across time. Standard errors are clustered at the sector level to account for potential correlation in error terms across </w:t>
      </w:r>
      <w:r w:rsidR="00414D3B" w:rsidRPr="00490C53">
        <w:t xml:space="preserve">businesses </w:t>
      </w:r>
      <w:r w:rsidR="00414D3B" w:rsidRPr="00490C53">
        <w:rPr>
          <w:rFonts w:cstheme="minorHAnsi"/>
          <w:iCs/>
        </w:rPr>
        <w:t>in the same industry.</w:t>
      </w:r>
    </w:p>
    <w:p w14:paraId="15FDC117" w14:textId="492F0233" w:rsidR="00C60073" w:rsidRPr="00490C53" w:rsidRDefault="00414D3B" w:rsidP="00846F78">
      <w:pPr>
        <w:pStyle w:val="ListBullet"/>
        <w:spacing w:after="240"/>
      </w:pPr>
      <m:oMath>
        <m:r>
          <m:rPr>
            <m:sty m:val="bi"/>
          </m:rPr>
          <w:rPr>
            <w:rFonts w:ascii="Cambria Math" w:hAnsi="Cambria Math"/>
          </w:rPr>
          <m:t>φ</m:t>
        </m:r>
      </m:oMath>
      <w:r w:rsidRPr="00490C53">
        <w:rPr>
          <w:rFonts w:ascii="Cambria Math" w:hAnsi="Cambria Math"/>
          <w:i/>
        </w:rPr>
        <w:t xml:space="preserve">, </w:t>
      </w:r>
      <m:oMath>
        <m:r>
          <m:rPr>
            <m:sty m:val="bi"/>
          </m:rPr>
          <w:rPr>
            <w:rFonts w:ascii="Cambria Math" w:hAnsi="Cambria Math"/>
          </w:rPr>
          <m:t>λ</m:t>
        </m:r>
      </m:oMath>
      <w:r w:rsidR="005B5491" w:rsidRPr="00490C53">
        <w:rPr>
          <w:rFonts w:ascii="Cambria Math" w:eastAsiaTheme="minorEastAsia" w:hAnsi="Cambria Math"/>
          <w:b/>
          <w:i/>
        </w:rPr>
        <w:t xml:space="preserve">, </w:t>
      </w:r>
      <m:oMath>
        <m:r>
          <w:rPr>
            <w:rFonts w:ascii="Cambria Math" w:hAnsi="Cambria Math"/>
          </w:rPr>
          <m:t>δ</m:t>
        </m:r>
      </m:oMath>
      <w:r w:rsidR="005B5491" w:rsidRPr="00490C53">
        <w:rPr>
          <w:rFonts w:ascii="Cambria Math" w:eastAsiaTheme="minorEastAsia" w:hAnsi="Cambria Math"/>
          <w:b/>
          <w:bCs/>
          <w:i/>
        </w:rPr>
        <w:t xml:space="preserve">, </w:t>
      </w:r>
      <m:oMath>
        <m:r>
          <w:rPr>
            <w:rFonts w:ascii="Cambria Math" w:hAnsi="Cambria Math"/>
          </w:rPr>
          <m:t>θ</m:t>
        </m:r>
        <m:r>
          <w:rPr>
            <w:rFonts w:ascii="Cambria Math" w:eastAsiaTheme="minorEastAsia" w:hAnsi="Cambria Math"/>
          </w:rPr>
          <m:t xml:space="preserve">, </m:t>
        </m:r>
        <m:r>
          <m:rPr>
            <m:sty m:val="bi"/>
          </m:rPr>
          <w:rPr>
            <w:rFonts w:ascii="Cambria Math" w:hAnsi="Cambria Math"/>
          </w:rPr>
          <m:t>π</m:t>
        </m:r>
      </m:oMath>
      <w:r w:rsidR="005B5491" w:rsidRPr="00490C53">
        <w:rPr>
          <w:rFonts w:ascii="Cambria Math" w:eastAsiaTheme="minorEastAsia" w:hAnsi="Cambria Math"/>
          <w:b/>
          <w:bCs/>
          <w:i/>
        </w:rPr>
        <w:t xml:space="preserve"> </w:t>
      </w:r>
      <w:r w:rsidRPr="00490C53">
        <w:rPr>
          <w:rFonts w:cstheme="minorHAnsi"/>
          <w:iCs/>
        </w:rPr>
        <w:t xml:space="preserve">and </w:t>
      </w:r>
      <m:oMath>
        <m:r>
          <m:rPr>
            <m:sty m:val="bi"/>
          </m:rPr>
          <w:rPr>
            <w:rFonts w:ascii="Cambria Math" w:hAnsi="Cambria Math"/>
          </w:rPr>
          <m:t>μ</m:t>
        </m:r>
      </m:oMath>
      <w:r w:rsidRPr="00490C53">
        <w:rPr>
          <w:rFonts w:eastAsiaTheme="minorEastAsia" w:cstheme="minorHAnsi"/>
          <w:b/>
        </w:rPr>
        <w:t xml:space="preserve"> </w:t>
      </w:r>
      <w:r w:rsidRPr="00490C53">
        <w:rPr>
          <w:rFonts w:eastAsiaTheme="minorEastAsia" w:cstheme="minorHAnsi"/>
          <w:bCs/>
        </w:rPr>
        <w:t>a</w:t>
      </w:r>
      <w:r w:rsidRPr="00490C53">
        <w:rPr>
          <w:rFonts w:cstheme="minorHAnsi"/>
          <w:iCs/>
        </w:rPr>
        <w:t xml:space="preserve">re individual vectors </w:t>
      </w:r>
      <w:r w:rsidR="005B5491" w:rsidRPr="00490C53">
        <w:rPr>
          <w:rFonts w:cstheme="minorHAnsi"/>
          <w:iCs/>
        </w:rPr>
        <w:t xml:space="preserve">or scalars </w:t>
      </w:r>
      <w:r w:rsidRPr="00490C53">
        <w:rPr>
          <w:rFonts w:cstheme="minorHAnsi"/>
          <w:iCs/>
        </w:rPr>
        <w:t xml:space="preserve">of coefficients. </w:t>
      </w:r>
    </w:p>
    <w:p w14:paraId="2595FD7B" w14:textId="15FC68AD" w:rsidR="00B92F3F" w:rsidRPr="00490C53" w:rsidRDefault="00A9377C" w:rsidP="00B92F3F">
      <w:pPr>
        <w:pStyle w:val="ListBullet"/>
        <w:numPr>
          <w:ilvl w:val="0"/>
          <w:numId w:val="0"/>
        </w:numPr>
      </w:pPr>
      <w:r w:rsidRPr="00490C53">
        <w:t xml:space="preserve">The </w:t>
      </w:r>
      <w:r w:rsidR="0098340E" w:rsidRPr="00490C53">
        <w:t>estimation proc</w:t>
      </w:r>
      <w:r w:rsidR="00507025" w:rsidRPr="00490C53">
        <w:t xml:space="preserve">edure differs from the estimation of the direct impacts of the schemes in </w:t>
      </w:r>
      <w:proofErr w:type="gramStart"/>
      <w:r w:rsidR="00507025" w:rsidRPr="00490C53">
        <w:t>a</w:t>
      </w:r>
      <w:r w:rsidR="00C33EC6" w:rsidRPr="00490C53">
        <w:t xml:space="preserve"> </w:t>
      </w:r>
      <w:r w:rsidR="00507025" w:rsidRPr="00490C53">
        <w:t>number of</w:t>
      </w:r>
      <w:proofErr w:type="gramEnd"/>
      <w:r w:rsidR="00507025" w:rsidRPr="00490C53">
        <w:t xml:space="preserve"> ways.</w:t>
      </w:r>
      <w:r w:rsidR="00A65DDF" w:rsidRPr="00490C53">
        <w:t xml:space="preserve"> </w:t>
      </w:r>
      <w:r w:rsidR="00BB0F09" w:rsidRPr="00490C53">
        <w:t xml:space="preserve">Firstly, the coefficient of interest </w:t>
      </w:r>
      <w:r w:rsidR="00F8117A" w:rsidRPr="00490C53">
        <w:t>is</w:t>
      </w:r>
      <w:r w:rsidR="00BB0F09" w:rsidRPr="00490C53">
        <w:t xml:space="preserve"> </w:t>
      </w:r>
      <m:oMath>
        <m:r>
          <w:rPr>
            <w:rFonts w:ascii="Cambria Math" w:hAnsi="Cambria Math"/>
          </w:rPr>
          <m:t>δ</m:t>
        </m:r>
      </m:oMath>
      <w:r w:rsidR="00BB0F09" w:rsidRPr="00490C53">
        <w:rPr>
          <w:rFonts w:ascii="Cambria Math" w:eastAsiaTheme="minorEastAsia" w:hAnsi="Cambria Math"/>
          <w:b/>
          <w:bCs/>
          <w:i/>
        </w:rPr>
        <w:t xml:space="preserve"> </w:t>
      </w:r>
      <w:r w:rsidR="00BB0F09" w:rsidRPr="00490C53">
        <w:t xml:space="preserve">and </w:t>
      </w:r>
      <w:r w:rsidR="008E30B2" w:rsidRPr="00490C53">
        <w:t>relate</w:t>
      </w:r>
      <w:r w:rsidR="00F8117A" w:rsidRPr="00490C53">
        <w:t>s</w:t>
      </w:r>
      <w:r w:rsidR="008E30B2" w:rsidRPr="00490C53">
        <w:t xml:space="preserve"> to the indirect impacts of the schemes on outcomes of firms (both borrowers and non-borrowers)</w:t>
      </w:r>
      <w:r w:rsidR="00026559" w:rsidRPr="00490C53">
        <w:t xml:space="preserve">. </w:t>
      </w:r>
    </w:p>
    <w:p w14:paraId="03D95668" w14:textId="5247BFCD" w:rsidR="00FF7152" w:rsidRPr="00490C53" w:rsidRDefault="00FF7152" w:rsidP="00846F78">
      <w:pPr>
        <w:pStyle w:val="ListBullet"/>
        <w:numPr>
          <w:ilvl w:val="0"/>
          <w:numId w:val="0"/>
        </w:numPr>
      </w:pPr>
      <w:r w:rsidRPr="00490C53">
        <w:t xml:space="preserve">Moreover, the model is not estimated on a matched sample of treated and control firms, but rather on the entire sample of survey respondents, with the use of survey weights to ensure that the sample is representative of the whole business population. This is required because the indirect impacts of the schemes can affect any business in the UK economy. </w:t>
      </w:r>
    </w:p>
    <w:p w14:paraId="3B01EDA4" w14:textId="77777777" w:rsidR="00507025" w:rsidRPr="00490C53" w:rsidRDefault="00FF7152" w:rsidP="00FF7152">
      <w:r w:rsidRPr="00490C53">
        <w:t>Also, only one equation is estimated for each outcome measure rather than separate equations for each scheme. This is, again, because the indirect benefits from each scheme may potentially impact any business in the economy</w:t>
      </w:r>
      <w:r w:rsidR="00507025" w:rsidRPr="00490C53">
        <w:t>.</w:t>
      </w:r>
    </w:p>
    <w:p w14:paraId="486A6246" w14:textId="1CAE70F8" w:rsidR="00FF7152" w:rsidRPr="00490C53" w:rsidRDefault="00FF7152" w:rsidP="00FF7152">
      <w:r w:rsidRPr="00490C53">
        <w:t>Finally, because this model is no longer estimated on a matched sample, a larger number of control variables</w:t>
      </w:r>
      <w:r w:rsidR="006A782E" w:rsidRPr="00490C53">
        <w:rPr>
          <w:rStyle w:val="FootnoteReference"/>
        </w:rPr>
        <w:footnoteReference w:id="136"/>
      </w:r>
      <w:r w:rsidRPr="00490C53">
        <w:t xml:space="preserve"> are included in this model to ensure that the coefficient of interest does not capture the influence of factors other than the scheme on firm-level outcomes. </w:t>
      </w:r>
    </w:p>
    <w:p w14:paraId="3632D4B6" w14:textId="77777777" w:rsidR="006A782E" w:rsidRPr="00490C53" w:rsidRDefault="006A782E" w:rsidP="00FF7152"/>
    <w:p w14:paraId="671576D9" w14:textId="7302E5CF" w:rsidR="00EF5C38" w:rsidRPr="00490C53" w:rsidRDefault="00EF5C38" w:rsidP="00846F78">
      <w:pPr>
        <w:pStyle w:val="ListBullet"/>
        <w:numPr>
          <w:ilvl w:val="0"/>
          <w:numId w:val="0"/>
        </w:numPr>
      </w:pPr>
      <w:r w:rsidRPr="00490C53">
        <w:br w:type="page"/>
      </w:r>
    </w:p>
    <w:p w14:paraId="3FC99D42" w14:textId="77777777" w:rsidR="00BB3B5F" w:rsidRPr="005D5D23" w:rsidRDefault="00BB3B5F" w:rsidP="00236B73">
      <w:r w:rsidRPr="00236B73">
        <w:rPr>
          <w:color w:val="142855" w:themeColor="text2"/>
        </w:rPr>
        <w:lastRenderedPageBreak/>
        <w:t>Data</w:t>
      </w:r>
    </w:p>
    <w:p w14:paraId="47C6A791" w14:textId="51381439" w:rsidR="00BB3B5F" w:rsidRPr="00490C53" w:rsidRDefault="00F576EB" w:rsidP="00C003EE">
      <w:r w:rsidRPr="00490C53">
        <w:t xml:space="preserve">The quantification of the impacts of the Covid-19 Loan Guarantee Schemes uses </w:t>
      </w:r>
      <w:r w:rsidR="00171AB4" w:rsidRPr="00490C53">
        <w:t xml:space="preserve">both data collected from participants and non-participants in the Covid-19 Loan Guarantee Schemes and external data. This section discusses the data processing and describes the variables used in each aspect of the econometric analysis. </w:t>
      </w:r>
    </w:p>
    <w:p w14:paraId="26FC4745" w14:textId="1CA4ED6B" w:rsidR="0045656C" w:rsidRPr="00490C53" w:rsidRDefault="0045656C" w:rsidP="0045656C">
      <w:pPr>
        <w:pStyle w:val="Heading5"/>
      </w:pPr>
      <w:bookmarkStart w:id="267" w:name="_Ref92911788"/>
      <w:bookmarkStart w:id="268" w:name="_Ref121997611"/>
      <w:r w:rsidRPr="00490C53">
        <w:t xml:space="preserve">Table </w:t>
      </w:r>
      <w:r w:rsidR="00B6604F" w:rsidRPr="00846F78">
        <w:fldChar w:fldCharType="begin"/>
      </w:r>
      <w:r w:rsidR="00B6604F" w:rsidRPr="00490C53">
        <w:instrText xml:space="preserve"> SEQ Table \* ARABIC </w:instrText>
      </w:r>
      <w:r w:rsidR="00B6604F" w:rsidRPr="00846F78">
        <w:fldChar w:fldCharType="separate"/>
      </w:r>
      <w:r w:rsidR="00397D49">
        <w:rPr>
          <w:noProof/>
        </w:rPr>
        <w:t>25</w:t>
      </w:r>
      <w:r w:rsidR="00B6604F" w:rsidRPr="00846F78">
        <w:fldChar w:fldCharType="end"/>
      </w:r>
      <w:bookmarkEnd w:id="267"/>
      <w:r w:rsidRPr="00490C53">
        <w:t>: Variables used in the PSM</w:t>
      </w:r>
      <w:bookmarkEnd w:id="268"/>
    </w:p>
    <w:tbl>
      <w:tblPr>
        <w:tblStyle w:val="TableGrid"/>
        <w:tblW w:w="5000" w:type="pct"/>
        <w:tblLook w:val="04A0" w:firstRow="1" w:lastRow="0" w:firstColumn="1" w:lastColumn="0" w:noHBand="0" w:noVBand="1"/>
      </w:tblPr>
      <w:tblGrid>
        <w:gridCol w:w="1698"/>
        <w:gridCol w:w="5958"/>
        <w:gridCol w:w="2498"/>
      </w:tblGrid>
      <w:tr w:rsidR="0045656C" w:rsidRPr="00490C53" w14:paraId="399885D7" w14:textId="77777777" w:rsidTr="00A36500">
        <w:trPr>
          <w:cnfStyle w:val="100000000000" w:firstRow="1" w:lastRow="0" w:firstColumn="0" w:lastColumn="0" w:oddVBand="0" w:evenVBand="0" w:oddHBand="0" w:evenHBand="0" w:firstRowFirstColumn="0" w:firstRowLastColumn="0" w:lastRowFirstColumn="0" w:lastRowLastColumn="0"/>
          <w:tblHeader/>
        </w:trPr>
        <w:tc>
          <w:tcPr>
            <w:tcW w:w="836" w:type="pct"/>
            <w:hideMark/>
          </w:tcPr>
          <w:p w14:paraId="3746E3C8" w14:textId="77777777" w:rsidR="0045656C" w:rsidRPr="00490C53" w:rsidRDefault="0045656C">
            <w:pPr>
              <w:pStyle w:val="Tablecolumnheading-inkblue"/>
              <w:rPr>
                <w:color w:val="FFFFFF" w:themeColor="background1"/>
              </w:rPr>
            </w:pPr>
            <w:r w:rsidRPr="00490C53">
              <w:rPr>
                <w:color w:val="FFFFFF" w:themeColor="background1"/>
              </w:rPr>
              <w:t>Variable</w:t>
            </w:r>
          </w:p>
        </w:tc>
        <w:tc>
          <w:tcPr>
            <w:tcW w:w="2934" w:type="pct"/>
            <w:hideMark/>
          </w:tcPr>
          <w:p w14:paraId="359D2E99" w14:textId="77777777" w:rsidR="0045656C" w:rsidRPr="00490C53" w:rsidRDefault="0045656C">
            <w:pPr>
              <w:pStyle w:val="Tablecolumnheading-inkblue"/>
              <w:rPr>
                <w:color w:val="FFFFFF" w:themeColor="background1"/>
              </w:rPr>
            </w:pPr>
            <w:r w:rsidRPr="00490C53">
              <w:rPr>
                <w:color w:val="FFFFFF" w:themeColor="background1"/>
              </w:rPr>
              <w:t>Explanation</w:t>
            </w:r>
          </w:p>
        </w:tc>
        <w:tc>
          <w:tcPr>
            <w:tcW w:w="1231" w:type="pct"/>
            <w:hideMark/>
          </w:tcPr>
          <w:p w14:paraId="6A116D3C" w14:textId="77777777" w:rsidR="0045656C" w:rsidRPr="00490C53" w:rsidRDefault="0045656C">
            <w:pPr>
              <w:pStyle w:val="Tablecolumnheading-inkblue"/>
              <w:rPr>
                <w:color w:val="FFFFFF" w:themeColor="background1"/>
              </w:rPr>
            </w:pPr>
            <w:r w:rsidRPr="00490C53">
              <w:rPr>
                <w:color w:val="FFFFFF" w:themeColor="background1"/>
              </w:rPr>
              <w:t>Source</w:t>
            </w:r>
          </w:p>
        </w:tc>
      </w:tr>
      <w:tr w:rsidR="0045656C" w:rsidRPr="00490C53" w14:paraId="7CC7EE32"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36" w:type="pct"/>
            <w:tcMar>
              <w:top w:w="0" w:type="dxa"/>
              <w:left w:w="108" w:type="dxa"/>
              <w:bottom w:w="0" w:type="dxa"/>
              <w:right w:w="108" w:type="dxa"/>
            </w:tcMar>
            <w:vAlign w:val="center"/>
            <w:hideMark/>
          </w:tcPr>
          <w:p w14:paraId="2B536A4A" w14:textId="77777777" w:rsidR="0045656C" w:rsidRPr="00490C53" w:rsidRDefault="0045656C">
            <w:pPr>
              <w:pStyle w:val="Tabletext"/>
            </w:pPr>
            <w:r w:rsidRPr="00490C53">
              <w:t>Scheme</w:t>
            </w:r>
          </w:p>
        </w:tc>
        <w:tc>
          <w:tcPr>
            <w:tcW w:w="2934" w:type="pct"/>
            <w:tcMar>
              <w:top w:w="0" w:type="dxa"/>
              <w:left w:w="108" w:type="dxa"/>
              <w:bottom w:w="0" w:type="dxa"/>
              <w:right w:w="108" w:type="dxa"/>
            </w:tcMar>
            <w:vAlign w:val="center"/>
            <w:hideMark/>
          </w:tcPr>
          <w:p w14:paraId="3A2162EA" w14:textId="77777777" w:rsidR="0045656C" w:rsidRPr="00490C53" w:rsidRDefault="0045656C">
            <w:pPr>
              <w:pStyle w:val="Tabletext"/>
            </w:pPr>
            <w:r w:rsidRPr="00490C53">
              <w:t xml:space="preserve">Indicates under which </w:t>
            </w:r>
            <w:r w:rsidRPr="00490C53">
              <w:rPr>
                <w:rFonts w:cstheme="minorHAnsi"/>
                <w:szCs w:val="24"/>
              </w:rPr>
              <w:t>Covid-19 Loan Guarantee Scheme</w:t>
            </w:r>
            <w:r w:rsidRPr="00490C53">
              <w:t xml:space="preserve"> borrowers received the loan, and which </w:t>
            </w:r>
            <w:r w:rsidRPr="00490C53">
              <w:rPr>
                <w:rFonts w:cstheme="minorHAnsi"/>
                <w:szCs w:val="24"/>
              </w:rPr>
              <w:t>Covid-19 Loan Guarantee Scheme</w:t>
            </w:r>
            <w:r w:rsidRPr="00490C53">
              <w:t xml:space="preserve"> control businesses were assigned to</w:t>
            </w:r>
          </w:p>
        </w:tc>
        <w:tc>
          <w:tcPr>
            <w:tcW w:w="1231" w:type="pct"/>
            <w:tcMar>
              <w:top w:w="0" w:type="dxa"/>
              <w:left w:w="108" w:type="dxa"/>
              <w:bottom w:w="0" w:type="dxa"/>
              <w:right w:w="108" w:type="dxa"/>
            </w:tcMar>
            <w:vAlign w:val="center"/>
            <w:hideMark/>
          </w:tcPr>
          <w:p w14:paraId="2DDC702B" w14:textId="77777777" w:rsidR="0045656C" w:rsidRPr="00490C53" w:rsidRDefault="0045656C">
            <w:pPr>
              <w:pStyle w:val="Tabletext"/>
              <w:rPr>
                <w:rStyle w:val="Bold"/>
                <w:b w:val="0"/>
                <w:bCs/>
              </w:rPr>
            </w:pPr>
            <w:r w:rsidRPr="24AC6349">
              <w:rPr>
                <w:rStyle w:val="Bold"/>
                <w:b w:val="0"/>
              </w:rPr>
              <w:t>BBB management information and survey data</w:t>
            </w:r>
          </w:p>
        </w:tc>
      </w:tr>
      <w:tr w:rsidR="0045656C" w:rsidRPr="00490C53" w14:paraId="0896959E" w14:textId="77777777" w:rsidTr="00A36500">
        <w:tblPrEx>
          <w:tblCellMar>
            <w:left w:w="108" w:type="dxa"/>
            <w:right w:w="108" w:type="dxa"/>
          </w:tblCellMar>
        </w:tblPrEx>
        <w:tc>
          <w:tcPr>
            <w:tcW w:w="836" w:type="pct"/>
            <w:tcMar>
              <w:top w:w="0" w:type="dxa"/>
              <w:left w:w="108" w:type="dxa"/>
              <w:bottom w:w="0" w:type="dxa"/>
              <w:right w:w="108" w:type="dxa"/>
            </w:tcMar>
            <w:vAlign w:val="center"/>
            <w:hideMark/>
          </w:tcPr>
          <w:p w14:paraId="1D09E66F" w14:textId="77777777" w:rsidR="0045656C" w:rsidRPr="00490C53" w:rsidRDefault="0045656C">
            <w:pPr>
              <w:pStyle w:val="Tabletext"/>
            </w:pPr>
            <w:r w:rsidRPr="00490C53">
              <w:t>Treatment</w:t>
            </w:r>
          </w:p>
        </w:tc>
        <w:tc>
          <w:tcPr>
            <w:tcW w:w="2934" w:type="pct"/>
            <w:tcMar>
              <w:top w:w="0" w:type="dxa"/>
              <w:left w:w="108" w:type="dxa"/>
              <w:bottom w:w="0" w:type="dxa"/>
              <w:right w:w="108" w:type="dxa"/>
            </w:tcMar>
            <w:vAlign w:val="center"/>
            <w:hideMark/>
          </w:tcPr>
          <w:p w14:paraId="1FD9E3F4" w14:textId="77777777" w:rsidR="0045656C" w:rsidRPr="00490C53" w:rsidRDefault="0045656C">
            <w:pPr>
              <w:pStyle w:val="Tabletext"/>
            </w:pPr>
            <w:r w:rsidRPr="00490C53">
              <w:t xml:space="preserve">Indicates whether a business was a borrower of one of the </w:t>
            </w:r>
            <w:r w:rsidRPr="00490C53">
              <w:rPr>
                <w:rFonts w:cstheme="minorHAnsi"/>
                <w:szCs w:val="24"/>
              </w:rPr>
              <w:t>Covid-19 Loan Guarantee Schemes</w:t>
            </w:r>
          </w:p>
        </w:tc>
        <w:tc>
          <w:tcPr>
            <w:tcW w:w="1231" w:type="pct"/>
            <w:tcMar>
              <w:top w:w="0" w:type="dxa"/>
              <w:left w:w="108" w:type="dxa"/>
              <w:bottom w:w="0" w:type="dxa"/>
              <w:right w:w="108" w:type="dxa"/>
            </w:tcMar>
            <w:vAlign w:val="center"/>
            <w:hideMark/>
          </w:tcPr>
          <w:p w14:paraId="050AC0E4" w14:textId="77777777" w:rsidR="0045656C" w:rsidRPr="00490C53" w:rsidRDefault="0045656C">
            <w:pPr>
              <w:pStyle w:val="Tabletext"/>
              <w:rPr>
                <w:rStyle w:val="Bold"/>
                <w:b w:val="0"/>
                <w:bCs/>
              </w:rPr>
            </w:pPr>
            <w:r w:rsidRPr="24AC6349">
              <w:rPr>
                <w:rStyle w:val="Bold"/>
                <w:b w:val="0"/>
              </w:rPr>
              <w:t>BBB management information and survey data</w:t>
            </w:r>
          </w:p>
        </w:tc>
      </w:tr>
      <w:tr w:rsidR="0045656C" w:rsidRPr="00490C53" w14:paraId="05BB7A13"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36" w:type="pct"/>
            <w:tcMar>
              <w:top w:w="0" w:type="dxa"/>
              <w:left w:w="108" w:type="dxa"/>
              <w:bottom w:w="0" w:type="dxa"/>
              <w:right w:w="108" w:type="dxa"/>
            </w:tcMar>
            <w:vAlign w:val="center"/>
            <w:hideMark/>
          </w:tcPr>
          <w:p w14:paraId="13F67703" w14:textId="77777777" w:rsidR="0045656C" w:rsidRPr="00490C53" w:rsidRDefault="0045656C">
            <w:pPr>
              <w:pStyle w:val="Tabletext"/>
            </w:pPr>
            <w:r w:rsidRPr="00490C53">
              <w:t>Region</w:t>
            </w:r>
          </w:p>
        </w:tc>
        <w:tc>
          <w:tcPr>
            <w:tcW w:w="2934" w:type="pct"/>
            <w:tcMar>
              <w:top w:w="0" w:type="dxa"/>
              <w:left w:w="108" w:type="dxa"/>
              <w:bottom w:w="0" w:type="dxa"/>
              <w:right w:w="108" w:type="dxa"/>
            </w:tcMar>
            <w:vAlign w:val="center"/>
          </w:tcPr>
          <w:p w14:paraId="714072CC" w14:textId="77777777" w:rsidR="0045656C" w:rsidRPr="00490C53" w:rsidRDefault="0045656C">
            <w:pPr>
              <w:pStyle w:val="Tabletext"/>
            </w:pPr>
            <w:r w:rsidRPr="00490C53">
              <w:t xml:space="preserve">Businesses operating in the same part of the UK will be more likely to be similar and experience similar local economic conditions to each other than businesses in different parts of the UK. As a result, it would be expected that the region a business is based in may influence its decision to participate in the </w:t>
            </w:r>
            <w:r w:rsidRPr="00490C53">
              <w:rPr>
                <w:rFonts w:cstheme="minorHAnsi"/>
                <w:szCs w:val="24"/>
              </w:rPr>
              <w:t>Covid-19 Loan Guarantee Schemes</w:t>
            </w:r>
            <w:r w:rsidRPr="00490C53">
              <w:t xml:space="preserve">.  </w:t>
            </w:r>
          </w:p>
          <w:p w14:paraId="5080EB9A" w14:textId="77777777" w:rsidR="0045656C" w:rsidRPr="00490C53" w:rsidRDefault="0045656C"/>
        </w:tc>
        <w:tc>
          <w:tcPr>
            <w:tcW w:w="1231" w:type="pct"/>
            <w:tcMar>
              <w:top w:w="0" w:type="dxa"/>
              <w:left w:w="108" w:type="dxa"/>
              <w:bottom w:w="0" w:type="dxa"/>
              <w:right w:w="108" w:type="dxa"/>
            </w:tcMar>
            <w:vAlign w:val="center"/>
            <w:hideMark/>
          </w:tcPr>
          <w:p w14:paraId="7CDB5792" w14:textId="77777777" w:rsidR="0045656C" w:rsidRPr="00236B73" w:rsidRDefault="0045656C">
            <w:pPr>
              <w:rPr>
                <w:rStyle w:val="Bold"/>
                <w:b w:val="0"/>
              </w:rPr>
            </w:pPr>
            <w:r w:rsidRPr="24AC6349">
              <w:rPr>
                <w:rStyle w:val="Bold"/>
                <w:b w:val="0"/>
              </w:rPr>
              <w:t>Survey data</w:t>
            </w:r>
          </w:p>
        </w:tc>
      </w:tr>
      <w:tr w:rsidR="0045656C" w:rsidRPr="00490C53" w14:paraId="7A81EA04" w14:textId="77777777" w:rsidTr="00A36500">
        <w:tblPrEx>
          <w:tblCellMar>
            <w:left w:w="108" w:type="dxa"/>
            <w:right w:w="108" w:type="dxa"/>
          </w:tblCellMar>
        </w:tblPrEx>
        <w:tc>
          <w:tcPr>
            <w:tcW w:w="836" w:type="pct"/>
            <w:tcMar>
              <w:top w:w="0" w:type="dxa"/>
              <w:left w:w="108" w:type="dxa"/>
              <w:bottom w:w="0" w:type="dxa"/>
              <w:right w:w="108" w:type="dxa"/>
            </w:tcMar>
            <w:vAlign w:val="center"/>
            <w:hideMark/>
          </w:tcPr>
          <w:p w14:paraId="0446CC19" w14:textId="77777777" w:rsidR="0045656C" w:rsidRPr="00490C53" w:rsidRDefault="0045656C">
            <w:pPr>
              <w:pStyle w:val="Tabletext"/>
            </w:pPr>
            <w:r w:rsidRPr="00490C53">
              <w:t>Sector</w:t>
            </w:r>
          </w:p>
        </w:tc>
        <w:tc>
          <w:tcPr>
            <w:tcW w:w="2934" w:type="pct"/>
            <w:tcMar>
              <w:top w:w="0" w:type="dxa"/>
              <w:left w:w="108" w:type="dxa"/>
              <w:bottom w:w="0" w:type="dxa"/>
              <w:right w:w="108" w:type="dxa"/>
            </w:tcMar>
            <w:vAlign w:val="center"/>
            <w:hideMark/>
          </w:tcPr>
          <w:p w14:paraId="2B10A078" w14:textId="77777777" w:rsidR="0045656C" w:rsidRPr="00490C53" w:rsidRDefault="0045656C">
            <w:pPr>
              <w:pStyle w:val="Tabletext"/>
            </w:pPr>
            <w:r w:rsidRPr="00490C53">
              <w:t>Businesses operating in the same sector will be more likely to face similar challenges and trading conditions.</w:t>
            </w:r>
            <w:r w:rsidRPr="00490C53">
              <w:rPr>
                <w:rStyle w:val="FootnoteReference"/>
              </w:rPr>
              <w:footnoteReference w:id="137"/>
            </w:r>
          </w:p>
        </w:tc>
        <w:tc>
          <w:tcPr>
            <w:tcW w:w="1231" w:type="pct"/>
            <w:tcMar>
              <w:top w:w="0" w:type="dxa"/>
              <w:left w:w="108" w:type="dxa"/>
              <w:bottom w:w="0" w:type="dxa"/>
              <w:right w:w="108" w:type="dxa"/>
            </w:tcMar>
            <w:vAlign w:val="center"/>
            <w:hideMark/>
          </w:tcPr>
          <w:p w14:paraId="37E8D6B7" w14:textId="77777777" w:rsidR="0045656C" w:rsidRPr="00490C53" w:rsidRDefault="0045656C">
            <w:pPr>
              <w:pStyle w:val="Tabletext"/>
              <w:rPr>
                <w:rStyle w:val="Bold"/>
                <w:b w:val="0"/>
                <w:bCs/>
              </w:rPr>
            </w:pPr>
            <w:r w:rsidRPr="24AC6349">
              <w:rPr>
                <w:rStyle w:val="Bold"/>
                <w:b w:val="0"/>
              </w:rPr>
              <w:t>Survey data</w:t>
            </w:r>
          </w:p>
        </w:tc>
      </w:tr>
      <w:tr w:rsidR="0045656C" w:rsidRPr="00490C53" w14:paraId="2F35F305"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36" w:type="pct"/>
            <w:tcMar>
              <w:top w:w="0" w:type="dxa"/>
              <w:left w:w="108" w:type="dxa"/>
              <w:bottom w:w="0" w:type="dxa"/>
              <w:right w:w="108" w:type="dxa"/>
            </w:tcMar>
            <w:vAlign w:val="center"/>
            <w:hideMark/>
          </w:tcPr>
          <w:p w14:paraId="64FB9CDA" w14:textId="77777777" w:rsidR="0045656C" w:rsidRPr="00490C53" w:rsidRDefault="0045656C">
            <w:pPr>
              <w:pStyle w:val="Tabletext"/>
            </w:pPr>
            <w:r w:rsidRPr="00490C53">
              <w:lastRenderedPageBreak/>
              <w:t>Size prior to the pandemic</w:t>
            </w:r>
          </w:p>
        </w:tc>
        <w:tc>
          <w:tcPr>
            <w:tcW w:w="2934" w:type="pct"/>
            <w:tcMar>
              <w:top w:w="0" w:type="dxa"/>
              <w:left w:w="108" w:type="dxa"/>
              <w:bottom w:w="0" w:type="dxa"/>
              <w:right w:w="108" w:type="dxa"/>
            </w:tcMar>
            <w:vAlign w:val="center"/>
            <w:hideMark/>
          </w:tcPr>
          <w:p w14:paraId="23BD4BB6" w14:textId="77777777" w:rsidR="0045656C" w:rsidRPr="00490C53" w:rsidRDefault="0045656C">
            <w:pPr>
              <w:pStyle w:val="Tabletext"/>
            </w:pPr>
            <w:r w:rsidRPr="00490C53">
              <w:t>Businesses of different sizes will have different considerations in terms of the kinds of challenges they face and their response to the pandemic. Two different measures of size were used (number of staff and turnover), measured at the end of the last financial year before the pandemic. This information was collected as part of the survey.</w:t>
            </w:r>
            <w:r w:rsidRPr="00490C53">
              <w:rPr>
                <w:rStyle w:val="FootnoteReference"/>
              </w:rPr>
              <w:footnoteReference w:id="138"/>
            </w:r>
          </w:p>
        </w:tc>
        <w:tc>
          <w:tcPr>
            <w:tcW w:w="1231" w:type="pct"/>
            <w:tcMar>
              <w:top w:w="0" w:type="dxa"/>
              <w:left w:w="108" w:type="dxa"/>
              <w:bottom w:w="0" w:type="dxa"/>
              <w:right w:w="108" w:type="dxa"/>
            </w:tcMar>
            <w:vAlign w:val="center"/>
            <w:hideMark/>
          </w:tcPr>
          <w:p w14:paraId="300E49E7" w14:textId="77777777" w:rsidR="0045656C" w:rsidRPr="00490C53" w:rsidRDefault="0045656C">
            <w:pPr>
              <w:pStyle w:val="Tabletext"/>
              <w:rPr>
                <w:rStyle w:val="Bold"/>
                <w:b w:val="0"/>
                <w:bCs/>
                <w:color w:val="auto"/>
              </w:rPr>
            </w:pPr>
            <w:r w:rsidRPr="24AC6349">
              <w:rPr>
                <w:rStyle w:val="Bold"/>
                <w:b w:val="0"/>
              </w:rPr>
              <w:t>Survey data</w:t>
            </w:r>
          </w:p>
        </w:tc>
      </w:tr>
      <w:tr w:rsidR="0045656C" w:rsidRPr="00490C53" w14:paraId="2FAC591D" w14:textId="77777777" w:rsidTr="00A36500">
        <w:tblPrEx>
          <w:tblCellMar>
            <w:left w:w="108" w:type="dxa"/>
            <w:right w:w="108" w:type="dxa"/>
          </w:tblCellMar>
        </w:tblPrEx>
        <w:tc>
          <w:tcPr>
            <w:tcW w:w="836" w:type="pct"/>
            <w:tcMar>
              <w:top w:w="0" w:type="dxa"/>
              <w:left w:w="108" w:type="dxa"/>
              <w:bottom w:w="0" w:type="dxa"/>
              <w:right w:w="108" w:type="dxa"/>
            </w:tcMar>
            <w:vAlign w:val="center"/>
            <w:hideMark/>
          </w:tcPr>
          <w:p w14:paraId="43B8C0F6" w14:textId="77777777" w:rsidR="0045656C" w:rsidRPr="00490C53" w:rsidRDefault="0045656C">
            <w:pPr>
              <w:pStyle w:val="Tabletext"/>
            </w:pPr>
            <w:r w:rsidRPr="00490C53">
              <w:t>Age</w:t>
            </w:r>
          </w:p>
        </w:tc>
        <w:tc>
          <w:tcPr>
            <w:tcW w:w="2934" w:type="pct"/>
            <w:tcMar>
              <w:top w:w="0" w:type="dxa"/>
              <w:left w:w="108" w:type="dxa"/>
              <w:bottom w:w="0" w:type="dxa"/>
              <w:right w:w="108" w:type="dxa"/>
            </w:tcMar>
            <w:vAlign w:val="center"/>
            <w:hideMark/>
          </w:tcPr>
          <w:p w14:paraId="21CF7569" w14:textId="235A5235" w:rsidR="0045656C" w:rsidRPr="00490C53" w:rsidRDefault="0045656C">
            <w:pPr>
              <w:pStyle w:val="Tabletext"/>
            </w:pPr>
            <w:r w:rsidRPr="00490C53">
              <w:t>More established businesses are likely to be impacted differently than nascent businesses and similarly are likely to have different responses to the adversity of the pandemic. As part of the survey businesses were asked how many years</w:t>
            </w:r>
            <w:r w:rsidRPr="00490C53">
              <w:rPr>
                <w:rStyle w:val="FootnoteReference"/>
              </w:rPr>
              <w:footnoteReference w:id="139"/>
            </w:r>
            <w:r w:rsidRPr="00490C53">
              <w:t xml:space="preserve"> their business had been trading.</w:t>
            </w:r>
            <w:r w:rsidRPr="00490C53">
              <w:rPr>
                <w:rStyle w:val="FootnoteReference"/>
              </w:rPr>
              <w:footnoteReference w:id="140"/>
            </w:r>
            <w:r w:rsidRPr="00490C53">
              <w:t xml:space="preserve"> For the propensity score matching, the first 6 bands (</w:t>
            </w:r>
            <w:proofErr w:type="gramStart"/>
            <w:r w:rsidRPr="00490C53">
              <w:t>i.e.</w:t>
            </w:r>
            <w:proofErr w:type="gramEnd"/>
            <w:r w:rsidRPr="00490C53">
              <w:t xml:space="preserve"> up to and including 5 years) were combined in order to boost the sample size for this category.</w:t>
            </w:r>
          </w:p>
        </w:tc>
        <w:tc>
          <w:tcPr>
            <w:tcW w:w="1231" w:type="pct"/>
            <w:tcMar>
              <w:top w:w="0" w:type="dxa"/>
              <w:left w:w="108" w:type="dxa"/>
              <w:bottom w:w="0" w:type="dxa"/>
              <w:right w:w="108" w:type="dxa"/>
            </w:tcMar>
            <w:vAlign w:val="center"/>
            <w:hideMark/>
          </w:tcPr>
          <w:p w14:paraId="2ED80108" w14:textId="77777777" w:rsidR="0045656C" w:rsidRPr="00490C53" w:rsidRDefault="0045656C">
            <w:pPr>
              <w:pStyle w:val="Tabletext"/>
              <w:rPr>
                <w:rStyle w:val="Bold"/>
                <w:b w:val="0"/>
                <w:bCs/>
                <w:color w:val="auto"/>
              </w:rPr>
            </w:pPr>
            <w:r w:rsidRPr="24AC6349">
              <w:rPr>
                <w:rStyle w:val="Bold"/>
                <w:b w:val="0"/>
              </w:rPr>
              <w:t>Survey data</w:t>
            </w:r>
          </w:p>
        </w:tc>
      </w:tr>
      <w:tr w:rsidR="0045656C" w:rsidRPr="00490C53" w14:paraId="461DBDA7" w14:textId="77777777" w:rsidTr="00A3650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36" w:type="pct"/>
            <w:tcBorders>
              <w:top w:val="nil"/>
              <w:left w:val="nil"/>
              <w:bottom w:val="single" w:sz="4" w:space="0" w:color="0054BA" w:themeColor="accent2"/>
              <w:right w:val="nil"/>
            </w:tcBorders>
            <w:tcMar>
              <w:top w:w="0" w:type="dxa"/>
              <w:left w:w="108" w:type="dxa"/>
              <w:bottom w:w="0" w:type="dxa"/>
              <w:right w:w="108" w:type="dxa"/>
            </w:tcMar>
            <w:vAlign w:val="center"/>
            <w:hideMark/>
          </w:tcPr>
          <w:p w14:paraId="4B230465" w14:textId="365004D6" w:rsidR="0045656C" w:rsidRPr="00490C53" w:rsidRDefault="0045656C">
            <w:pPr>
              <w:pStyle w:val="Tabletext"/>
            </w:pPr>
            <w:r w:rsidRPr="00490C53">
              <w:t>Business obstacles</w:t>
            </w:r>
            <w:r w:rsidR="00901BD4">
              <w:t xml:space="preserve"> (interruptions)</w:t>
            </w:r>
          </w:p>
        </w:tc>
        <w:tc>
          <w:tcPr>
            <w:tcW w:w="2934" w:type="pct"/>
            <w:tcBorders>
              <w:top w:val="nil"/>
              <w:left w:val="nil"/>
              <w:bottom w:val="single" w:sz="4" w:space="0" w:color="0054BA" w:themeColor="accent2"/>
              <w:right w:val="nil"/>
            </w:tcBorders>
            <w:tcMar>
              <w:top w:w="0" w:type="dxa"/>
              <w:left w:w="108" w:type="dxa"/>
              <w:bottom w:w="0" w:type="dxa"/>
              <w:right w:w="108" w:type="dxa"/>
            </w:tcMar>
            <w:vAlign w:val="center"/>
            <w:hideMark/>
          </w:tcPr>
          <w:p w14:paraId="196C6CB6" w14:textId="5B107519" w:rsidR="0045656C" w:rsidRPr="00490C53" w:rsidRDefault="0045656C">
            <w:pPr>
              <w:pStyle w:val="Tabletext"/>
            </w:pPr>
            <w:r w:rsidRPr="00490C53">
              <w:t>The different kinds of obstacles</w:t>
            </w:r>
            <w:r w:rsidR="00901BD4">
              <w:t xml:space="preserve"> </w:t>
            </w:r>
            <w:r w:rsidRPr="00490C53">
              <w:t xml:space="preserve">faced by businesses because of the pandemic are likely to have affected their response strategy and business performance (as measured by turnover and employment). As a result, it is useful to include these obstacles in the PSM to help ensure that the trajectory of the treatment and control groups absent the intervention is the same </w:t>
            </w:r>
            <w:r w:rsidRPr="00490C53">
              <w:lastRenderedPageBreak/>
              <w:t>(common trends). The obstacles included are market demand, supply chain disruption,</w:t>
            </w:r>
            <w:r w:rsidRPr="00490C53">
              <w:rPr>
                <w:rStyle w:val="FootnoteReference"/>
              </w:rPr>
              <w:footnoteReference w:id="141"/>
            </w:r>
            <w:r w:rsidRPr="00490C53">
              <w:t xml:space="preserve"> late payment, access to external finance, availability of staff and changes needed for Covid-19 compliance.</w:t>
            </w:r>
          </w:p>
          <w:p w14:paraId="6F9349AC" w14:textId="77777777" w:rsidR="0045656C" w:rsidRPr="00490C53" w:rsidRDefault="0045656C">
            <w:pPr>
              <w:pStyle w:val="Tabletext"/>
            </w:pPr>
            <w:r w:rsidRPr="00490C53">
              <w:t xml:space="preserve">This data was collected as part of the survey, in which each business was asked whether each of the obstacles was a major obstacle, a minor obstacle or no obstacle at all. </w:t>
            </w:r>
          </w:p>
          <w:p w14:paraId="007E373C" w14:textId="77777777" w:rsidR="0045656C" w:rsidRPr="00490C53" w:rsidRDefault="0045656C">
            <w:pPr>
              <w:pStyle w:val="Tabletext"/>
            </w:pPr>
            <w:r w:rsidRPr="00490C53">
              <w:t>These responses were then converted into a series of dummy variables indicating whether each obstacle was identified as major.</w:t>
            </w:r>
          </w:p>
        </w:tc>
        <w:tc>
          <w:tcPr>
            <w:tcW w:w="1231" w:type="pct"/>
            <w:tcBorders>
              <w:top w:val="nil"/>
              <w:left w:val="nil"/>
              <w:bottom w:val="single" w:sz="4" w:space="0" w:color="0054BA" w:themeColor="accent2"/>
              <w:right w:val="nil"/>
            </w:tcBorders>
            <w:tcMar>
              <w:top w:w="0" w:type="dxa"/>
              <w:left w:w="108" w:type="dxa"/>
              <w:bottom w:w="0" w:type="dxa"/>
              <w:right w:w="108" w:type="dxa"/>
            </w:tcMar>
            <w:vAlign w:val="center"/>
            <w:hideMark/>
          </w:tcPr>
          <w:p w14:paraId="0519B412" w14:textId="77777777" w:rsidR="0045656C" w:rsidRPr="00490C53" w:rsidRDefault="0045656C">
            <w:pPr>
              <w:pStyle w:val="Tabletext"/>
              <w:rPr>
                <w:rStyle w:val="Bold"/>
                <w:b w:val="0"/>
                <w:bCs/>
              </w:rPr>
            </w:pPr>
            <w:r w:rsidRPr="24AC6349">
              <w:rPr>
                <w:rStyle w:val="Bold"/>
                <w:b w:val="0"/>
              </w:rPr>
              <w:lastRenderedPageBreak/>
              <w:t>Survey data</w:t>
            </w:r>
          </w:p>
        </w:tc>
      </w:tr>
    </w:tbl>
    <w:p w14:paraId="3E220C73" w14:textId="691DC222" w:rsidR="00D40B9F" w:rsidRPr="00490C53" w:rsidRDefault="00D40B9F" w:rsidP="00D40B9F">
      <w:pPr>
        <w:pStyle w:val="Heading5"/>
      </w:pPr>
      <w:bookmarkStart w:id="269" w:name="_Ref92915681"/>
      <w:r w:rsidRPr="00490C53">
        <w:t xml:space="preserve">Table </w:t>
      </w:r>
      <w:r w:rsidR="00B6604F" w:rsidRPr="00846F78">
        <w:fldChar w:fldCharType="begin"/>
      </w:r>
      <w:r w:rsidR="00B6604F" w:rsidRPr="00490C53">
        <w:instrText xml:space="preserve"> SEQ Table \* ARABIC </w:instrText>
      </w:r>
      <w:r w:rsidR="00B6604F" w:rsidRPr="00846F78">
        <w:fldChar w:fldCharType="separate"/>
      </w:r>
      <w:r w:rsidR="00397D49">
        <w:rPr>
          <w:noProof/>
        </w:rPr>
        <w:t>26</w:t>
      </w:r>
      <w:r w:rsidR="00B6604F" w:rsidRPr="00846F78">
        <w:fldChar w:fldCharType="end"/>
      </w:r>
      <w:bookmarkEnd w:id="269"/>
      <w:r w:rsidRPr="00490C53">
        <w:t>: Variables used the fixed effects regression</w:t>
      </w:r>
    </w:p>
    <w:tbl>
      <w:tblPr>
        <w:tblStyle w:val="TableGrid"/>
        <w:tblW w:w="5000" w:type="pct"/>
        <w:tblLook w:val="04A0" w:firstRow="1" w:lastRow="0" w:firstColumn="1" w:lastColumn="0" w:noHBand="0" w:noVBand="1"/>
      </w:tblPr>
      <w:tblGrid>
        <w:gridCol w:w="1604"/>
        <w:gridCol w:w="7177"/>
        <w:gridCol w:w="1373"/>
      </w:tblGrid>
      <w:tr w:rsidR="00D40B9F" w:rsidRPr="00490C53" w14:paraId="5629482F" w14:textId="77777777" w:rsidTr="002D323B">
        <w:trPr>
          <w:cnfStyle w:val="100000000000" w:firstRow="1" w:lastRow="0" w:firstColumn="0" w:lastColumn="0" w:oddVBand="0" w:evenVBand="0" w:oddHBand="0" w:evenHBand="0" w:firstRowFirstColumn="0" w:firstRowLastColumn="0" w:lastRowFirstColumn="0" w:lastRowLastColumn="0"/>
          <w:tblHeader/>
        </w:trPr>
        <w:tc>
          <w:tcPr>
            <w:tcW w:w="0" w:type="pct"/>
            <w:hideMark/>
          </w:tcPr>
          <w:p w14:paraId="3B447F1B" w14:textId="77777777" w:rsidR="00D40B9F" w:rsidRPr="00490C53" w:rsidRDefault="00D40B9F">
            <w:pPr>
              <w:pStyle w:val="Tablecolumnheading-inkblue"/>
              <w:rPr>
                <w:color w:val="FFFFFF" w:themeColor="background1"/>
              </w:rPr>
            </w:pPr>
            <w:r w:rsidRPr="00490C53">
              <w:rPr>
                <w:color w:val="FFFFFF" w:themeColor="background1"/>
              </w:rPr>
              <w:t>Variable</w:t>
            </w:r>
          </w:p>
        </w:tc>
        <w:tc>
          <w:tcPr>
            <w:tcW w:w="3232" w:type="pct"/>
            <w:hideMark/>
          </w:tcPr>
          <w:p w14:paraId="4DCCF4CB" w14:textId="77777777" w:rsidR="00D40B9F" w:rsidRPr="00490C53" w:rsidRDefault="00D40B9F">
            <w:pPr>
              <w:pStyle w:val="Tablecolumnheading-inkblue"/>
              <w:rPr>
                <w:color w:val="FFFFFF" w:themeColor="background1"/>
              </w:rPr>
            </w:pPr>
            <w:r w:rsidRPr="00490C53">
              <w:rPr>
                <w:color w:val="FFFFFF" w:themeColor="background1"/>
              </w:rPr>
              <w:t>Explanation</w:t>
            </w:r>
          </w:p>
        </w:tc>
        <w:tc>
          <w:tcPr>
            <w:tcW w:w="881" w:type="pct"/>
            <w:hideMark/>
          </w:tcPr>
          <w:p w14:paraId="4AD7DC3F" w14:textId="77777777" w:rsidR="00D40B9F" w:rsidRPr="00490C53" w:rsidRDefault="00D40B9F">
            <w:pPr>
              <w:pStyle w:val="Tablecolumnheading-inkblue"/>
              <w:rPr>
                <w:color w:val="FFFFFF" w:themeColor="background1"/>
              </w:rPr>
            </w:pPr>
            <w:r w:rsidRPr="00490C53">
              <w:rPr>
                <w:color w:val="FFFFFF" w:themeColor="background1"/>
              </w:rPr>
              <w:t>Source</w:t>
            </w:r>
          </w:p>
        </w:tc>
      </w:tr>
      <w:tr w:rsidR="00D40B9F" w:rsidRPr="00490C53" w14:paraId="39A2D787" w14:textId="77777777" w:rsidTr="002D323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pct"/>
            <w:tcMar>
              <w:top w:w="0" w:type="dxa"/>
              <w:left w:w="108" w:type="dxa"/>
              <w:bottom w:w="0" w:type="dxa"/>
              <w:right w:w="108" w:type="dxa"/>
            </w:tcMar>
            <w:vAlign w:val="center"/>
            <w:hideMark/>
          </w:tcPr>
          <w:p w14:paraId="08C3111D" w14:textId="77777777" w:rsidR="00D40B9F" w:rsidRPr="00490C53" w:rsidRDefault="00D40B9F">
            <w:pPr>
              <w:pStyle w:val="Tabletext"/>
            </w:pPr>
            <w:r w:rsidRPr="00490C53">
              <w:t>Business outcomes (turnover</w:t>
            </w:r>
            <w:bookmarkStart w:id="270" w:name="_Ref92912571"/>
            <w:r w:rsidRPr="00490C53">
              <w:rPr>
                <w:rStyle w:val="FootnoteReference"/>
              </w:rPr>
              <w:footnoteReference w:id="142"/>
            </w:r>
            <w:bookmarkEnd w:id="270"/>
            <w:r w:rsidRPr="00490C53">
              <w:t xml:space="preserve"> and employment)</w:t>
            </w:r>
          </w:p>
        </w:tc>
        <w:tc>
          <w:tcPr>
            <w:tcW w:w="3232" w:type="pct"/>
            <w:tcMar>
              <w:top w:w="0" w:type="dxa"/>
              <w:left w:w="108" w:type="dxa"/>
              <w:bottom w:w="0" w:type="dxa"/>
              <w:right w:w="108" w:type="dxa"/>
            </w:tcMar>
            <w:vAlign w:val="center"/>
            <w:hideMark/>
          </w:tcPr>
          <w:p w14:paraId="3E743770" w14:textId="05481C01" w:rsidR="00D40B9F" w:rsidRPr="00490C53" w:rsidRDefault="00D40B9F">
            <w:pPr>
              <w:pStyle w:val="Tabletext"/>
            </w:pPr>
            <w:r w:rsidRPr="00490C53">
              <w:t xml:space="preserve">These were collected related to the </w:t>
            </w:r>
            <w:r w:rsidR="00886BE7" w:rsidRPr="00490C53">
              <w:t>last financial year before the pandemic and the two financial years following the onset of the pandemic</w:t>
            </w:r>
            <w:r w:rsidR="00194695" w:rsidRPr="00490C53">
              <w:t>.</w:t>
            </w:r>
            <w:r w:rsidRPr="00490C53">
              <w:rPr>
                <w:rStyle w:val="FootnoteReference"/>
              </w:rPr>
              <w:footnoteReference w:id="143"/>
            </w:r>
            <w:r w:rsidRPr="00490C53">
              <w:t xml:space="preserve"> A log transformation was then applied to these variables for the </w:t>
            </w:r>
            <w:r w:rsidR="00886BE7" w:rsidRPr="00490C53">
              <w:t>fixed effects</w:t>
            </w:r>
            <w:r w:rsidRPr="00490C53">
              <w:t xml:space="preserve"> regression.</w:t>
            </w:r>
          </w:p>
        </w:tc>
        <w:tc>
          <w:tcPr>
            <w:tcW w:w="881" w:type="pct"/>
            <w:tcMar>
              <w:top w:w="0" w:type="dxa"/>
              <w:left w:w="108" w:type="dxa"/>
              <w:bottom w:w="0" w:type="dxa"/>
              <w:right w:w="108" w:type="dxa"/>
            </w:tcMar>
            <w:vAlign w:val="center"/>
            <w:hideMark/>
          </w:tcPr>
          <w:p w14:paraId="0B7F9C7B" w14:textId="77777777" w:rsidR="00D40B9F" w:rsidRPr="00490C53" w:rsidRDefault="00D40B9F">
            <w:pPr>
              <w:pStyle w:val="Tabletext"/>
              <w:rPr>
                <w:rStyle w:val="Bold"/>
                <w:b w:val="0"/>
                <w:bCs/>
              </w:rPr>
            </w:pPr>
            <w:r w:rsidRPr="6923E0AC">
              <w:rPr>
                <w:rStyle w:val="Bold"/>
                <w:b w:val="0"/>
              </w:rPr>
              <w:t>Survey data</w:t>
            </w:r>
          </w:p>
        </w:tc>
      </w:tr>
      <w:tr w:rsidR="00D40B9F" w:rsidRPr="00490C53" w14:paraId="1D5A464C" w14:textId="77777777" w:rsidTr="002D323B">
        <w:tblPrEx>
          <w:tblCellMar>
            <w:left w:w="108" w:type="dxa"/>
            <w:right w:w="108" w:type="dxa"/>
          </w:tblCellMar>
        </w:tblPrEx>
        <w:tc>
          <w:tcPr>
            <w:tcW w:w="0" w:type="pct"/>
            <w:tcMar>
              <w:top w:w="0" w:type="dxa"/>
              <w:left w:w="108" w:type="dxa"/>
              <w:bottom w:w="0" w:type="dxa"/>
              <w:right w:w="108" w:type="dxa"/>
            </w:tcMar>
            <w:vAlign w:val="center"/>
            <w:hideMark/>
          </w:tcPr>
          <w:p w14:paraId="37331C67" w14:textId="77777777" w:rsidR="00D40B9F" w:rsidRPr="00490C53" w:rsidRDefault="00D40B9F">
            <w:pPr>
              <w:pStyle w:val="Tabletext"/>
            </w:pPr>
            <w:r w:rsidRPr="00490C53">
              <w:t>Treatment</w:t>
            </w:r>
          </w:p>
        </w:tc>
        <w:tc>
          <w:tcPr>
            <w:tcW w:w="3232" w:type="pct"/>
            <w:tcMar>
              <w:top w:w="0" w:type="dxa"/>
              <w:left w:w="108" w:type="dxa"/>
              <w:bottom w:w="0" w:type="dxa"/>
              <w:right w:w="108" w:type="dxa"/>
            </w:tcMar>
            <w:vAlign w:val="center"/>
            <w:hideMark/>
          </w:tcPr>
          <w:p w14:paraId="3ED56466" w14:textId="0CDD3853" w:rsidR="00D40B9F" w:rsidRPr="00490C53" w:rsidRDefault="00D40B9F">
            <w:pPr>
              <w:pStyle w:val="Tabletext"/>
            </w:pPr>
            <w:r w:rsidRPr="00490C53">
              <w:t xml:space="preserve">See </w:t>
            </w:r>
            <w:r w:rsidR="00E1675C" w:rsidRPr="00490C53">
              <w:fldChar w:fldCharType="begin"/>
            </w:r>
            <w:r w:rsidR="00E1675C" w:rsidRPr="00490C53">
              <w:instrText xml:space="preserve"> REF _Ref92911788 \h </w:instrText>
            </w:r>
            <w:r w:rsidR="00E1675C" w:rsidRPr="00490C53">
              <w:fldChar w:fldCharType="separate"/>
            </w:r>
            <w:r w:rsidR="00397D49" w:rsidRPr="00490C53">
              <w:t xml:space="preserve">Table </w:t>
            </w:r>
            <w:r w:rsidR="00397D49">
              <w:rPr>
                <w:noProof/>
              </w:rPr>
              <w:t>25</w:t>
            </w:r>
            <w:r w:rsidR="00E1675C" w:rsidRPr="00490C53">
              <w:fldChar w:fldCharType="end"/>
            </w:r>
            <w:r w:rsidRPr="00490C53">
              <w:t xml:space="preserve"> above</w:t>
            </w:r>
          </w:p>
        </w:tc>
        <w:tc>
          <w:tcPr>
            <w:tcW w:w="881" w:type="pct"/>
            <w:tcMar>
              <w:top w:w="0" w:type="dxa"/>
              <w:left w:w="108" w:type="dxa"/>
              <w:bottom w:w="0" w:type="dxa"/>
              <w:right w:w="108" w:type="dxa"/>
            </w:tcMar>
            <w:vAlign w:val="center"/>
            <w:hideMark/>
          </w:tcPr>
          <w:p w14:paraId="1B7973C0" w14:textId="77777777" w:rsidR="00D40B9F" w:rsidRPr="00490C53" w:rsidRDefault="00D40B9F">
            <w:pPr>
              <w:pStyle w:val="Tabletext"/>
              <w:rPr>
                <w:rStyle w:val="Bold"/>
                <w:b w:val="0"/>
                <w:bCs/>
              </w:rPr>
            </w:pPr>
            <w:r w:rsidRPr="6923E0AC">
              <w:rPr>
                <w:rStyle w:val="Bold"/>
                <w:b w:val="0"/>
              </w:rPr>
              <w:t>Survey data</w:t>
            </w:r>
          </w:p>
        </w:tc>
      </w:tr>
      <w:tr w:rsidR="00D40B9F" w:rsidRPr="00490C53" w14:paraId="13FE3904" w14:textId="77777777" w:rsidTr="002D323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pct"/>
            <w:tcMar>
              <w:top w:w="0" w:type="dxa"/>
              <w:left w:w="108" w:type="dxa"/>
              <w:bottom w:w="0" w:type="dxa"/>
              <w:right w:w="108" w:type="dxa"/>
            </w:tcMar>
            <w:vAlign w:val="center"/>
            <w:hideMark/>
          </w:tcPr>
          <w:p w14:paraId="2B479845" w14:textId="77777777" w:rsidR="00D40B9F" w:rsidRPr="00490C53" w:rsidRDefault="00D40B9F">
            <w:pPr>
              <w:pStyle w:val="Tabletext"/>
            </w:pPr>
            <w:r w:rsidRPr="00490C53">
              <w:lastRenderedPageBreak/>
              <w:t>Region</w:t>
            </w:r>
          </w:p>
        </w:tc>
        <w:tc>
          <w:tcPr>
            <w:tcW w:w="3232" w:type="pct"/>
            <w:tcMar>
              <w:top w:w="0" w:type="dxa"/>
              <w:left w:w="108" w:type="dxa"/>
              <w:bottom w:w="0" w:type="dxa"/>
              <w:right w:w="108" w:type="dxa"/>
            </w:tcMar>
            <w:vAlign w:val="center"/>
            <w:hideMark/>
          </w:tcPr>
          <w:p w14:paraId="74A94D8E" w14:textId="62B83EB3" w:rsidR="00D40B9F" w:rsidRPr="00490C53" w:rsidRDefault="00D40B9F">
            <w:pPr>
              <w:pStyle w:val="Tabletext"/>
            </w:pPr>
            <w:r w:rsidRPr="00490C53">
              <w:t xml:space="preserve">See </w:t>
            </w:r>
            <w:r w:rsidR="00E1675C" w:rsidRPr="00490C53">
              <w:fldChar w:fldCharType="begin"/>
            </w:r>
            <w:r w:rsidR="00E1675C" w:rsidRPr="00490C53">
              <w:instrText xml:space="preserve"> REF _Ref92911788 \h </w:instrText>
            </w:r>
            <w:r w:rsidR="00E1675C" w:rsidRPr="00490C53">
              <w:fldChar w:fldCharType="separate"/>
            </w:r>
            <w:r w:rsidR="00397D49" w:rsidRPr="00490C53">
              <w:t xml:space="preserve">Table </w:t>
            </w:r>
            <w:r w:rsidR="00397D49">
              <w:rPr>
                <w:noProof/>
              </w:rPr>
              <w:t>25</w:t>
            </w:r>
            <w:r w:rsidR="00E1675C" w:rsidRPr="00490C53">
              <w:fldChar w:fldCharType="end"/>
            </w:r>
            <w:r w:rsidRPr="00490C53">
              <w:t xml:space="preserve"> above</w:t>
            </w:r>
          </w:p>
        </w:tc>
        <w:tc>
          <w:tcPr>
            <w:tcW w:w="881" w:type="pct"/>
            <w:tcMar>
              <w:top w:w="0" w:type="dxa"/>
              <w:left w:w="108" w:type="dxa"/>
              <w:bottom w:w="0" w:type="dxa"/>
              <w:right w:w="108" w:type="dxa"/>
            </w:tcMar>
            <w:vAlign w:val="center"/>
            <w:hideMark/>
          </w:tcPr>
          <w:p w14:paraId="1E112D29" w14:textId="77777777" w:rsidR="00D40B9F" w:rsidRPr="00490C53" w:rsidRDefault="00D40B9F">
            <w:pPr>
              <w:pStyle w:val="Tabletext"/>
              <w:rPr>
                <w:rStyle w:val="Bold"/>
                <w:b w:val="0"/>
                <w:bCs/>
              </w:rPr>
            </w:pPr>
            <w:r w:rsidRPr="6923E0AC">
              <w:rPr>
                <w:rStyle w:val="Bold"/>
                <w:b w:val="0"/>
              </w:rPr>
              <w:t>Survey data</w:t>
            </w:r>
          </w:p>
        </w:tc>
      </w:tr>
      <w:tr w:rsidR="00D40B9F" w:rsidRPr="00490C53" w14:paraId="202DA5E5" w14:textId="77777777" w:rsidTr="002D323B">
        <w:tblPrEx>
          <w:tblCellMar>
            <w:left w:w="108" w:type="dxa"/>
            <w:right w:w="108" w:type="dxa"/>
          </w:tblCellMar>
        </w:tblPrEx>
        <w:tc>
          <w:tcPr>
            <w:tcW w:w="0" w:type="pct"/>
            <w:tcMar>
              <w:top w:w="0" w:type="dxa"/>
              <w:left w:w="108" w:type="dxa"/>
              <w:bottom w:w="0" w:type="dxa"/>
              <w:right w:w="108" w:type="dxa"/>
            </w:tcMar>
            <w:vAlign w:val="center"/>
            <w:hideMark/>
          </w:tcPr>
          <w:p w14:paraId="1ADE0DFF" w14:textId="77777777" w:rsidR="00D40B9F" w:rsidRPr="00490C53" w:rsidRDefault="00D40B9F">
            <w:pPr>
              <w:pStyle w:val="Tabletext"/>
            </w:pPr>
            <w:r w:rsidRPr="00490C53">
              <w:t>Sector</w:t>
            </w:r>
          </w:p>
        </w:tc>
        <w:tc>
          <w:tcPr>
            <w:tcW w:w="3232" w:type="pct"/>
            <w:tcMar>
              <w:top w:w="0" w:type="dxa"/>
              <w:left w:w="108" w:type="dxa"/>
              <w:bottom w:w="0" w:type="dxa"/>
              <w:right w:w="108" w:type="dxa"/>
            </w:tcMar>
            <w:vAlign w:val="center"/>
            <w:hideMark/>
          </w:tcPr>
          <w:p w14:paraId="53CBA44F" w14:textId="2C006199" w:rsidR="00D40B9F" w:rsidRPr="00490C53" w:rsidRDefault="00D40B9F">
            <w:pPr>
              <w:pStyle w:val="Tabletext"/>
            </w:pPr>
            <w:r w:rsidRPr="00490C53">
              <w:t xml:space="preserve">See </w:t>
            </w:r>
            <w:r w:rsidR="00E1675C" w:rsidRPr="00490C53">
              <w:fldChar w:fldCharType="begin"/>
            </w:r>
            <w:r w:rsidR="00E1675C" w:rsidRPr="00490C53">
              <w:instrText xml:space="preserve"> REF _Ref92911788 \h </w:instrText>
            </w:r>
            <w:r w:rsidR="00E1675C" w:rsidRPr="00490C53">
              <w:fldChar w:fldCharType="separate"/>
            </w:r>
            <w:r w:rsidR="00397D49" w:rsidRPr="00490C53">
              <w:t xml:space="preserve">Table </w:t>
            </w:r>
            <w:r w:rsidR="00397D49">
              <w:rPr>
                <w:noProof/>
              </w:rPr>
              <w:t>25</w:t>
            </w:r>
            <w:r w:rsidR="00E1675C" w:rsidRPr="00490C53">
              <w:fldChar w:fldCharType="end"/>
            </w:r>
            <w:r w:rsidRPr="00490C53">
              <w:t xml:space="preserve"> above</w:t>
            </w:r>
          </w:p>
        </w:tc>
        <w:tc>
          <w:tcPr>
            <w:tcW w:w="881" w:type="pct"/>
            <w:tcMar>
              <w:top w:w="0" w:type="dxa"/>
              <w:left w:w="108" w:type="dxa"/>
              <w:bottom w:w="0" w:type="dxa"/>
              <w:right w:w="108" w:type="dxa"/>
            </w:tcMar>
            <w:vAlign w:val="center"/>
            <w:hideMark/>
          </w:tcPr>
          <w:p w14:paraId="466B5F23" w14:textId="77777777" w:rsidR="00D40B9F" w:rsidRPr="00490C53" w:rsidRDefault="00D40B9F">
            <w:pPr>
              <w:pStyle w:val="Tabletext"/>
              <w:rPr>
                <w:rStyle w:val="Bold"/>
                <w:b w:val="0"/>
                <w:bCs/>
              </w:rPr>
            </w:pPr>
            <w:r w:rsidRPr="6923E0AC">
              <w:rPr>
                <w:rStyle w:val="Bold"/>
                <w:b w:val="0"/>
              </w:rPr>
              <w:t>Survey data</w:t>
            </w:r>
          </w:p>
        </w:tc>
      </w:tr>
      <w:tr w:rsidR="00D40B9F" w:rsidRPr="00490C53" w14:paraId="5A9A888C" w14:textId="77777777" w:rsidTr="002D323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pct"/>
            <w:tcMar>
              <w:top w:w="0" w:type="dxa"/>
              <w:left w:w="108" w:type="dxa"/>
              <w:bottom w:w="0" w:type="dxa"/>
              <w:right w:w="108" w:type="dxa"/>
            </w:tcMar>
            <w:vAlign w:val="center"/>
            <w:hideMark/>
          </w:tcPr>
          <w:p w14:paraId="1242166A" w14:textId="77777777" w:rsidR="00D40B9F" w:rsidRPr="00490C53" w:rsidRDefault="00D40B9F">
            <w:pPr>
              <w:pStyle w:val="Tabletext"/>
            </w:pPr>
            <w:r w:rsidRPr="00490C53">
              <w:t>Use of the CJRS</w:t>
            </w:r>
          </w:p>
        </w:tc>
        <w:tc>
          <w:tcPr>
            <w:tcW w:w="3232" w:type="pct"/>
            <w:tcMar>
              <w:top w:w="0" w:type="dxa"/>
              <w:left w:w="108" w:type="dxa"/>
              <w:bottom w:w="0" w:type="dxa"/>
              <w:right w:w="108" w:type="dxa"/>
            </w:tcMar>
            <w:vAlign w:val="center"/>
            <w:hideMark/>
          </w:tcPr>
          <w:p w14:paraId="0C629A48" w14:textId="77777777" w:rsidR="00D40B9F" w:rsidRPr="00490C53" w:rsidRDefault="00D40B9F">
            <w:pPr>
              <w:pStyle w:val="Tabletext"/>
            </w:pPr>
            <w:r w:rsidRPr="00490C53">
              <w:t>Respondents were asked whether they furloughed staff using CJRS between 23</w:t>
            </w:r>
            <w:r w:rsidRPr="00490C53">
              <w:rPr>
                <w:vertAlign w:val="superscript"/>
              </w:rPr>
              <w:t>rd</w:t>
            </w:r>
            <w:r w:rsidRPr="00490C53">
              <w:t xml:space="preserve"> March 2020 and March 2021.</w:t>
            </w:r>
          </w:p>
        </w:tc>
        <w:tc>
          <w:tcPr>
            <w:tcW w:w="881" w:type="pct"/>
            <w:tcMar>
              <w:top w:w="0" w:type="dxa"/>
              <w:left w:w="108" w:type="dxa"/>
              <w:bottom w:w="0" w:type="dxa"/>
              <w:right w:w="108" w:type="dxa"/>
            </w:tcMar>
            <w:vAlign w:val="center"/>
            <w:hideMark/>
          </w:tcPr>
          <w:p w14:paraId="3DC5715B" w14:textId="77777777" w:rsidR="00D40B9F" w:rsidRPr="00490C53" w:rsidRDefault="00D40B9F">
            <w:pPr>
              <w:pStyle w:val="Tabletext"/>
              <w:rPr>
                <w:rStyle w:val="Bold"/>
                <w:b w:val="0"/>
                <w:bCs/>
                <w:color w:val="auto"/>
              </w:rPr>
            </w:pPr>
            <w:r w:rsidRPr="6923E0AC">
              <w:rPr>
                <w:rStyle w:val="Bold"/>
                <w:b w:val="0"/>
              </w:rPr>
              <w:t>Survey data</w:t>
            </w:r>
          </w:p>
        </w:tc>
      </w:tr>
      <w:tr w:rsidR="00D40B9F" w:rsidRPr="00490C53" w14:paraId="5D4A2D21" w14:textId="77777777" w:rsidTr="002D323B">
        <w:tblPrEx>
          <w:tblCellMar>
            <w:left w:w="108" w:type="dxa"/>
            <w:right w:w="108" w:type="dxa"/>
          </w:tblCellMar>
        </w:tblPrEx>
        <w:tc>
          <w:tcPr>
            <w:tcW w:w="0" w:type="pct"/>
            <w:tcBorders>
              <w:top w:val="nil"/>
              <w:left w:val="nil"/>
              <w:bottom w:val="single" w:sz="4" w:space="0" w:color="0054BA" w:themeColor="accent2"/>
              <w:right w:val="nil"/>
            </w:tcBorders>
            <w:tcMar>
              <w:top w:w="0" w:type="dxa"/>
              <w:left w:w="108" w:type="dxa"/>
              <w:bottom w:w="0" w:type="dxa"/>
              <w:right w:w="108" w:type="dxa"/>
            </w:tcMar>
            <w:vAlign w:val="center"/>
            <w:hideMark/>
          </w:tcPr>
          <w:p w14:paraId="7575508D" w14:textId="77777777" w:rsidR="00D40B9F" w:rsidRPr="00490C53" w:rsidRDefault="00D40B9F">
            <w:pPr>
              <w:pStyle w:val="Tabletext"/>
            </w:pPr>
            <w:r w:rsidRPr="00490C53">
              <w:t>Use of other support schemes</w:t>
            </w:r>
          </w:p>
        </w:tc>
        <w:tc>
          <w:tcPr>
            <w:tcW w:w="3232" w:type="pct"/>
            <w:tcBorders>
              <w:top w:val="nil"/>
              <w:left w:val="nil"/>
              <w:bottom w:val="single" w:sz="4" w:space="0" w:color="0054BA" w:themeColor="accent2"/>
              <w:right w:val="nil"/>
            </w:tcBorders>
            <w:tcMar>
              <w:top w:w="0" w:type="dxa"/>
              <w:left w:w="108" w:type="dxa"/>
              <w:bottom w:w="0" w:type="dxa"/>
              <w:right w:w="108" w:type="dxa"/>
            </w:tcMar>
            <w:vAlign w:val="center"/>
            <w:hideMark/>
          </w:tcPr>
          <w:p w14:paraId="30A02E6E" w14:textId="77777777" w:rsidR="00D40B9F" w:rsidRPr="00490C53" w:rsidRDefault="00D40B9F">
            <w:pPr>
              <w:pStyle w:val="Tabletext"/>
            </w:pPr>
            <w:r w:rsidRPr="00490C53">
              <w:t>Information on use of other support schemes was collected as part of the survey. Businesses were asked whether they used several different support schemes for businesses between 23</w:t>
            </w:r>
            <w:r w:rsidRPr="00A36500">
              <w:rPr>
                <w:vertAlign w:val="superscript"/>
              </w:rPr>
              <w:t>rd</w:t>
            </w:r>
            <w:r w:rsidRPr="00490C53">
              <w:t xml:space="preserve"> March 2020 and the end of March 2021. </w:t>
            </w:r>
          </w:p>
          <w:p w14:paraId="0C21F985" w14:textId="77777777" w:rsidR="00D40B9F" w:rsidRPr="00490C53" w:rsidRDefault="00D40B9F">
            <w:pPr>
              <w:pStyle w:val="Tabletext"/>
            </w:pPr>
            <w:r w:rsidRPr="00490C53">
              <w:t xml:space="preserve">The support schemes asked about were deferral of VAT payments, deferral of Self-Assessment payments, HMRC Time to Pay, SEISS, 12-month business rates holiday for hospitality, leisure, retail businesses, Statutory Sick Pay relief packages and Cash grants for small businesses, loans directly funded by government or types of support (separately related and unrelated to the Covid-19 pandemic). </w:t>
            </w:r>
          </w:p>
          <w:p w14:paraId="0E6E28B4" w14:textId="77777777" w:rsidR="00D40B9F" w:rsidRPr="00490C53" w:rsidRDefault="00D40B9F">
            <w:pPr>
              <w:pStyle w:val="Tabletext"/>
            </w:pPr>
            <w:r w:rsidRPr="00490C53">
              <w:t>In the difference-in-differences model these variables were combined into two dummy variables, one indicating whether deferral of VAT payments was used and another indicating whether any of the other support schemes were used.</w:t>
            </w:r>
          </w:p>
        </w:tc>
        <w:tc>
          <w:tcPr>
            <w:tcW w:w="881" w:type="pct"/>
            <w:tcBorders>
              <w:top w:val="nil"/>
              <w:left w:val="nil"/>
              <w:bottom w:val="single" w:sz="4" w:space="0" w:color="0054BA" w:themeColor="accent2"/>
              <w:right w:val="nil"/>
            </w:tcBorders>
            <w:tcMar>
              <w:top w:w="0" w:type="dxa"/>
              <w:left w:w="108" w:type="dxa"/>
              <w:bottom w:w="0" w:type="dxa"/>
              <w:right w:w="108" w:type="dxa"/>
            </w:tcMar>
            <w:vAlign w:val="center"/>
            <w:hideMark/>
          </w:tcPr>
          <w:p w14:paraId="331C3C83" w14:textId="77777777" w:rsidR="00D40B9F" w:rsidRPr="00490C53" w:rsidRDefault="00D40B9F">
            <w:pPr>
              <w:pStyle w:val="Tabletext"/>
              <w:rPr>
                <w:rStyle w:val="Bold"/>
                <w:b w:val="0"/>
                <w:bCs/>
                <w:color w:val="auto"/>
              </w:rPr>
            </w:pPr>
            <w:r w:rsidRPr="6923E0AC">
              <w:rPr>
                <w:rStyle w:val="Bold"/>
                <w:b w:val="0"/>
              </w:rPr>
              <w:t>Survey data</w:t>
            </w:r>
          </w:p>
        </w:tc>
      </w:tr>
    </w:tbl>
    <w:p w14:paraId="0A7348B0" w14:textId="77777777" w:rsidR="00810577" w:rsidRPr="00490C53" w:rsidRDefault="00810577" w:rsidP="00C003EE"/>
    <w:p w14:paraId="67EE1B9B" w14:textId="699684A0" w:rsidR="00962A0F" w:rsidRPr="00490C53" w:rsidRDefault="00962A0F" w:rsidP="00962A0F">
      <w:pPr>
        <w:pStyle w:val="Heading5"/>
      </w:pPr>
      <w:r w:rsidRPr="00490C53">
        <w:t xml:space="preserve">Table </w:t>
      </w:r>
      <w:r w:rsidRPr="00846F78">
        <w:fldChar w:fldCharType="begin"/>
      </w:r>
      <w:r w:rsidRPr="00490C53">
        <w:instrText xml:space="preserve"> SEQ Table \* ARABIC </w:instrText>
      </w:r>
      <w:r w:rsidRPr="00846F78">
        <w:fldChar w:fldCharType="separate"/>
      </w:r>
      <w:r w:rsidR="00397D49">
        <w:rPr>
          <w:noProof/>
        </w:rPr>
        <w:t>27</w:t>
      </w:r>
      <w:r w:rsidRPr="00846F78">
        <w:fldChar w:fldCharType="end"/>
      </w:r>
      <w:r w:rsidRPr="00490C53">
        <w:t xml:space="preserve"> : Variables used in the wider impacts analysis</w:t>
      </w:r>
    </w:p>
    <w:tbl>
      <w:tblPr>
        <w:tblStyle w:val="TableGrid"/>
        <w:tblW w:w="5000" w:type="pct"/>
        <w:tblLook w:val="04A0" w:firstRow="1" w:lastRow="0" w:firstColumn="1" w:lastColumn="0" w:noHBand="0" w:noVBand="1"/>
      </w:tblPr>
      <w:tblGrid>
        <w:gridCol w:w="1730"/>
        <w:gridCol w:w="6807"/>
        <w:gridCol w:w="1617"/>
      </w:tblGrid>
      <w:tr w:rsidR="00962A0F" w:rsidRPr="00490C53" w14:paraId="5DAC1974" w14:textId="77777777" w:rsidTr="00B47517">
        <w:trPr>
          <w:cnfStyle w:val="100000000000" w:firstRow="1" w:lastRow="0" w:firstColumn="0" w:lastColumn="0" w:oddVBand="0" w:evenVBand="0" w:oddHBand="0" w:evenHBand="0" w:firstRowFirstColumn="0" w:firstRowLastColumn="0" w:lastRowFirstColumn="0" w:lastRowLastColumn="0"/>
          <w:tblHeader/>
        </w:trPr>
        <w:tc>
          <w:tcPr>
            <w:tcW w:w="852" w:type="pct"/>
            <w:hideMark/>
          </w:tcPr>
          <w:p w14:paraId="34A5F582" w14:textId="77777777" w:rsidR="00962A0F" w:rsidRPr="00490C53" w:rsidRDefault="00962A0F">
            <w:pPr>
              <w:pStyle w:val="Tablecolumnheading-inkblue"/>
              <w:rPr>
                <w:color w:val="FFFFFF" w:themeColor="background1"/>
              </w:rPr>
            </w:pPr>
            <w:r w:rsidRPr="00490C53">
              <w:rPr>
                <w:color w:val="FFFFFF" w:themeColor="background1"/>
              </w:rPr>
              <w:t>Variable</w:t>
            </w:r>
          </w:p>
        </w:tc>
        <w:tc>
          <w:tcPr>
            <w:tcW w:w="3352" w:type="pct"/>
            <w:hideMark/>
          </w:tcPr>
          <w:p w14:paraId="5DC851CB" w14:textId="77777777" w:rsidR="00962A0F" w:rsidRPr="00490C53" w:rsidRDefault="00962A0F">
            <w:pPr>
              <w:pStyle w:val="Tablecolumnheading-inkblue"/>
              <w:rPr>
                <w:color w:val="FFFFFF" w:themeColor="background1"/>
              </w:rPr>
            </w:pPr>
            <w:r w:rsidRPr="00490C53">
              <w:rPr>
                <w:color w:val="FFFFFF" w:themeColor="background1"/>
              </w:rPr>
              <w:t>Explanation</w:t>
            </w:r>
          </w:p>
        </w:tc>
        <w:tc>
          <w:tcPr>
            <w:tcW w:w="796" w:type="pct"/>
            <w:hideMark/>
          </w:tcPr>
          <w:p w14:paraId="68F6C338" w14:textId="77777777" w:rsidR="00962A0F" w:rsidRPr="00490C53" w:rsidRDefault="00962A0F">
            <w:pPr>
              <w:pStyle w:val="Tablecolumnheading-inkblue"/>
              <w:rPr>
                <w:color w:val="FFFFFF" w:themeColor="background1"/>
              </w:rPr>
            </w:pPr>
            <w:r w:rsidRPr="00490C53">
              <w:rPr>
                <w:color w:val="FFFFFF" w:themeColor="background1"/>
              </w:rPr>
              <w:t>Source</w:t>
            </w:r>
          </w:p>
        </w:tc>
      </w:tr>
      <w:tr w:rsidR="00962A0F" w:rsidRPr="00490C53" w14:paraId="75877719" w14:textId="77777777" w:rsidTr="00B4751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52" w:type="pct"/>
            <w:vAlign w:val="center"/>
          </w:tcPr>
          <w:p w14:paraId="2E595660" w14:textId="7FFC5B01" w:rsidR="00962A0F" w:rsidRPr="00490C53" w:rsidRDefault="00962A0F">
            <w:pPr>
              <w:pStyle w:val="Tabletext"/>
            </w:pPr>
            <w:r w:rsidRPr="00490C53">
              <w:t>Business outcomes (turnover</w:t>
            </w:r>
            <w:r w:rsidR="00A74124" w:rsidRPr="00490C53">
              <w:t xml:space="preserve"> </w:t>
            </w:r>
            <w:r w:rsidRPr="00490C53">
              <w:t>and employment)</w:t>
            </w:r>
          </w:p>
        </w:tc>
        <w:tc>
          <w:tcPr>
            <w:tcW w:w="3352" w:type="pct"/>
            <w:vAlign w:val="center"/>
          </w:tcPr>
          <w:p w14:paraId="3453758C" w14:textId="6BD9EBEE" w:rsidR="00962A0F" w:rsidRPr="00490C53" w:rsidRDefault="00962A0F">
            <w:pPr>
              <w:pStyle w:val="Tabletext"/>
            </w:pPr>
            <w:r w:rsidRPr="00490C53">
              <w:t xml:space="preserve">These measure </w:t>
            </w:r>
            <w:r w:rsidR="00A74124" w:rsidRPr="00490C53">
              <w:t xml:space="preserve">business performance </w:t>
            </w:r>
            <w:r w:rsidRPr="00490C53">
              <w:t>from the last financial year before the pandemic to the latest financial year.</w:t>
            </w:r>
            <w:r w:rsidR="00A74124" w:rsidRPr="00490C53">
              <w:t xml:space="preserve"> Measured in logs. </w:t>
            </w:r>
          </w:p>
        </w:tc>
        <w:tc>
          <w:tcPr>
            <w:tcW w:w="796" w:type="pct"/>
            <w:vAlign w:val="center"/>
          </w:tcPr>
          <w:p w14:paraId="00D13914" w14:textId="77777777" w:rsidR="00962A0F" w:rsidRPr="00490C53" w:rsidRDefault="00962A0F">
            <w:pPr>
              <w:pStyle w:val="Tabletext"/>
              <w:rPr>
                <w:rStyle w:val="Bold"/>
                <w:b w:val="0"/>
                <w:bCs/>
              </w:rPr>
            </w:pPr>
            <w:r w:rsidRPr="00490C53">
              <w:rPr>
                <w:rStyle w:val="Bold"/>
                <w:b w:val="0"/>
                <w:bCs/>
              </w:rPr>
              <w:t>Survey data</w:t>
            </w:r>
          </w:p>
        </w:tc>
      </w:tr>
      <w:tr w:rsidR="00962A0F" w:rsidRPr="00490C53" w14:paraId="48CC0683" w14:textId="77777777" w:rsidTr="00B47517">
        <w:tblPrEx>
          <w:tblCellMar>
            <w:left w:w="108" w:type="dxa"/>
            <w:right w:w="108" w:type="dxa"/>
          </w:tblCellMar>
        </w:tblPrEx>
        <w:tc>
          <w:tcPr>
            <w:tcW w:w="852" w:type="pct"/>
            <w:vAlign w:val="center"/>
          </w:tcPr>
          <w:p w14:paraId="68F0FB2F" w14:textId="33B7ACDF" w:rsidR="00962A0F" w:rsidRPr="00490C53" w:rsidRDefault="00526847">
            <w:pPr>
              <w:pStyle w:val="Tabletext"/>
            </w:pPr>
            <w:r w:rsidRPr="00490C53">
              <w:lastRenderedPageBreak/>
              <w:t>Per-firm</w:t>
            </w:r>
            <w:r w:rsidR="00962A0F" w:rsidRPr="00490C53">
              <w:t xml:space="preserve"> value of BBLS, CBILS and CLBILS loans </w:t>
            </w:r>
            <w:r w:rsidR="001F62DD" w:rsidRPr="00490C53">
              <w:t>(</w:t>
            </w:r>
            <w:r w:rsidR="00962A0F" w:rsidRPr="00490C53">
              <w:t>by sector</w:t>
            </w:r>
            <w:r w:rsidR="001F62DD" w:rsidRPr="00490C53">
              <w:t>)</w:t>
            </w:r>
          </w:p>
        </w:tc>
        <w:tc>
          <w:tcPr>
            <w:tcW w:w="3352" w:type="pct"/>
            <w:vAlign w:val="center"/>
          </w:tcPr>
          <w:p w14:paraId="7FE11E40" w14:textId="1DE6F805" w:rsidR="00962A0F" w:rsidRPr="00490C53" w:rsidRDefault="00962A0F">
            <w:pPr>
              <w:pStyle w:val="Tabletext"/>
            </w:pPr>
            <w:r w:rsidRPr="00490C53">
              <w:t xml:space="preserve">Captures the effects of scheme loans on businesses within the same sector. </w:t>
            </w:r>
          </w:p>
        </w:tc>
        <w:tc>
          <w:tcPr>
            <w:tcW w:w="796" w:type="pct"/>
            <w:vAlign w:val="center"/>
          </w:tcPr>
          <w:p w14:paraId="7A5277D4" w14:textId="481E77A8" w:rsidR="00962A0F" w:rsidRPr="00490C53" w:rsidRDefault="00962A0F">
            <w:pPr>
              <w:pStyle w:val="Tabletext"/>
              <w:rPr>
                <w:rStyle w:val="Bold"/>
                <w:b w:val="0"/>
                <w:bCs/>
              </w:rPr>
            </w:pPr>
            <w:r w:rsidRPr="00490C53">
              <w:rPr>
                <w:rStyle w:val="Bold"/>
                <w:b w:val="0"/>
                <w:bCs/>
              </w:rPr>
              <w:t>BBB Management Information</w:t>
            </w:r>
            <w:r w:rsidR="00070E37" w:rsidRPr="00490C53">
              <w:rPr>
                <w:rStyle w:val="Bold"/>
                <w:b w:val="0"/>
                <w:bCs/>
              </w:rPr>
              <w:t>,</w:t>
            </w:r>
            <w:r w:rsidR="00070E37" w:rsidRPr="00490C53">
              <w:rPr>
                <w:rStyle w:val="Bold"/>
                <w:bCs/>
              </w:rPr>
              <w:t xml:space="preserve"> </w:t>
            </w:r>
            <w:r w:rsidR="00CB3E04" w:rsidRPr="00490C53">
              <w:rPr>
                <w:rStyle w:val="Bold"/>
                <w:b w:val="0"/>
                <w:bCs/>
              </w:rPr>
              <w:t>BEIS Business Population Estimates</w:t>
            </w:r>
          </w:p>
        </w:tc>
      </w:tr>
      <w:tr w:rsidR="00962A0F" w:rsidRPr="00490C53" w14:paraId="3609FF9E" w14:textId="77777777" w:rsidTr="00B4751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52" w:type="pct"/>
            <w:vAlign w:val="center"/>
          </w:tcPr>
          <w:p w14:paraId="5622AB3A" w14:textId="7D3E2E9D" w:rsidR="00962A0F" w:rsidRPr="00490C53" w:rsidRDefault="00526847">
            <w:pPr>
              <w:pStyle w:val="Tabletext"/>
            </w:pPr>
            <w:r w:rsidRPr="00490C53">
              <w:t xml:space="preserve">Per-firm value </w:t>
            </w:r>
            <w:r w:rsidR="00962A0F" w:rsidRPr="00490C53">
              <w:t>of BBLS, CBILS</w:t>
            </w:r>
            <w:r w:rsidR="00455259" w:rsidRPr="00490C53">
              <w:t>,</w:t>
            </w:r>
            <w:r w:rsidR="00962A0F" w:rsidRPr="00490C53">
              <w:t xml:space="preserve"> CLBILS </w:t>
            </w:r>
            <w:r w:rsidR="00455259" w:rsidRPr="00490C53">
              <w:t>and CJRS support</w:t>
            </w:r>
            <w:r w:rsidR="00962A0F" w:rsidRPr="00490C53">
              <w:t xml:space="preserve"> for all other sectors</w:t>
            </w:r>
          </w:p>
        </w:tc>
        <w:tc>
          <w:tcPr>
            <w:tcW w:w="3352" w:type="pct"/>
            <w:vAlign w:val="center"/>
          </w:tcPr>
          <w:p w14:paraId="0B0FAF88" w14:textId="6C4A5526" w:rsidR="00962A0F" w:rsidRPr="00490C53" w:rsidRDefault="00455259">
            <w:pPr>
              <w:pStyle w:val="Tabletext"/>
            </w:pPr>
            <w:r w:rsidRPr="00490C53">
              <w:t xml:space="preserve">Two versions of this variable were included as a robustness check, one version that included CJRS and one version which excluded CJRS. </w:t>
            </w:r>
          </w:p>
        </w:tc>
        <w:tc>
          <w:tcPr>
            <w:tcW w:w="796" w:type="pct"/>
            <w:vAlign w:val="center"/>
          </w:tcPr>
          <w:p w14:paraId="73CDB79D" w14:textId="3F0B45CB" w:rsidR="00962A0F" w:rsidRPr="00490C53" w:rsidRDefault="00962A0F">
            <w:pPr>
              <w:pStyle w:val="Tabletext"/>
              <w:rPr>
                <w:rStyle w:val="Bold"/>
                <w:b w:val="0"/>
                <w:bCs/>
              </w:rPr>
            </w:pPr>
            <w:r w:rsidRPr="00490C53">
              <w:rPr>
                <w:rStyle w:val="Bold"/>
                <w:b w:val="0"/>
                <w:bCs/>
              </w:rPr>
              <w:t>BBB Management Information</w:t>
            </w:r>
            <w:r w:rsidR="00CB3E04" w:rsidRPr="00490C53">
              <w:rPr>
                <w:rStyle w:val="Bold"/>
                <w:b w:val="0"/>
                <w:bCs/>
              </w:rPr>
              <w:t>,</w:t>
            </w:r>
            <w:r w:rsidR="00CB3E04" w:rsidRPr="00490C53">
              <w:rPr>
                <w:rStyle w:val="Bold"/>
                <w:bCs/>
              </w:rPr>
              <w:t xml:space="preserve"> </w:t>
            </w:r>
            <w:r w:rsidR="00CB3E04" w:rsidRPr="00846F78">
              <w:rPr>
                <w:rStyle w:val="Bold"/>
                <w:b w:val="0"/>
                <w:bCs/>
              </w:rPr>
              <w:t>BEIS Business Population Estimates</w:t>
            </w:r>
            <w:r w:rsidR="00455259" w:rsidRPr="00490C53">
              <w:rPr>
                <w:rStyle w:val="Bold"/>
                <w:b w:val="0"/>
                <w:bCs/>
              </w:rPr>
              <w:t>,</w:t>
            </w:r>
            <w:r w:rsidR="00455259" w:rsidRPr="00490C53">
              <w:rPr>
                <w:rStyle w:val="Bold"/>
                <w:bCs/>
              </w:rPr>
              <w:t xml:space="preserve"> </w:t>
            </w:r>
            <w:r w:rsidR="00455259" w:rsidRPr="00846F78">
              <w:rPr>
                <w:rStyle w:val="Bold"/>
                <w:b w:val="0"/>
              </w:rPr>
              <w:t>HMRC</w:t>
            </w:r>
          </w:p>
        </w:tc>
      </w:tr>
      <w:tr w:rsidR="00962A0F" w:rsidRPr="00490C53" w14:paraId="7B893BA8" w14:textId="77777777" w:rsidTr="00B47517">
        <w:tblPrEx>
          <w:tblCellMar>
            <w:left w:w="108" w:type="dxa"/>
            <w:right w:w="108" w:type="dxa"/>
          </w:tblCellMar>
        </w:tblPrEx>
        <w:tc>
          <w:tcPr>
            <w:tcW w:w="852" w:type="pct"/>
            <w:vAlign w:val="center"/>
          </w:tcPr>
          <w:p w14:paraId="38A0145C" w14:textId="07DC85CE" w:rsidR="00962A0F" w:rsidRPr="00490C53" w:rsidRDefault="00CB3E04">
            <w:pPr>
              <w:pStyle w:val="Tabletext"/>
            </w:pPr>
            <w:r w:rsidRPr="00490C53">
              <w:t>Per-firm</w:t>
            </w:r>
            <w:r w:rsidR="00962A0F" w:rsidRPr="00490C53">
              <w:t xml:space="preserve"> value of CJRS claims by sector</w:t>
            </w:r>
          </w:p>
        </w:tc>
        <w:tc>
          <w:tcPr>
            <w:tcW w:w="3352" w:type="pct"/>
            <w:vAlign w:val="center"/>
          </w:tcPr>
          <w:p w14:paraId="7039DD98" w14:textId="3606ABE9" w:rsidR="00962A0F" w:rsidRPr="00490C53" w:rsidRDefault="00455259">
            <w:pPr>
              <w:pStyle w:val="Tabletext"/>
            </w:pPr>
            <w:r w:rsidRPr="00490C53">
              <w:t xml:space="preserve">Included as a control variable related to possible wider impacts of the CJRS scheme. </w:t>
            </w:r>
            <w:r w:rsidR="00CB3E04" w:rsidRPr="00490C53">
              <w:t xml:space="preserve"> </w:t>
            </w:r>
          </w:p>
        </w:tc>
        <w:tc>
          <w:tcPr>
            <w:tcW w:w="796" w:type="pct"/>
            <w:vAlign w:val="center"/>
          </w:tcPr>
          <w:p w14:paraId="76F6F7B1" w14:textId="77220CA5" w:rsidR="00962A0F" w:rsidRPr="00490C53" w:rsidRDefault="00962A0F">
            <w:pPr>
              <w:pStyle w:val="Tabletext"/>
              <w:rPr>
                <w:rStyle w:val="Bold"/>
                <w:b w:val="0"/>
                <w:bCs/>
              </w:rPr>
            </w:pPr>
            <w:r w:rsidRPr="00490C53">
              <w:rPr>
                <w:rStyle w:val="Bold"/>
                <w:b w:val="0"/>
                <w:bCs/>
              </w:rPr>
              <w:t>HMRC</w:t>
            </w:r>
            <w:r w:rsidR="00CB3E04" w:rsidRPr="00490C53">
              <w:rPr>
                <w:rStyle w:val="Bold"/>
                <w:b w:val="0"/>
                <w:bCs/>
              </w:rPr>
              <w:t>,</w:t>
            </w:r>
            <w:r w:rsidR="00CB3E04" w:rsidRPr="00490C53">
              <w:rPr>
                <w:rStyle w:val="Bold"/>
                <w:bCs/>
              </w:rPr>
              <w:t xml:space="preserve"> </w:t>
            </w:r>
            <w:r w:rsidR="00CB3E04" w:rsidRPr="00490C53">
              <w:rPr>
                <w:rStyle w:val="Bold"/>
                <w:b w:val="0"/>
                <w:bCs/>
              </w:rPr>
              <w:t>BEIS Business Population Estimates</w:t>
            </w:r>
          </w:p>
        </w:tc>
      </w:tr>
      <w:tr w:rsidR="00962A0F" w:rsidRPr="00490C53" w14:paraId="309D879B" w14:textId="77777777" w:rsidTr="00B4751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52" w:type="pct"/>
            <w:vAlign w:val="center"/>
          </w:tcPr>
          <w:p w14:paraId="48FB1A60" w14:textId="77777777" w:rsidR="00962A0F" w:rsidRPr="00490C53" w:rsidRDefault="00962A0F">
            <w:pPr>
              <w:pStyle w:val="Tabletext"/>
            </w:pPr>
            <w:r w:rsidRPr="00490C53">
              <w:t>Treatment</w:t>
            </w:r>
          </w:p>
        </w:tc>
        <w:tc>
          <w:tcPr>
            <w:tcW w:w="3352" w:type="pct"/>
            <w:vAlign w:val="center"/>
          </w:tcPr>
          <w:p w14:paraId="642FABF1" w14:textId="78EB9C46" w:rsidR="00962A0F" w:rsidRPr="00490C53" w:rsidRDefault="00962A0F">
            <w:pPr>
              <w:pStyle w:val="Tabletext"/>
            </w:pPr>
            <w:r w:rsidRPr="00490C53">
              <w:t xml:space="preserve">See </w:t>
            </w:r>
            <w:r w:rsidR="00393DD4" w:rsidRPr="00490C53">
              <w:fldChar w:fldCharType="begin"/>
            </w:r>
            <w:r w:rsidR="00393DD4" w:rsidRPr="00490C53">
              <w:instrText xml:space="preserve"> REF _Ref92911788 \h </w:instrText>
            </w:r>
            <w:r w:rsidR="00393DD4" w:rsidRPr="00490C53">
              <w:fldChar w:fldCharType="separate"/>
            </w:r>
            <w:r w:rsidR="00397D49" w:rsidRPr="00490C53">
              <w:t xml:space="preserve">Table </w:t>
            </w:r>
            <w:r w:rsidR="00397D49">
              <w:rPr>
                <w:noProof/>
              </w:rPr>
              <w:t>25</w:t>
            </w:r>
            <w:r w:rsidR="00393DD4" w:rsidRPr="00490C53">
              <w:fldChar w:fldCharType="end"/>
            </w:r>
            <w:r w:rsidRPr="00490C53">
              <w:t xml:space="preserve"> above.</w:t>
            </w:r>
          </w:p>
        </w:tc>
        <w:tc>
          <w:tcPr>
            <w:tcW w:w="796" w:type="pct"/>
            <w:vAlign w:val="center"/>
          </w:tcPr>
          <w:p w14:paraId="13E418F1" w14:textId="77777777" w:rsidR="00962A0F" w:rsidRPr="00490C53" w:rsidRDefault="00962A0F">
            <w:pPr>
              <w:pStyle w:val="Tabletext"/>
              <w:rPr>
                <w:rStyle w:val="Bold"/>
                <w:b w:val="0"/>
                <w:bCs/>
                <w:color w:val="auto"/>
              </w:rPr>
            </w:pPr>
            <w:r w:rsidRPr="00490C53">
              <w:rPr>
                <w:rStyle w:val="Bold"/>
                <w:b w:val="0"/>
                <w:bCs/>
                <w:color w:val="auto"/>
              </w:rPr>
              <w:t>S</w:t>
            </w:r>
            <w:r w:rsidRPr="00490C53">
              <w:rPr>
                <w:rStyle w:val="Bold"/>
                <w:b w:val="0"/>
                <w:bCs/>
              </w:rPr>
              <w:t>urvey data</w:t>
            </w:r>
          </w:p>
        </w:tc>
      </w:tr>
      <w:tr w:rsidR="00962A0F" w:rsidRPr="00490C53" w14:paraId="0183027B" w14:textId="77777777" w:rsidTr="00B47517">
        <w:tblPrEx>
          <w:tblCellMar>
            <w:left w:w="108" w:type="dxa"/>
            <w:right w:w="108" w:type="dxa"/>
          </w:tblCellMar>
        </w:tblPrEx>
        <w:tc>
          <w:tcPr>
            <w:tcW w:w="852" w:type="pct"/>
            <w:vAlign w:val="center"/>
          </w:tcPr>
          <w:p w14:paraId="266805AD" w14:textId="6DBAC1B1" w:rsidR="00962A0F" w:rsidRPr="00490C53" w:rsidRDefault="00962A0F">
            <w:pPr>
              <w:pStyle w:val="Tabletext"/>
            </w:pPr>
            <w:r w:rsidRPr="00490C53">
              <w:t>Business obstacles</w:t>
            </w:r>
            <w:r w:rsidR="00901BD4">
              <w:t xml:space="preserve"> (interruptions)</w:t>
            </w:r>
          </w:p>
        </w:tc>
        <w:tc>
          <w:tcPr>
            <w:tcW w:w="3352" w:type="pct"/>
            <w:vAlign w:val="center"/>
          </w:tcPr>
          <w:p w14:paraId="7FAE7272" w14:textId="3708D627" w:rsidR="00962A0F" w:rsidRPr="00490C53" w:rsidRDefault="00962A0F">
            <w:pPr>
              <w:pStyle w:val="Tabletext"/>
            </w:pPr>
            <w:r w:rsidRPr="00490C53">
              <w:t xml:space="preserve">See </w:t>
            </w:r>
            <w:r w:rsidR="00393DD4" w:rsidRPr="00490C53">
              <w:fldChar w:fldCharType="begin"/>
            </w:r>
            <w:r w:rsidR="00393DD4" w:rsidRPr="00490C53">
              <w:instrText xml:space="preserve"> REF _Ref92911788 \h </w:instrText>
            </w:r>
            <w:r w:rsidR="00393DD4" w:rsidRPr="00490C53">
              <w:fldChar w:fldCharType="separate"/>
            </w:r>
            <w:r w:rsidR="00397D49" w:rsidRPr="00490C53">
              <w:t xml:space="preserve">Table </w:t>
            </w:r>
            <w:r w:rsidR="00397D49">
              <w:rPr>
                <w:noProof/>
              </w:rPr>
              <w:t>25</w:t>
            </w:r>
            <w:r w:rsidR="00393DD4" w:rsidRPr="00490C53">
              <w:fldChar w:fldCharType="end"/>
            </w:r>
            <w:r w:rsidRPr="00490C53">
              <w:t xml:space="preserve"> above.</w:t>
            </w:r>
          </w:p>
        </w:tc>
        <w:tc>
          <w:tcPr>
            <w:tcW w:w="796" w:type="pct"/>
            <w:vAlign w:val="center"/>
          </w:tcPr>
          <w:p w14:paraId="62696CE2" w14:textId="77777777" w:rsidR="00962A0F" w:rsidRPr="00490C53" w:rsidRDefault="00962A0F">
            <w:pPr>
              <w:pStyle w:val="Tabletext"/>
              <w:rPr>
                <w:rStyle w:val="Bold"/>
                <w:b w:val="0"/>
                <w:bCs/>
                <w:color w:val="auto"/>
              </w:rPr>
            </w:pPr>
            <w:r w:rsidRPr="00490C53">
              <w:rPr>
                <w:rStyle w:val="Bold"/>
                <w:b w:val="0"/>
                <w:bCs/>
                <w:color w:val="auto"/>
              </w:rPr>
              <w:t>S</w:t>
            </w:r>
            <w:r w:rsidRPr="00490C53">
              <w:rPr>
                <w:rStyle w:val="Bold"/>
                <w:b w:val="0"/>
                <w:bCs/>
              </w:rPr>
              <w:t>urvey data</w:t>
            </w:r>
          </w:p>
        </w:tc>
      </w:tr>
      <w:tr w:rsidR="00962A0F" w:rsidRPr="00490C53" w14:paraId="229FDF3A" w14:textId="77777777" w:rsidTr="00B4751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52" w:type="pct"/>
            <w:vAlign w:val="center"/>
          </w:tcPr>
          <w:p w14:paraId="1A02DD23" w14:textId="77777777" w:rsidR="00962A0F" w:rsidRPr="00490C53" w:rsidRDefault="00962A0F">
            <w:pPr>
              <w:pStyle w:val="Tabletext"/>
            </w:pPr>
            <w:r w:rsidRPr="00490C53">
              <w:t>Use of the CJRS</w:t>
            </w:r>
          </w:p>
        </w:tc>
        <w:tc>
          <w:tcPr>
            <w:tcW w:w="3352" w:type="pct"/>
            <w:vAlign w:val="center"/>
          </w:tcPr>
          <w:p w14:paraId="7AEA40E2" w14:textId="1C6B8E54" w:rsidR="00962A0F" w:rsidRPr="00490C53" w:rsidRDefault="00962A0F">
            <w:pPr>
              <w:pStyle w:val="Tabletext"/>
            </w:pPr>
            <w:r w:rsidRPr="00490C53">
              <w:t xml:space="preserve">See </w:t>
            </w:r>
            <w:r w:rsidR="00393DD4" w:rsidRPr="00490C53">
              <w:fldChar w:fldCharType="begin"/>
            </w:r>
            <w:r w:rsidR="00393DD4" w:rsidRPr="00490C53">
              <w:instrText xml:space="preserve"> REF _Ref92915681 \h </w:instrText>
            </w:r>
            <w:r w:rsidR="00393DD4" w:rsidRPr="00490C53">
              <w:fldChar w:fldCharType="separate"/>
            </w:r>
            <w:r w:rsidR="00397D49" w:rsidRPr="00490C53">
              <w:t xml:space="preserve">Table </w:t>
            </w:r>
            <w:r w:rsidR="00397D49">
              <w:rPr>
                <w:noProof/>
              </w:rPr>
              <w:t>26</w:t>
            </w:r>
            <w:r w:rsidR="00393DD4" w:rsidRPr="00490C53">
              <w:fldChar w:fldCharType="end"/>
            </w:r>
            <w:r w:rsidR="00393DD4" w:rsidRPr="00490C53">
              <w:t xml:space="preserve"> </w:t>
            </w:r>
            <w:r w:rsidRPr="00490C53">
              <w:t xml:space="preserve">above. </w:t>
            </w:r>
          </w:p>
        </w:tc>
        <w:tc>
          <w:tcPr>
            <w:tcW w:w="796" w:type="pct"/>
            <w:vAlign w:val="center"/>
          </w:tcPr>
          <w:p w14:paraId="07C81A26" w14:textId="77777777" w:rsidR="00962A0F" w:rsidRPr="00490C53" w:rsidRDefault="00962A0F">
            <w:pPr>
              <w:pStyle w:val="Tabletext"/>
              <w:rPr>
                <w:rStyle w:val="Bold"/>
                <w:b w:val="0"/>
                <w:bCs/>
                <w:color w:val="auto"/>
              </w:rPr>
            </w:pPr>
            <w:r w:rsidRPr="00490C53">
              <w:rPr>
                <w:rStyle w:val="Bold"/>
                <w:b w:val="0"/>
                <w:bCs/>
                <w:color w:val="auto"/>
              </w:rPr>
              <w:t>S</w:t>
            </w:r>
            <w:r w:rsidRPr="00490C53">
              <w:rPr>
                <w:rStyle w:val="Bold"/>
                <w:b w:val="0"/>
                <w:bCs/>
              </w:rPr>
              <w:t>urvey data</w:t>
            </w:r>
          </w:p>
        </w:tc>
      </w:tr>
      <w:tr w:rsidR="00B47517" w:rsidRPr="00490C53" w14:paraId="0AF45A40" w14:textId="77777777" w:rsidTr="00B47517">
        <w:tblPrEx>
          <w:tblCellMar>
            <w:left w:w="108" w:type="dxa"/>
            <w:right w:w="108" w:type="dxa"/>
          </w:tblCellMar>
        </w:tblPrEx>
        <w:tc>
          <w:tcPr>
            <w:tcW w:w="852" w:type="pct"/>
            <w:tcBorders>
              <w:bottom w:val="single" w:sz="4" w:space="0" w:color="0054BA" w:themeColor="accent2"/>
            </w:tcBorders>
            <w:vAlign w:val="center"/>
          </w:tcPr>
          <w:p w14:paraId="1517DD3A" w14:textId="5D088C1A" w:rsidR="00B47517" w:rsidRPr="00490C53" w:rsidRDefault="00B47517" w:rsidP="00B47517">
            <w:pPr>
              <w:pStyle w:val="Tabletext"/>
            </w:pPr>
            <w:r w:rsidRPr="00490C53">
              <w:t>Use of other support schemes</w:t>
            </w:r>
          </w:p>
        </w:tc>
        <w:tc>
          <w:tcPr>
            <w:tcW w:w="3352" w:type="pct"/>
            <w:tcBorders>
              <w:bottom w:val="single" w:sz="4" w:space="0" w:color="0054BA" w:themeColor="accent2"/>
            </w:tcBorders>
            <w:vAlign w:val="center"/>
          </w:tcPr>
          <w:p w14:paraId="4F8ECA05" w14:textId="5F725A15" w:rsidR="00B47517" w:rsidRPr="00490C53" w:rsidRDefault="00B47517" w:rsidP="00B47517">
            <w:pPr>
              <w:pStyle w:val="Tabletext"/>
            </w:pPr>
            <w:r w:rsidRPr="00490C53">
              <w:t xml:space="preserve">See </w:t>
            </w:r>
            <w:r w:rsidRPr="00490C53">
              <w:fldChar w:fldCharType="begin"/>
            </w:r>
            <w:r w:rsidRPr="00490C53">
              <w:instrText xml:space="preserve"> REF _Ref92915681 \h </w:instrText>
            </w:r>
            <w:r w:rsidRPr="00490C53">
              <w:fldChar w:fldCharType="separate"/>
            </w:r>
            <w:r w:rsidR="00397D49" w:rsidRPr="00490C53">
              <w:t xml:space="preserve">Table </w:t>
            </w:r>
            <w:r w:rsidR="00397D49">
              <w:rPr>
                <w:noProof/>
              </w:rPr>
              <w:t>26</w:t>
            </w:r>
            <w:r w:rsidRPr="00490C53">
              <w:fldChar w:fldCharType="end"/>
            </w:r>
            <w:r w:rsidRPr="00490C53">
              <w:t xml:space="preserve"> above. </w:t>
            </w:r>
          </w:p>
        </w:tc>
        <w:tc>
          <w:tcPr>
            <w:tcW w:w="796" w:type="pct"/>
            <w:tcBorders>
              <w:bottom w:val="single" w:sz="4" w:space="0" w:color="0054BA" w:themeColor="accent2"/>
            </w:tcBorders>
            <w:vAlign w:val="center"/>
          </w:tcPr>
          <w:p w14:paraId="33E8F463" w14:textId="0B8802D3" w:rsidR="00B47517" w:rsidRPr="00490C53" w:rsidRDefault="00B47517" w:rsidP="00B47517">
            <w:pPr>
              <w:pStyle w:val="Tabletext"/>
              <w:rPr>
                <w:rStyle w:val="Bold"/>
                <w:b w:val="0"/>
                <w:bCs/>
                <w:color w:val="auto"/>
              </w:rPr>
            </w:pPr>
            <w:r w:rsidRPr="00490C53">
              <w:rPr>
                <w:rStyle w:val="Bold"/>
                <w:b w:val="0"/>
                <w:bCs/>
                <w:color w:val="auto"/>
              </w:rPr>
              <w:t>S</w:t>
            </w:r>
            <w:r w:rsidRPr="00490C53">
              <w:rPr>
                <w:rStyle w:val="Bold"/>
                <w:b w:val="0"/>
                <w:bCs/>
              </w:rPr>
              <w:t>urvey data</w:t>
            </w:r>
          </w:p>
        </w:tc>
      </w:tr>
    </w:tbl>
    <w:p w14:paraId="5B370C62" w14:textId="77777777" w:rsidR="00962A0F" w:rsidRPr="00490C53" w:rsidRDefault="00962A0F" w:rsidP="00962A0F"/>
    <w:p w14:paraId="64BD8149" w14:textId="55FE12A7" w:rsidR="00EF0A4F" w:rsidRPr="00236B73" w:rsidRDefault="00EF0A4F" w:rsidP="00236B73">
      <w:pPr>
        <w:rPr>
          <w:color w:val="142855" w:themeColor="text2"/>
        </w:rPr>
      </w:pPr>
      <w:r w:rsidRPr="00236B73">
        <w:rPr>
          <w:color w:val="142855" w:themeColor="text2"/>
        </w:rPr>
        <w:lastRenderedPageBreak/>
        <w:t>Main econometric results (Year 2 impact evaluation)</w:t>
      </w:r>
    </w:p>
    <w:p w14:paraId="1B3E6B9B" w14:textId="62A734D4" w:rsidR="009D6EE8" w:rsidRDefault="005A1CA2" w:rsidP="005A1CA2">
      <w:r w:rsidRPr="00490C53">
        <w:t xml:space="preserve">The “Post-intervention” variables in the model measure the change in turnover (or employment) among non-borrowers in each year </w:t>
      </w:r>
      <w:r w:rsidR="00D748F4">
        <w:t>of</w:t>
      </w:r>
      <w:r w:rsidR="00D748F4" w:rsidRPr="00490C53">
        <w:t xml:space="preserve"> </w:t>
      </w:r>
      <w:r w:rsidRPr="00490C53">
        <w:t xml:space="preserve">the pandemic relative to the last year before the pandemic. The “Borrower, post-intervention” variables reflect the additional change in turnover (or employment) experienced by the borrowing business sample only. They are the coefficients of interest as they isolate the impact of receiving a BBLS (or CBILS/CLBILS) loan on turnover (or employment) in each year. </w:t>
      </w:r>
    </w:p>
    <w:p w14:paraId="2305C790" w14:textId="15996C4D" w:rsidR="009D6EE8" w:rsidRDefault="009D6EE8" w:rsidP="005A1CA2">
      <w:r>
        <w:t xml:space="preserve">The variables “Used CJRS”, “Used VAT Deferral” and “Used Other Support” are </w:t>
      </w:r>
      <w:r w:rsidR="003F1BBF">
        <w:t xml:space="preserve">included in some of the models to assess the robustness of results. These variables are intended to minimise the risk that impacts of these business support measures are incorrectly attributed to the Covid-19 Loan Guarantee Schemes. </w:t>
      </w:r>
    </w:p>
    <w:p w14:paraId="19C8C2D8" w14:textId="11A50544" w:rsidR="005A1CA2" w:rsidRPr="00BD366D" w:rsidRDefault="005A1CA2" w:rsidP="005A1CA2">
      <w:pPr>
        <w:rPr>
          <w:i/>
          <w:iCs/>
        </w:rPr>
      </w:pPr>
      <w:r>
        <w:rPr>
          <w:i/>
          <w:iCs/>
        </w:rPr>
        <w:t>Turnover</w:t>
      </w:r>
    </w:p>
    <w:p w14:paraId="683C808A" w14:textId="4F9399ED" w:rsidR="003F1BBF" w:rsidRDefault="003F1BBF" w:rsidP="005A1CA2">
      <w:r>
        <w:t>As discussed in the main report, the</w:t>
      </w:r>
      <w:r w:rsidRPr="00490C53">
        <w:t xml:space="preserve"> econometric analysis does not identify a </w:t>
      </w:r>
      <w:r>
        <w:t xml:space="preserve">robust </w:t>
      </w:r>
      <w:r w:rsidRPr="00490C53">
        <w:t>statistically significant impact of the scheme</w:t>
      </w:r>
      <w:r>
        <w:t>s</w:t>
      </w:r>
      <w:r w:rsidRPr="00490C53">
        <w:t xml:space="preserve"> on borrowers’ turnover in the second year </w:t>
      </w:r>
      <w:r w:rsidR="00FE059A">
        <w:t xml:space="preserve">of the </w:t>
      </w:r>
      <w:r w:rsidRPr="00490C53">
        <w:t>pandemic</w:t>
      </w:r>
      <w:r>
        <w:t>. Indeed, the coefficient on the variable “</w:t>
      </w:r>
      <w:r w:rsidRPr="00490C53">
        <w:t>Borrower, post intervention (Year 2)</w:t>
      </w:r>
      <w:r>
        <w:t>” is not statistically significant when controlling for other business support measures.</w:t>
      </w:r>
      <w:r w:rsidR="00465BA4">
        <w:t xml:space="preserve"> </w:t>
      </w:r>
    </w:p>
    <w:p w14:paraId="53BF0A3A" w14:textId="4177693C" w:rsidR="005A1CA2" w:rsidRPr="00490C53" w:rsidRDefault="005A1CA2" w:rsidP="005A1CA2">
      <w:r w:rsidRPr="00490C53">
        <w:t>The estimated coefficient for the variable “Post-intervention (Y</w:t>
      </w:r>
      <w:r>
        <w:t xml:space="preserve">ear </w:t>
      </w:r>
      <w:r w:rsidRPr="00490C53">
        <w:t xml:space="preserve">2)” is negative across models but is only statistically significant for BBLS and in the model without controls for participation in other schemes. </w:t>
      </w:r>
      <w:r>
        <w:t>This suggests that businesses had lower turnover in the second year of the pandemic than the year before the pandemic. For context, DBT business population statistics suggest that total business turnover declined from 4.35 trillion at the start of 2020 to 4.16 trillion at the start of 2022.</w:t>
      </w:r>
      <w:r>
        <w:rPr>
          <w:rStyle w:val="FootnoteReference"/>
        </w:rPr>
        <w:footnoteReference w:id="144"/>
      </w:r>
      <w:r>
        <w:t xml:space="preserve"> </w:t>
      </w:r>
      <w:r w:rsidRPr="00490C53">
        <w:t>The coefficients are smaller in magnitude than the corresponding coefficients for Year 1, which suggests that business turnover</w:t>
      </w:r>
      <w:r>
        <w:t xml:space="preserve"> of survey respondents</w:t>
      </w:r>
      <w:r w:rsidRPr="00490C53">
        <w:t xml:space="preserve"> recovered somewhat between the first year and the second year of the pandemic. This is consistent with the results of the Bank of England’s Decision Maker Panel survey, which found that the (negative) impact of Covid on sales was largest in Q2 2020 and then decreased over time.</w:t>
      </w:r>
      <w:r w:rsidRPr="00490C53">
        <w:rPr>
          <w:rStyle w:val="FootnoteReference"/>
        </w:rPr>
        <w:footnoteReference w:id="145"/>
      </w:r>
      <w:r>
        <w:t xml:space="preserve"> </w:t>
      </w:r>
    </w:p>
    <w:p w14:paraId="0125C203" w14:textId="243CA424" w:rsidR="005A1CA2" w:rsidRPr="00BD366D" w:rsidRDefault="005A1CA2" w:rsidP="00BD366D">
      <w:pPr>
        <w:rPr>
          <w:i/>
        </w:rPr>
      </w:pPr>
      <w:r>
        <w:lastRenderedPageBreak/>
        <w:t>The CJRS, designed to protect jobs during the pandemic, enabled</w:t>
      </w:r>
      <w:r w:rsidR="00DC510F">
        <w:t xml:space="preserve"> </w:t>
      </w:r>
      <w:r>
        <w:t>employers to reclaim up to 80% of the wage costs of employees they could not afford to pay during the pandemic, up to £2,500 per month per employee.</w:t>
      </w:r>
      <w:r>
        <w:rPr>
          <w:rStyle w:val="FootnoteReference"/>
        </w:rPr>
        <w:footnoteReference w:id="146"/>
      </w:r>
      <w:r>
        <w:t xml:space="preserve"> </w:t>
      </w:r>
      <w:r w:rsidRPr="00490C53">
        <w:t>The coefficient related to CJRS use is statistically significant and negative for the BBLS model, but this does not imply that CJRS results in reduced turnover.</w:t>
      </w:r>
      <w:r w:rsidRPr="00490C53">
        <w:rPr>
          <w:rStyle w:val="FootnoteReference"/>
        </w:rPr>
        <w:footnoteReference w:id="147"/>
      </w:r>
      <w:r w:rsidRPr="00490C53">
        <w:t xml:space="preserve"> Instead, it may reflect the fact that businesses using CJRS were more likely to scale down their activities. The magnitude of the effect is approximately </w:t>
      </w:r>
      <w:r w:rsidRPr="00846F78">
        <w:t>13%</w:t>
      </w:r>
      <w:r w:rsidRPr="00490C53">
        <w:t>.</w:t>
      </w:r>
      <w:r>
        <w:rPr>
          <w:rStyle w:val="FootnoteReference"/>
        </w:rPr>
        <w:footnoteReference w:id="148"/>
      </w:r>
      <w:r w:rsidRPr="00490C53">
        <w:t xml:space="preserve"> In the CBILS/CLBILS model, the estimates related to other support schemes were statistically insignificant. </w:t>
      </w:r>
    </w:p>
    <w:p w14:paraId="07E38B78" w14:textId="01512050" w:rsidR="00EF0A4F" w:rsidRPr="00490C53" w:rsidRDefault="00EF0A4F" w:rsidP="00EF0A4F">
      <w:pPr>
        <w:pStyle w:val="Heading5"/>
      </w:pPr>
      <w:bookmarkStart w:id="271" w:name="_Ref138341082"/>
      <w:r w:rsidRPr="00490C53">
        <w:t xml:space="preserve">Table </w:t>
      </w:r>
      <w:r w:rsidRPr="00490C53">
        <w:fldChar w:fldCharType="begin"/>
      </w:r>
      <w:r w:rsidRPr="00490C53">
        <w:instrText>SEQ Table \* ARABIC</w:instrText>
      </w:r>
      <w:r w:rsidRPr="00490C53">
        <w:fldChar w:fldCharType="separate"/>
      </w:r>
      <w:r w:rsidR="00397D49">
        <w:rPr>
          <w:noProof/>
        </w:rPr>
        <w:t>28</w:t>
      </w:r>
      <w:r w:rsidRPr="00490C53">
        <w:fldChar w:fldCharType="end"/>
      </w:r>
      <w:bookmarkEnd w:id="271"/>
      <w:r w:rsidRPr="00490C53">
        <w:t>: Estimated impact of the Covid-19 Loan Guarantee Schemes on turnover</w:t>
      </w:r>
    </w:p>
    <w:tbl>
      <w:tblPr>
        <w:tblStyle w:val="TableGrid"/>
        <w:tblW w:w="5000" w:type="pct"/>
        <w:tblLook w:val="04A0" w:firstRow="1" w:lastRow="0" w:firstColumn="1" w:lastColumn="0" w:noHBand="0" w:noVBand="1"/>
      </w:tblPr>
      <w:tblGrid>
        <w:gridCol w:w="4111"/>
        <w:gridCol w:w="1347"/>
        <w:gridCol w:w="1566"/>
        <w:gridCol w:w="1564"/>
        <w:gridCol w:w="1566"/>
      </w:tblGrid>
      <w:tr w:rsidR="00EF0A4F" w:rsidRPr="00490C53" w14:paraId="35386834" w14:textId="77777777">
        <w:trPr>
          <w:cnfStyle w:val="100000000000" w:firstRow="1" w:lastRow="0" w:firstColumn="0" w:lastColumn="0" w:oddVBand="0" w:evenVBand="0" w:oddHBand="0" w:evenHBand="0" w:firstRowFirstColumn="0" w:firstRowLastColumn="0" w:lastRowFirstColumn="0" w:lastRowLastColumn="0"/>
          <w:tblHeader/>
        </w:trPr>
        <w:tc>
          <w:tcPr>
            <w:tcW w:w="2024" w:type="pct"/>
          </w:tcPr>
          <w:p w14:paraId="3F6A248E" w14:textId="77777777" w:rsidR="00EF0A4F" w:rsidRPr="00490C53" w:rsidRDefault="00EF0A4F">
            <w:pPr>
              <w:pStyle w:val="Tablecolumnheading-inkblue"/>
              <w:rPr>
                <w:b w:val="0"/>
                <w:color w:val="FFFFFF" w:themeColor="background1"/>
                <w:szCs w:val="24"/>
              </w:rPr>
            </w:pPr>
            <w:r w:rsidRPr="00490C53">
              <w:rPr>
                <w:color w:val="FFFFFF" w:themeColor="background1"/>
                <w:szCs w:val="24"/>
              </w:rPr>
              <w:t>Variable</w:t>
            </w:r>
          </w:p>
        </w:tc>
        <w:tc>
          <w:tcPr>
            <w:tcW w:w="1434" w:type="pct"/>
            <w:gridSpan w:val="2"/>
            <w:tcBorders>
              <w:right w:val="dashed" w:sz="4" w:space="0" w:color="0054BA" w:themeColor="accent2"/>
            </w:tcBorders>
          </w:tcPr>
          <w:p w14:paraId="66092AA2" w14:textId="77777777" w:rsidR="00EF0A4F" w:rsidRPr="00490C53" w:rsidRDefault="00EF0A4F">
            <w:pPr>
              <w:pStyle w:val="Tablecolumnheading-inkblue"/>
              <w:jc w:val="center"/>
              <w:rPr>
                <w:b w:val="0"/>
                <w:color w:val="FFFFFF" w:themeColor="background1"/>
                <w:szCs w:val="24"/>
              </w:rPr>
            </w:pPr>
            <w:r w:rsidRPr="00490C53">
              <w:rPr>
                <w:color w:val="FFFFFF" w:themeColor="background1"/>
                <w:szCs w:val="24"/>
              </w:rPr>
              <w:t>BBLS</w:t>
            </w:r>
          </w:p>
        </w:tc>
        <w:tc>
          <w:tcPr>
            <w:tcW w:w="1541" w:type="pct"/>
            <w:gridSpan w:val="2"/>
            <w:tcBorders>
              <w:left w:val="dashed" w:sz="4" w:space="0" w:color="0054BA" w:themeColor="accent2"/>
            </w:tcBorders>
          </w:tcPr>
          <w:p w14:paraId="08B57AE5" w14:textId="77777777" w:rsidR="00EF0A4F" w:rsidRPr="00490C53" w:rsidRDefault="00EF0A4F">
            <w:pPr>
              <w:pStyle w:val="Tablecolumnheading-inkblue"/>
              <w:jc w:val="center"/>
              <w:rPr>
                <w:b w:val="0"/>
                <w:color w:val="FFFFFF" w:themeColor="background1"/>
                <w:szCs w:val="24"/>
              </w:rPr>
            </w:pPr>
            <w:r w:rsidRPr="00490C53">
              <w:rPr>
                <w:color w:val="FFFFFF" w:themeColor="background1"/>
                <w:szCs w:val="24"/>
              </w:rPr>
              <w:t>CBILS/CLBILS</w:t>
            </w:r>
          </w:p>
        </w:tc>
      </w:tr>
      <w:tr w:rsidR="00EF0A4F" w:rsidRPr="00490C53" w14:paraId="708D1316" w14:textId="77777777">
        <w:trPr>
          <w:cnfStyle w:val="100000000000" w:firstRow="1" w:lastRow="0" w:firstColumn="0" w:lastColumn="0" w:oddVBand="0" w:evenVBand="0" w:oddHBand="0" w:evenHBand="0" w:firstRowFirstColumn="0" w:firstRowLastColumn="0" w:lastRowFirstColumn="0" w:lastRowLastColumn="0"/>
          <w:tblHeader/>
        </w:trPr>
        <w:tc>
          <w:tcPr>
            <w:tcW w:w="2024" w:type="pct"/>
            <w:shd w:val="clear" w:color="auto" w:fill="CCDDEF"/>
            <w:vAlign w:val="center"/>
          </w:tcPr>
          <w:p w14:paraId="50025188" w14:textId="77777777" w:rsidR="00EF0A4F" w:rsidRPr="00490C53" w:rsidDel="000A1204" w:rsidRDefault="00EF0A4F">
            <w:pPr>
              <w:pStyle w:val="Tabletext"/>
              <w:rPr>
                <w:szCs w:val="24"/>
              </w:rPr>
            </w:pPr>
          </w:p>
        </w:tc>
        <w:tc>
          <w:tcPr>
            <w:tcW w:w="663" w:type="pct"/>
            <w:shd w:val="clear" w:color="auto" w:fill="CCDDEF"/>
            <w:vAlign w:val="center"/>
          </w:tcPr>
          <w:p w14:paraId="03FEA28E" w14:textId="77777777" w:rsidR="00EF0A4F" w:rsidRPr="00490C53" w:rsidRDefault="00EF0A4F">
            <w:pPr>
              <w:pStyle w:val="Tabletext"/>
              <w:jc w:val="center"/>
              <w:rPr>
                <w:szCs w:val="24"/>
              </w:rPr>
            </w:pPr>
            <w:r w:rsidRPr="00490C53">
              <w:rPr>
                <w:szCs w:val="24"/>
              </w:rPr>
              <w:t>[1]</w:t>
            </w:r>
          </w:p>
        </w:tc>
        <w:tc>
          <w:tcPr>
            <w:tcW w:w="771" w:type="pct"/>
            <w:tcBorders>
              <w:right w:val="dashed" w:sz="4" w:space="0" w:color="0054BA" w:themeColor="accent2"/>
            </w:tcBorders>
            <w:shd w:val="clear" w:color="auto" w:fill="CCDDEF"/>
            <w:vAlign w:val="center"/>
          </w:tcPr>
          <w:p w14:paraId="5AAED463" w14:textId="77777777" w:rsidR="00EF0A4F" w:rsidRPr="00490C53" w:rsidRDefault="00EF0A4F">
            <w:pPr>
              <w:pStyle w:val="Tabletext"/>
              <w:jc w:val="center"/>
              <w:rPr>
                <w:rStyle w:val="Bold"/>
                <w:rFonts w:cstheme="minorHAnsi"/>
                <w:b/>
                <w:szCs w:val="24"/>
              </w:rPr>
            </w:pPr>
            <w:r w:rsidRPr="00490C53">
              <w:rPr>
                <w:rStyle w:val="Bold"/>
                <w:rFonts w:cstheme="minorHAnsi"/>
                <w:b/>
                <w:szCs w:val="24"/>
              </w:rPr>
              <w:t>[2]</w:t>
            </w:r>
          </w:p>
        </w:tc>
        <w:tc>
          <w:tcPr>
            <w:tcW w:w="770" w:type="pct"/>
            <w:tcBorders>
              <w:left w:val="dashed" w:sz="4" w:space="0" w:color="0054BA" w:themeColor="accent2"/>
            </w:tcBorders>
            <w:shd w:val="clear" w:color="auto" w:fill="CCDDEF"/>
            <w:vAlign w:val="center"/>
          </w:tcPr>
          <w:p w14:paraId="0016B9A7" w14:textId="77777777" w:rsidR="00EF0A4F" w:rsidRPr="00490C53" w:rsidRDefault="00EF0A4F">
            <w:pPr>
              <w:pStyle w:val="Tabletext"/>
              <w:jc w:val="center"/>
              <w:rPr>
                <w:rStyle w:val="Bold"/>
                <w:rFonts w:cstheme="minorHAnsi"/>
                <w:b/>
                <w:szCs w:val="24"/>
              </w:rPr>
            </w:pPr>
            <w:r w:rsidRPr="00490C53">
              <w:rPr>
                <w:rStyle w:val="Bold"/>
                <w:rFonts w:cstheme="minorHAnsi"/>
                <w:b/>
                <w:szCs w:val="24"/>
              </w:rPr>
              <w:t>[3]</w:t>
            </w:r>
          </w:p>
        </w:tc>
        <w:tc>
          <w:tcPr>
            <w:tcW w:w="771" w:type="pct"/>
            <w:shd w:val="clear" w:color="auto" w:fill="CCDDEF"/>
            <w:vAlign w:val="center"/>
          </w:tcPr>
          <w:p w14:paraId="02DCED6D" w14:textId="77777777" w:rsidR="00EF0A4F" w:rsidRPr="00490C53" w:rsidRDefault="00EF0A4F">
            <w:pPr>
              <w:pStyle w:val="Tabletext"/>
              <w:jc w:val="center"/>
              <w:rPr>
                <w:rStyle w:val="Bold"/>
                <w:rFonts w:cstheme="minorHAnsi"/>
                <w:b/>
                <w:szCs w:val="24"/>
              </w:rPr>
            </w:pPr>
            <w:r w:rsidRPr="00490C53">
              <w:rPr>
                <w:rStyle w:val="Bold"/>
                <w:rFonts w:cstheme="minorHAnsi"/>
                <w:b/>
                <w:szCs w:val="24"/>
              </w:rPr>
              <w:t>[4]</w:t>
            </w:r>
          </w:p>
        </w:tc>
      </w:tr>
      <w:tr w:rsidR="00EF0A4F" w:rsidRPr="00490C53" w14:paraId="393946B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shd w:val="clear" w:color="auto" w:fill="FFFFFF" w:themeFill="background1"/>
            <w:vAlign w:val="center"/>
          </w:tcPr>
          <w:p w14:paraId="6F222C18" w14:textId="77777777" w:rsidR="00EF0A4F" w:rsidRPr="00490C53" w:rsidRDefault="00EF0A4F">
            <w:pPr>
              <w:pStyle w:val="Tabletext"/>
            </w:pPr>
            <w:r w:rsidRPr="00490C53">
              <w:t>Post-intervention (Year 2)</w:t>
            </w:r>
          </w:p>
        </w:tc>
        <w:tc>
          <w:tcPr>
            <w:tcW w:w="663" w:type="pct"/>
            <w:shd w:val="clear" w:color="auto" w:fill="FFFFFF" w:themeFill="background1"/>
            <w:vAlign w:val="top"/>
          </w:tcPr>
          <w:p w14:paraId="0D027B26" w14:textId="77777777" w:rsidR="00EF0A4F" w:rsidRPr="00490C53" w:rsidRDefault="00EF0A4F">
            <w:pPr>
              <w:pStyle w:val="Tabletext"/>
              <w:spacing w:before="0" w:line="240" w:lineRule="auto"/>
              <w:jc w:val="center"/>
              <w:rPr>
                <w:szCs w:val="24"/>
              </w:rPr>
            </w:pPr>
            <w:r w:rsidRPr="00490C53">
              <w:rPr>
                <w:szCs w:val="24"/>
              </w:rPr>
              <w:t>-0.120**</w:t>
            </w:r>
          </w:p>
          <w:p w14:paraId="333B1FF8" w14:textId="77777777" w:rsidR="00EF0A4F" w:rsidRPr="00490C53" w:rsidRDefault="00EF0A4F">
            <w:pPr>
              <w:pStyle w:val="Tabletext"/>
              <w:spacing w:before="0" w:line="240" w:lineRule="auto"/>
              <w:jc w:val="center"/>
              <w:rPr>
                <w:szCs w:val="24"/>
              </w:rPr>
            </w:pPr>
            <w:r w:rsidRPr="00490C53">
              <w:rPr>
                <w:szCs w:val="24"/>
              </w:rPr>
              <w:t>(0.037)</w:t>
            </w:r>
          </w:p>
        </w:tc>
        <w:tc>
          <w:tcPr>
            <w:tcW w:w="771" w:type="pct"/>
            <w:tcBorders>
              <w:right w:val="dashed" w:sz="4" w:space="0" w:color="0054BA" w:themeColor="accent2"/>
            </w:tcBorders>
            <w:shd w:val="clear" w:color="auto" w:fill="FFFFFF" w:themeFill="background1"/>
            <w:vAlign w:val="top"/>
          </w:tcPr>
          <w:p w14:paraId="7E464BA6" w14:textId="77777777" w:rsidR="00EF0A4F" w:rsidRPr="00490C53" w:rsidRDefault="00EF0A4F">
            <w:pPr>
              <w:pStyle w:val="Tabletext"/>
              <w:spacing w:before="0" w:line="240" w:lineRule="auto"/>
              <w:jc w:val="center"/>
              <w:rPr>
                <w:szCs w:val="24"/>
              </w:rPr>
            </w:pPr>
            <w:r w:rsidRPr="00490C53">
              <w:rPr>
                <w:szCs w:val="24"/>
              </w:rPr>
              <w:t>-0.041</w:t>
            </w:r>
          </w:p>
          <w:p w14:paraId="69D12859"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(0.052)</w:t>
            </w:r>
          </w:p>
        </w:tc>
        <w:tc>
          <w:tcPr>
            <w:tcW w:w="770" w:type="pct"/>
            <w:tcBorders>
              <w:left w:val="dashed" w:sz="4" w:space="0" w:color="0054BA" w:themeColor="accent2"/>
            </w:tcBorders>
            <w:shd w:val="clear" w:color="auto" w:fill="FFFFFF" w:themeFill="background1"/>
            <w:vAlign w:val="top"/>
          </w:tcPr>
          <w:p w14:paraId="1805C0B7" w14:textId="77777777" w:rsidR="00EF0A4F" w:rsidRPr="00490C53" w:rsidRDefault="00EF0A4F">
            <w:pPr>
              <w:pStyle w:val="Tabletext"/>
              <w:spacing w:before="0" w:line="240" w:lineRule="auto"/>
              <w:jc w:val="center"/>
            </w:pPr>
            <w:r w:rsidRPr="00490C53">
              <w:t>-0.129</w:t>
            </w:r>
          </w:p>
          <w:p w14:paraId="2FBEF2EA"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(0.129)</w:t>
            </w:r>
          </w:p>
        </w:tc>
        <w:tc>
          <w:tcPr>
            <w:tcW w:w="771" w:type="pct"/>
            <w:shd w:val="clear" w:color="auto" w:fill="FFFFFF" w:themeFill="background1"/>
            <w:vAlign w:val="top"/>
          </w:tcPr>
          <w:p w14:paraId="4B79CAF5" w14:textId="77777777" w:rsidR="00EF0A4F" w:rsidRPr="00490C53" w:rsidRDefault="00EF0A4F">
            <w:pPr>
              <w:pStyle w:val="Tabletext"/>
              <w:spacing w:before="0" w:line="240" w:lineRule="auto"/>
              <w:jc w:val="center"/>
            </w:pPr>
            <w:r w:rsidRPr="00490C53">
              <w:t>-0.167</w:t>
            </w:r>
          </w:p>
          <w:p w14:paraId="1A6BEB94"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(0.183)</w:t>
            </w:r>
          </w:p>
        </w:tc>
      </w:tr>
      <w:tr w:rsidR="00EF0A4F" w:rsidRPr="00490C53" w14:paraId="4F2C44AA" w14:textId="77777777">
        <w:tblPrEx>
          <w:tblCellMar>
            <w:left w:w="108" w:type="dxa"/>
            <w:right w:w="108" w:type="dxa"/>
          </w:tblCellMar>
        </w:tblPrEx>
        <w:tc>
          <w:tcPr>
            <w:tcW w:w="2024" w:type="pct"/>
            <w:shd w:val="clear" w:color="auto" w:fill="CCDDEF"/>
            <w:vAlign w:val="center"/>
          </w:tcPr>
          <w:p w14:paraId="65599112" w14:textId="77777777" w:rsidR="00EF0A4F" w:rsidRPr="00490C53" w:rsidRDefault="00EF0A4F">
            <w:pPr>
              <w:pStyle w:val="Tabletext"/>
            </w:pPr>
            <w:r w:rsidRPr="00490C53">
              <w:t>Borrower, post intervention (Year 2)</w:t>
            </w:r>
          </w:p>
        </w:tc>
        <w:tc>
          <w:tcPr>
            <w:tcW w:w="663" w:type="pct"/>
            <w:shd w:val="clear" w:color="auto" w:fill="CCDDEF"/>
            <w:vAlign w:val="top"/>
          </w:tcPr>
          <w:p w14:paraId="381F5627" w14:textId="77777777" w:rsidR="00EF0A4F" w:rsidRPr="00490C53" w:rsidRDefault="00EF0A4F">
            <w:pPr>
              <w:pStyle w:val="Tabletext"/>
              <w:spacing w:before="0" w:line="240" w:lineRule="auto"/>
              <w:jc w:val="center"/>
              <w:rPr>
                <w:szCs w:val="24"/>
              </w:rPr>
            </w:pPr>
            <w:r w:rsidRPr="00490C53">
              <w:rPr>
                <w:szCs w:val="24"/>
              </w:rPr>
              <w:t>0.001</w:t>
            </w:r>
          </w:p>
          <w:p w14:paraId="2538DE40" w14:textId="77777777" w:rsidR="00EF0A4F" w:rsidRPr="00490C53" w:rsidRDefault="00EF0A4F">
            <w:pPr>
              <w:pStyle w:val="Tabletext"/>
              <w:spacing w:before="0" w:line="240" w:lineRule="auto"/>
              <w:jc w:val="center"/>
              <w:rPr>
                <w:szCs w:val="24"/>
              </w:rPr>
            </w:pPr>
            <w:r w:rsidRPr="00490C53">
              <w:rPr>
                <w:szCs w:val="24"/>
              </w:rPr>
              <w:t>(0.014)</w:t>
            </w:r>
          </w:p>
        </w:tc>
        <w:tc>
          <w:tcPr>
            <w:tcW w:w="771" w:type="pct"/>
            <w:tcBorders>
              <w:right w:val="dashed" w:sz="4" w:space="0" w:color="0054BA" w:themeColor="accent2"/>
            </w:tcBorders>
            <w:shd w:val="clear" w:color="auto" w:fill="CCDDEF"/>
            <w:vAlign w:val="top"/>
          </w:tcPr>
          <w:p w14:paraId="11B30D0D" w14:textId="77777777" w:rsidR="00EF0A4F" w:rsidRPr="00490C53" w:rsidRDefault="00EF0A4F">
            <w:pPr>
              <w:pStyle w:val="Tabletext"/>
              <w:spacing w:before="0" w:line="240" w:lineRule="auto"/>
              <w:jc w:val="center"/>
              <w:rPr>
                <w:szCs w:val="24"/>
              </w:rPr>
            </w:pPr>
            <w:r w:rsidRPr="00490C53">
              <w:rPr>
                <w:szCs w:val="24"/>
              </w:rPr>
              <w:t>0.022</w:t>
            </w:r>
          </w:p>
          <w:p w14:paraId="1D08705C"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(0.021)</w:t>
            </w:r>
          </w:p>
        </w:tc>
        <w:tc>
          <w:tcPr>
            <w:tcW w:w="770" w:type="pct"/>
            <w:tcBorders>
              <w:left w:val="dashed" w:sz="4" w:space="0" w:color="0054BA" w:themeColor="accent2"/>
            </w:tcBorders>
            <w:shd w:val="clear" w:color="auto" w:fill="CCDDEF"/>
            <w:vAlign w:val="top"/>
          </w:tcPr>
          <w:p w14:paraId="67CB3B95" w14:textId="77777777" w:rsidR="00EF0A4F" w:rsidRPr="00490C53" w:rsidRDefault="00EF0A4F">
            <w:pPr>
              <w:pStyle w:val="Tabletext"/>
              <w:spacing w:before="0" w:line="240" w:lineRule="auto"/>
              <w:jc w:val="center"/>
            </w:pPr>
            <w:r w:rsidRPr="00490C53">
              <w:t>0.131**</w:t>
            </w:r>
          </w:p>
          <w:p w14:paraId="7AB9ABE0"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(0.041)</w:t>
            </w:r>
          </w:p>
        </w:tc>
        <w:tc>
          <w:tcPr>
            <w:tcW w:w="771" w:type="pct"/>
            <w:shd w:val="clear" w:color="auto" w:fill="CCDDEF"/>
            <w:vAlign w:val="top"/>
          </w:tcPr>
          <w:p w14:paraId="4003AE08" w14:textId="77777777" w:rsidR="00EF0A4F" w:rsidRPr="00490C53" w:rsidRDefault="00EF0A4F">
            <w:pPr>
              <w:pStyle w:val="Tabletext"/>
              <w:spacing w:before="0" w:line="240" w:lineRule="auto"/>
              <w:jc w:val="center"/>
            </w:pPr>
            <w:r w:rsidRPr="00490C53">
              <w:t>0.117</w:t>
            </w:r>
          </w:p>
          <w:p w14:paraId="683833E8"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(0.062)</w:t>
            </w:r>
          </w:p>
        </w:tc>
      </w:tr>
      <w:tr w:rsidR="00EF0A4F" w:rsidRPr="00490C53" w14:paraId="7DF96AB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shd w:val="clear" w:color="auto" w:fill="auto"/>
            <w:vAlign w:val="center"/>
          </w:tcPr>
          <w:p w14:paraId="7053117C" w14:textId="77777777" w:rsidR="00EF0A4F" w:rsidRPr="00490C53" w:rsidRDefault="00EF0A4F">
            <w:pPr>
              <w:pStyle w:val="Tabletext"/>
            </w:pPr>
            <w:r w:rsidRPr="00490C53">
              <w:t>Post-intervention (Year 1)</w:t>
            </w:r>
          </w:p>
        </w:tc>
        <w:tc>
          <w:tcPr>
            <w:tcW w:w="663" w:type="pct"/>
            <w:shd w:val="clear" w:color="auto" w:fill="auto"/>
            <w:vAlign w:val="top"/>
          </w:tcPr>
          <w:p w14:paraId="3DD2B92F" w14:textId="77777777" w:rsidR="00EF0A4F" w:rsidRPr="00490C53" w:rsidRDefault="00EF0A4F">
            <w:pPr>
              <w:pStyle w:val="Tabletext"/>
              <w:spacing w:before="0" w:line="240" w:lineRule="auto"/>
              <w:jc w:val="center"/>
            </w:pPr>
            <w:r w:rsidRPr="00490C53">
              <w:t>-0.272*</w:t>
            </w:r>
          </w:p>
          <w:p w14:paraId="581712B8" w14:textId="77777777" w:rsidR="00EF0A4F" w:rsidRPr="00490C53" w:rsidRDefault="00EF0A4F">
            <w:pPr>
              <w:pStyle w:val="Tabletext"/>
              <w:spacing w:before="0" w:line="240" w:lineRule="auto"/>
              <w:jc w:val="center"/>
              <w:rPr>
                <w:szCs w:val="24"/>
              </w:rPr>
            </w:pPr>
            <w:r w:rsidRPr="00490C53">
              <w:rPr>
                <w:szCs w:val="24"/>
              </w:rPr>
              <w:t>(0.105)</w:t>
            </w:r>
          </w:p>
        </w:tc>
        <w:tc>
          <w:tcPr>
            <w:tcW w:w="771" w:type="pct"/>
            <w:tcBorders>
              <w:right w:val="dashed" w:sz="4" w:space="0" w:color="0054BA" w:themeColor="accent2"/>
            </w:tcBorders>
            <w:shd w:val="clear" w:color="auto" w:fill="auto"/>
            <w:vAlign w:val="top"/>
          </w:tcPr>
          <w:p w14:paraId="08360419" w14:textId="77777777" w:rsidR="00EF0A4F" w:rsidRPr="00490C53" w:rsidRDefault="00EF0A4F">
            <w:pPr>
              <w:pStyle w:val="Tabletext"/>
              <w:spacing w:before="0" w:line="240" w:lineRule="auto"/>
              <w:jc w:val="center"/>
            </w:pPr>
            <w:r w:rsidRPr="00490C53">
              <w:t>-0.196</w:t>
            </w:r>
          </w:p>
          <w:p w14:paraId="1B47F219"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(0.122)</w:t>
            </w:r>
          </w:p>
        </w:tc>
        <w:tc>
          <w:tcPr>
            <w:tcW w:w="770" w:type="pct"/>
            <w:tcBorders>
              <w:left w:val="dashed" w:sz="4" w:space="0" w:color="0054BA" w:themeColor="accent2"/>
            </w:tcBorders>
            <w:shd w:val="clear" w:color="auto" w:fill="auto"/>
            <w:vAlign w:val="top"/>
          </w:tcPr>
          <w:p w14:paraId="321F79B5" w14:textId="77777777" w:rsidR="00EF0A4F" w:rsidRPr="00490C53" w:rsidRDefault="00EF0A4F">
            <w:pPr>
              <w:pStyle w:val="Tabletext"/>
              <w:spacing w:before="0" w:line="240" w:lineRule="auto"/>
              <w:jc w:val="center"/>
            </w:pPr>
            <w:r w:rsidRPr="00490C53">
              <w:t>-0.236**</w:t>
            </w:r>
          </w:p>
          <w:p w14:paraId="7C8CD94F"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(0.069)</w:t>
            </w:r>
          </w:p>
        </w:tc>
        <w:tc>
          <w:tcPr>
            <w:tcW w:w="771" w:type="pct"/>
            <w:shd w:val="clear" w:color="auto" w:fill="auto"/>
            <w:vAlign w:val="top"/>
          </w:tcPr>
          <w:p w14:paraId="4279B39F" w14:textId="77777777" w:rsidR="00EF0A4F" w:rsidRPr="00490C53" w:rsidRDefault="00EF0A4F">
            <w:pPr>
              <w:pStyle w:val="Tabletext"/>
              <w:spacing w:before="0" w:line="240" w:lineRule="auto"/>
              <w:jc w:val="center"/>
            </w:pPr>
            <w:r w:rsidRPr="00490C53">
              <w:t>-0.275*</w:t>
            </w:r>
          </w:p>
          <w:p w14:paraId="51ECA16B"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(0.107)</w:t>
            </w:r>
          </w:p>
        </w:tc>
      </w:tr>
      <w:tr w:rsidR="00EF0A4F" w:rsidRPr="00490C53" w14:paraId="19077A68" w14:textId="77777777">
        <w:tblPrEx>
          <w:tblCellMar>
            <w:left w:w="108" w:type="dxa"/>
            <w:right w:w="108" w:type="dxa"/>
          </w:tblCellMar>
        </w:tblPrEx>
        <w:tc>
          <w:tcPr>
            <w:tcW w:w="2024" w:type="pct"/>
            <w:shd w:val="clear" w:color="auto" w:fill="CCDDEF"/>
            <w:vAlign w:val="center"/>
          </w:tcPr>
          <w:p w14:paraId="648027C7" w14:textId="77777777" w:rsidR="00EF0A4F" w:rsidRPr="00490C53" w:rsidRDefault="00EF0A4F">
            <w:pPr>
              <w:pStyle w:val="Tabletext"/>
            </w:pPr>
            <w:r w:rsidRPr="00490C53">
              <w:t>Borrower, post intervention (Year 1)</w:t>
            </w:r>
          </w:p>
        </w:tc>
        <w:tc>
          <w:tcPr>
            <w:tcW w:w="663" w:type="pct"/>
            <w:shd w:val="clear" w:color="auto" w:fill="CCDDEF"/>
            <w:vAlign w:val="top"/>
          </w:tcPr>
          <w:p w14:paraId="2382DEC7" w14:textId="77777777" w:rsidR="00EF0A4F" w:rsidRPr="00490C53" w:rsidRDefault="00EF0A4F">
            <w:pPr>
              <w:pStyle w:val="Tabletext"/>
              <w:spacing w:before="0" w:line="240" w:lineRule="auto"/>
              <w:jc w:val="center"/>
            </w:pPr>
            <w:r w:rsidRPr="00490C53">
              <w:t>-0.005</w:t>
            </w:r>
          </w:p>
          <w:p w14:paraId="6EA937D4" w14:textId="77777777" w:rsidR="00EF0A4F" w:rsidRPr="00490C53" w:rsidRDefault="00EF0A4F">
            <w:pPr>
              <w:pStyle w:val="Tabletext"/>
              <w:spacing w:before="0" w:line="240" w:lineRule="auto"/>
              <w:jc w:val="center"/>
              <w:rPr>
                <w:szCs w:val="24"/>
              </w:rPr>
            </w:pPr>
            <w:r w:rsidRPr="00490C53">
              <w:rPr>
                <w:szCs w:val="24"/>
              </w:rPr>
              <w:t>(0.053)</w:t>
            </w:r>
          </w:p>
        </w:tc>
        <w:tc>
          <w:tcPr>
            <w:tcW w:w="771" w:type="pct"/>
            <w:tcBorders>
              <w:right w:val="dashed" w:sz="4" w:space="0" w:color="0054BA" w:themeColor="accent2"/>
            </w:tcBorders>
            <w:shd w:val="clear" w:color="auto" w:fill="CCDDEF"/>
            <w:vAlign w:val="top"/>
          </w:tcPr>
          <w:p w14:paraId="6CCFC16A" w14:textId="77777777" w:rsidR="00EF0A4F" w:rsidRPr="00490C53" w:rsidRDefault="00EF0A4F">
            <w:pPr>
              <w:pStyle w:val="Tabletext"/>
              <w:spacing w:before="0" w:line="240" w:lineRule="auto"/>
              <w:jc w:val="center"/>
            </w:pPr>
            <w:r w:rsidRPr="00490C53">
              <w:t>0.020</w:t>
            </w:r>
          </w:p>
          <w:p w14:paraId="793BF405"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(0.046)</w:t>
            </w:r>
          </w:p>
        </w:tc>
        <w:tc>
          <w:tcPr>
            <w:tcW w:w="770" w:type="pct"/>
            <w:tcBorders>
              <w:left w:val="dashed" w:sz="4" w:space="0" w:color="0054BA" w:themeColor="accent2"/>
            </w:tcBorders>
            <w:shd w:val="clear" w:color="auto" w:fill="CCDDEF"/>
            <w:vAlign w:val="top"/>
          </w:tcPr>
          <w:p w14:paraId="0C0D4F0B" w14:textId="77777777" w:rsidR="00EF0A4F" w:rsidRPr="00490C53" w:rsidRDefault="00EF0A4F">
            <w:pPr>
              <w:pStyle w:val="Tabletext"/>
              <w:spacing w:before="0" w:line="240" w:lineRule="auto"/>
              <w:jc w:val="center"/>
            </w:pPr>
            <w:r w:rsidRPr="00490C53">
              <w:t>0.038</w:t>
            </w:r>
          </w:p>
          <w:p w14:paraId="759E09C5"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(0.070)</w:t>
            </w:r>
          </w:p>
        </w:tc>
        <w:tc>
          <w:tcPr>
            <w:tcW w:w="771" w:type="pct"/>
            <w:shd w:val="clear" w:color="auto" w:fill="CCDDEF"/>
            <w:vAlign w:val="top"/>
          </w:tcPr>
          <w:p w14:paraId="4AE9D449" w14:textId="77777777" w:rsidR="00EF0A4F" w:rsidRPr="00490C53" w:rsidRDefault="00EF0A4F">
            <w:pPr>
              <w:pStyle w:val="Tabletext"/>
              <w:spacing w:before="0" w:line="240" w:lineRule="auto"/>
              <w:jc w:val="center"/>
            </w:pPr>
            <w:r w:rsidRPr="00490C53">
              <w:t>0.023</w:t>
            </w:r>
          </w:p>
          <w:p w14:paraId="0781C8F8"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(0.080)</w:t>
            </w:r>
          </w:p>
        </w:tc>
      </w:tr>
      <w:tr w:rsidR="00EF0A4F" w:rsidRPr="00490C53" w14:paraId="7429355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shd w:val="clear" w:color="auto" w:fill="FFFFFF" w:themeFill="background1"/>
            <w:vAlign w:val="center"/>
          </w:tcPr>
          <w:p w14:paraId="4EEFB6FB" w14:textId="77777777" w:rsidR="00EF0A4F" w:rsidRPr="00490C53" w:rsidRDefault="00EF0A4F">
            <w:pPr>
              <w:pStyle w:val="Tabletext"/>
            </w:pPr>
            <w:r w:rsidRPr="00490C53">
              <w:t>Used CJRS</w:t>
            </w:r>
          </w:p>
        </w:tc>
        <w:tc>
          <w:tcPr>
            <w:tcW w:w="663" w:type="pct"/>
            <w:shd w:val="clear" w:color="auto" w:fill="FFFFFF" w:themeFill="background1"/>
            <w:vAlign w:val="top"/>
          </w:tcPr>
          <w:p w14:paraId="5D4B94CC" w14:textId="77777777" w:rsidR="00EF0A4F" w:rsidRPr="00490C53" w:rsidRDefault="00EF0A4F">
            <w:pPr>
              <w:pStyle w:val="Tabletext"/>
              <w:spacing w:before="0" w:line="240" w:lineRule="auto"/>
              <w:jc w:val="center"/>
              <w:rPr>
                <w:szCs w:val="24"/>
              </w:rPr>
            </w:pPr>
          </w:p>
        </w:tc>
        <w:tc>
          <w:tcPr>
            <w:tcW w:w="771" w:type="pct"/>
            <w:tcBorders>
              <w:right w:val="dashed" w:sz="4" w:space="0" w:color="0054BA" w:themeColor="accent2"/>
            </w:tcBorders>
            <w:shd w:val="clear" w:color="auto" w:fill="FFFFFF" w:themeFill="background1"/>
            <w:vAlign w:val="top"/>
          </w:tcPr>
          <w:p w14:paraId="3798393E"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-0.138**</w:t>
            </w:r>
          </w:p>
          <w:p w14:paraId="65D8BEE9"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(0.048)</w:t>
            </w:r>
          </w:p>
        </w:tc>
        <w:tc>
          <w:tcPr>
            <w:tcW w:w="770" w:type="pct"/>
            <w:tcBorders>
              <w:left w:val="dashed" w:sz="4" w:space="0" w:color="0054BA" w:themeColor="accent2"/>
            </w:tcBorders>
            <w:shd w:val="clear" w:color="auto" w:fill="FFFFFF" w:themeFill="background1"/>
            <w:vAlign w:val="top"/>
          </w:tcPr>
          <w:p w14:paraId="4720E41C" w14:textId="77777777" w:rsidR="00EF0A4F" w:rsidRPr="00490C53" w:rsidRDefault="00EF0A4F">
            <w:pPr>
              <w:pStyle w:val="Tabletext"/>
              <w:spacing w:before="0" w:line="240" w:lineRule="auto"/>
              <w:jc w:val="center"/>
              <w:rPr>
                <w:rStyle w:val="Bold"/>
                <w:rFonts w:cstheme="minorHAnsi"/>
                <w:b w:val="0"/>
                <w:bCs/>
                <w:szCs w:val="24"/>
              </w:rPr>
            </w:pPr>
          </w:p>
        </w:tc>
        <w:tc>
          <w:tcPr>
            <w:tcW w:w="771" w:type="pct"/>
            <w:shd w:val="clear" w:color="auto" w:fill="FFFFFF" w:themeFill="background1"/>
            <w:vAlign w:val="top"/>
          </w:tcPr>
          <w:p w14:paraId="53DBDC7D"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0.005</w:t>
            </w:r>
          </w:p>
          <w:p w14:paraId="34A68AD7"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(0.134)</w:t>
            </w:r>
          </w:p>
        </w:tc>
      </w:tr>
      <w:tr w:rsidR="00EF0A4F" w:rsidRPr="00490C53" w14:paraId="2F4AB0EA" w14:textId="77777777">
        <w:tblPrEx>
          <w:tblCellMar>
            <w:left w:w="108" w:type="dxa"/>
            <w:right w:w="108" w:type="dxa"/>
          </w:tblCellMar>
        </w:tblPrEx>
        <w:trPr>
          <w:trHeight w:val="276"/>
        </w:trPr>
        <w:tc>
          <w:tcPr>
            <w:tcW w:w="2024" w:type="pct"/>
            <w:shd w:val="clear" w:color="auto" w:fill="CCDDEF"/>
            <w:vAlign w:val="center"/>
          </w:tcPr>
          <w:p w14:paraId="6BF13A20" w14:textId="77777777" w:rsidR="00EF0A4F" w:rsidRPr="00490C53" w:rsidRDefault="00EF0A4F">
            <w:pPr>
              <w:pStyle w:val="Tabletext"/>
            </w:pPr>
            <w:r w:rsidRPr="00490C53">
              <w:t>Used VAT Deferral</w:t>
            </w:r>
          </w:p>
        </w:tc>
        <w:tc>
          <w:tcPr>
            <w:tcW w:w="663" w:type="pct"/>
            <w:shd w:val="clear" w:color="auto" w:fill="CCDDEF"/>
            <w:vAlign w:val="top"/>
          </w:tcPr>
          <w:p w14:paraId="204FDBE2" w14:textId="77777777" w:rsidR="00EF0A4F" w:rsidRPr="00490C53" w:rsidRDefault="00EF0A4F">
            <w:pPr>
              <w:pStyle w:val="Tabletext"/>
              <w:spacing w:before="0" w:line="240" w:lineRule="auto"/>
              <w:jc w:val="center"/>
              <w:rPr>
                <w:szCs w:val="24"/>
              </w:rPr>
            </w:pPr>
          </w:p>
        </w:tc>
        <w:tc>
          <w:tcPr>
            <w:tcW w:w="771" w:type="pct"/>
            <w:tcBorders>
              <w:right w:val="dashed" w:sz="4" w:space="0" w:color="0054BA" w:themeColor="accent2"/>
            </w:tcBorders>
            <w:shd w:val="clear" w:color="auto" w:fill="CCDDEF"/>
            <w:vAlign w:val="top"/>
          </w:tcPr>
          <w:p w14:paraId="32B32320"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-0.001</w:t>
            </w:r>
          </w:p>
          <w:p w14:paraId="1D575B0B"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(0.065)</w:t>
            </w:r>
          </w:p>
        </w:tc>
        <w:tc>
          <w:tcPr>
            <w:tcW w:w="770" w:type="pct"/>
            <w:tcBorders>
              <w:left w:val="dashed" w:sz="4" w:space="0" w:color="0054BA" w:themeColor="accent2"/>
            </w:tcBorders>
            <w:shd w:val="clear" w:color="auto" w:fill="CCDDEF"/>
            <w:vAlign w:val="top"/>
          </w:tcPr>
          <w:p w14:paraId="3B4C755C" w14:textId="77777777" w:rsidR="00EF0A4F" w:rsidRPr="00490C53" w:rsidRDefault="00EF0A4F">
            <w:pPr>
              <w:pStyle w:val="Tabletext"/>
              <w:spacing w:before="0" w:line="240" w:lineRule="auto"/>
              <w:jc w:val="center"/>
              <w:rPr>
                <w:rStyle w:val="Bold"/>
                <w:rFonts w:cstheme="minorHAnsi"/>
                <w:b w:val="0"/>
                <w:bCs/>
                <w:szCs w:val="24"/>
              </w:rPr>
            </w:pPr>
          </w:p>
        </w:tc>
        <w:tc>
          <w:tcPr>
            <w:tcW w:w="771" w:type="pct"/>
            <w:shd w:val="clear" w:color="auto" w:fill="CCDDEF"/>
            <w:vAlign w:val="top"/>
          </w:tcPr>
          <w:p w14:paraId="7F3F2562"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0.031</w:t>
            </w:r>
          </w:p>
          <w:p w14:paraId="348A0E13"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(0.045)</w:t>
            </w:r>
          </w:p>
        </w:tc>
      </w:tr>
      <w:tr w:rsidR="00EF0A4F" w:rsidRPr="00490C53" w14:paraId="5168306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shd w:val="clear" w:color="auto" w:fill="FFFFFF" w:themeFill="background1"/>
            <w:vAlign w:val="center"/>
          </w:tcPr>
          <w:p w14:paraId="5F71DBD2" w14:textId="77777777" w:rsidR="00EF0A4F" w:rsidRPr="00490C53" w:rsidRDefault="00EF0A4F">
            <w:pPr>
              <w:pStyle w:val="Tabletext"/>
            </w:pPr>
            <w:r w:rsidRPr="00490C53">
              <w:t>Used Other Support</w:t>
            </w:r>
          </w:p>
        </w:tc>
        <w:tc>
          <w:tcPr>
            <w:tcW w:w="663" w:type="pct"/>
            <w:shd w:val="clear" w:color="auto" w:fill="FFFFFF" w:themeFill="background1"/>
            <w:vAlign w:val="top"/>
          </w:tcPr>
          <w:p w14:paraId="2E0AE6D3" w14:textId="77777777" w:rsidR="00EF0A4F" w:rsidRPr="00490C53" w:rsidRDefault="00EF0A4F">
            <w:pPr>
              <w:pStyle w:val="Tabletext"/>
              <w:spacing w:before="0" w:line="240" w:lineRule="auto"/>
              <w:jc w:val="center"/>
              <w:rPr>
                <w:szCs w:val="24"/>
              </w:rPr>
            </w:pPr>
          </w:p>
        </w:tc>
        <w:tc>
          <w:tcPr>
            <w:tcW w:w="771" w:type="pct"/>
            <w:tcBorders>
              <w:right w:val="dashed" w:sz="4" w:space="0" w:color="0054BA" w:themeColor="accent2"/>
            </w:tcBorders>
            <w:shd w:val="clear" w:color="auto" w:fill="FFFFFF" w:themeFill="background1"/>
            <w:vAlign w:val="top"/>
          </w:tcPr>
          <w:p w14:paraId="7345F6D4"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-0.016</w:t>
            </w:r>
          </w:p>
          <w:p w14:paraId="5E1B1C79"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(0.050)</w:t>
            </w:r>
          </w:p>
        </w:tc>
        <w:tc>
          <w:tcPr>
            <w:tcW w:w="770" w:type="pct"/>
            <w:tcBorders>
              <w:left w:val="dashed" w:sz="4" w:space="0" w:color="0054BA" w:themeColor="accent2"/>
            </w:tcBorders>
            <w:shd w:val="clear" w:color="auto" w:fill="FFFFFF" w:themeFill="background1"/>
            <w:vAlign w:val="top"/>
          </w:tcPr>
          <w:p w14:paraId="512038BB" w14:textId="77777777" w:rsidR="00EF0A4F" w:rsidRPr="00490C53" w:rsidRDefault="00EF0A4F">
            <w:pPr>
              <w:pStyle w:val="Tabletext"/>
              <w:spacing w:before="0" w:line="240" w:lineRule="auto"/>
              <w:jc w:val="center"/>
              <w:rPr>
                <w:rStyle w:val="Bold"/>
                <w:rFonts w:cstheme="minorHAnsi"/>
                <w:b w:val="0"/>
                <w:bCs/>
                <w:szCs w:val="24"/>
              </w:rPr>
            </w:pPr>
          </w:p>
        </w:tc>
        <w:tc>
          <w:tcPr>
            <w:tcW w:w="771" w:type="pct"/>
            <w:shd w:val="clear" w:color="auto" w:fill="FFFFFF" w:themeFill="background1"/>
            <w:vAlign w:val="top"/>
          </w:tcPr>
          <w:p w14:paraId="5C2D318D"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0.062</w:t>
            </w:r>
          </w:p>
          <w:p w14:paraId="4CD2E356"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(0.062)</w:t>
            </w:r>
          </w:p>
        </w:tc>
      </w:tr>
      <w:tr w:rsidR="00EF0A4F" w:rsidRPr="00490C53" w14:paraId="18748D27" w14:textId="77777777">
        <w:tblPrEx>
          <w:tblCellMar>
            <w:left w:w="108" w:type="dxa"/>
            <w:right w:w="108" w:type="dxa"/>
          </w:tblCellMar>
        </w:tblPrEx>
        <w:tc>
          <w:tcPr>
            <w:tcW w:w="2024" w:type="pct"/>
            <w:shd w:val="clear" w:color="auto" w:fill="CCDDEF"/>
            <w:vAlign w:val="center"/>
          </w:tcPr>
          <w:p w14:paraId="251601A4" w14:textId="77777777" w:rsidR="00EF0A4F" w:rsidRPr="00490C53" w:rsidRDefault="00EF0A4F">
            <w:pPr>
              <w:pStyle w:val="Tabletext"/>
            </w:pPr>
            <w:r w:rsidRPr="00490C53">
              <w:t>Constant</w:t>
            </w:r>
          </w:p>
        </w:tc>
        <w:tc>
          <w:tcPr>
            <w:tcW w:w="663" w:type="pct"/>
            <w:shd w:val="clear" w:color="auto" w:fill="CCDDEF"/>
            <w:vAlign w:val="top"/>
          </w:tcPr>
          <w:p w14:paraId="5849ADB8"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12.652***</w:t>
            </w:r>
          </w:p>
          <w:p w14:paraId="1D9A4E14" w14:textId="77777777" w:rsidR="00EF0A4F" w:rsidRPr="00490C53" w:rsidRDefault="00EF0A4F">
            <w:pPr>
              <w:pStyle w:val="Tabletext"/>
              <w:spacing w:before="0" w:line="240" w:lineRule="auto"/>
              <w:jc w:val="center"/>
              <w:rPr>
                <w:szCs w:val="24"/>
              </w:rPr>
            </w:pPr>
            <w:r w:rsidRPr="00490C53">
              <w:rPr>
                <w:rStyle w:val="Bold"/>
                <w:rFonts w:cstheme="minorHAnsi"/>
                <w:b w:val="0"/>
                <w:bCs/>
                <w:szCs w:val="24"/>
              </w:rPr>
              <w:t>(0.040)</w:t>
            </w:r>
          </w:p>
        </w:tc>
        <w:tc>
          <w:tcPr>
            <w:tcW w:w="771" w:type="pct"/>
            <w:tcBorders>
              <w:right w:val="dashed" w:sz="4" w:space="0" w:color="0054BA" w:themeColor="accent2"/>
            </w:tcBorders>
            <w:shd w:val="clear" w:color="auto" w:fill="CCDDEF"/>
            <w:vAlign w:val="top"/>
          </w:tcPr>
          <w:p w14:paraId="43B20DC3"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12.652***</w:t>
            </w:r>
          </w:p>
          <w:p w14:paraId="20C6CA08"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(0.040)</w:t>
            </w:r>
          </w:p>
        </w:tc>
        <w:tc>
          <w:tcPr>
            <w:tcW w:w="770" w:type="pct"/>
            <w:tcBorders>
              <w:left w:val="dashed" w:sz="4" w:space="0" w:color="0054BA" w:themeColor="accent2"/>
            </w:tcBorders>
            <w:shd w:val="clear" w:color="auto" w:fill="CCDDEF"/>
            <w:vAlign w:val="top"/>
          </w:tcPr>
          <w:p w14:paraId="054166BB" w14:textId="77777777" w:rsidR="00EF0A4F" w:rsidRPr="00490C53" w:rsidRDefault="00EF0A4F">
            <w:pPr>
              <w:pStyle w:val="Tabletext"/>
              <w:spacing w:before="0" w:line="240" w:lineRule="auto"/>
              <w:jc w:val="center"/>
            </w:pPr>
            <w:r w:rsidRPr="00490C53">
              <w:t>14.713***</w:t>
            </w:r>
          </w:p>
          <w:p w14:paraId="390ED4E6"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(0.039)</w:t>
            </w:r>
          </w:p>
        </w:tc>
        <w:tc>
          <w:tcPr>
            <w:tcW w:w="771" w:type="pct"/>
            <w:shd w:val="clear" w:color="auto" w:fill="CCDDEF"/>
            <w:vAlign w:val="top"/>
          </w:tcPr>
          <w:p w14:paraId="090A418B" w14:textId="77777777" w:rsidR="00EF0A4F" w:rsidRPr="00490C53" w:rsidRDefault="00EF0A4F">
            <w:pPr>
              <w:pStyle w:val="Tabletext"/>
              <w:spacing w:before="0" w:line="240" w:lineRule="auto"/>
              <w:jc w:val="center"/>
            </w:pPr>
            <w:r w:rsidRPr="00490C53">
              <w:t>14.713***</w:t>
            </w:r>
          </w:p>
          <w:p w14:paraId="698117A2"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(0.038)</w:t>
            </w:r>
          </w:p>
        </w:tc>
      </w:tr>
      <w:tr w:rsidR="00EF0A4F" w:rsidRPr="00490C53" w14:paraId="088AD08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tcBorders>
              <w:top w:val="single" w:sz="4" w:space="0" w:color="0054BA"/>
            </w:tcBorders>
            <w:shd w:val="clear" w:color="auto" w:fill="FFFFFF" w:themeFill="background1"/>
            <w:vAlign w:val="center"/>
          </w:tcPr>
          <w:p w14:paraId="4A57C8D7" w14:textId="77777777" w:rsidR="00EF0A4F" w:rsidRPr="00490C53" w:rsidRDefault="00EF0A4F">
            <w:pPr>
              <w:pStyle w:val="Tabletext"/>
            </w:pPr>
            <w:r w:rsidRPr="00490C53">
              <w:t>Observations</w:t>
            </w:r>
          </w:p>
        </w:tc>
        <w:tc>
          <w:tcPr>
            <w:tcW w:w="663" w:type="pct"/>
            <w:tcBorders>
              <w:top w:val="single" w:sz="4" w:space="0" w:color="0054BA"/>
            </w:tcBorders>
            <w:shd w:val="clear" w:color="auto" w:fill="FFFFFF" w:themeFill="background1"/>
            <w:vAlign w:val="center"/>
          </w:tcPr>
          <w:p w14:paraId="24C0B85F" w14:textId="77777777" w:rsidR="00EF0A4F" w:rsidRPr="00490C53" w:rsidRDefault="00EF0A4F">
            <w:pPr>
              <w:pStyle w:val="Tabletext"/>
              <w:spacing w:before="0" w:line="240" w:lineRule="auto"/>
              <w:jc w:val="center"/>
              <w:rPr>
                <w:szCs w:val="24"/>
              </w:rPr>
            </w:pPr>
            <w:r w:rsidRPr="00490C53">
              <w:t>2,157</w:t>
            </w:r>
          </w:p>
        </w:tc>
        <w:tc>
          <w:tcPr>
            <w:tcW w:w="771" w:type="pct"/>
            <w:tcBorders>
              <w:top w:val="single" w:sz="4" w:space="0" w:color="0054BA"/>
              <w:right w:val="dashed" w:sz="4" w:space="0" w:color="0054BA" w:themeColor="accent2"/>
            </w:tcBorders>
            <w:shd w:val="clear" w:color="auto" w:fill="FFFFFF" w:themeFill="background1"/>
            <w:vAlign w:val="center"/>
          </w:tcPr>
          <w:p w14:paraId="106DED4E" w14:textId="77777777" w:rsidR="00EF0A4F" w:rsidRPr="00490C53" w:rsidRDefault="00EF0A4F">
            <w:pPr>
              <w:pStyle w:val="Tabletext"/>
              <w:spacing w:before="0" w:line="240" w:lineRule="auto"/>
              <w:jc w:val="center"/>
              <w:rPr>
                <w:rStyle w:val="Bold"/>
                <w:rFonts w:cstheme="minorHAnsi"/>
                <w:b w:val="0"/>
                <w:bCs/>
                <w:szCs w:val="24"/>
              </w:rPr>
            </w:pPr>
            <w:r w:rsidRPr="00490C53">
              <w:t>2,157</w:t>
            </w:r>
          </w:p>
        </w:tc>
        <w:tc>
          <w:tcPr>
            <w:tcW w:w="770" w:type="pct"/>
            <w:tcBorders>
              <w:top w:val="single" w:sz="4" w:space="0" w:color="0054BA"/>
              <w:left w:val="dashed" w:sz="4" w:space="0" w:color="0054BA" w:themeColor="accent2"/>
            </w:tcBorders>
            <w:shd w:val="clear" w:color="auto" w:fill="FFFFFF" w:themeFill="background1"/>
            <w:vAlign w:val="center"/>
          </w:tcPr>
          <w:p w14:paraId="6435862D" w14:textId="77777777" w:rsidR="00EF0A4F" w:rsidRPr="00490C53" w:rsidRDefault="00EF0A4F">
            <w:pPr>
              <w:pStyle w:val="Tabletext"/>
              <w:spacing w:before="0" w:line="240" w:lineRule="auto"/>
              <w:jc w:val="center"/>
              <w:rPr>
                <w:rStyle w:val="Bold"/>
                <w:rFonts w:cstheme="minorHAnsi"/>
                <w:b w:val="0"/>
                <w:bCs/>
                <w:szCs w:val="24"/>
              </w:rPr>
            </w:pPr>
            <w:r w:rsidRPr="00490C53">
              <w:t>1,505</w:t>
            </w:r>
          </w:p>
        </w:tc>
        <w:tc>
          <w:tcPr>
            <w:tcW w:w="771" w:type="pct"/>
            <w:tcBorders>
              <w:top w:val="single" w:sz="4" w:space="0" w:color="0054BA"/>
            </w:tcBorders>
            <w:shd w:val="clear" w:color="auto" w:fill="FFFFFF" w:themeFill="background1"/>
            <w:vAlign w:val="center"/>
          </w:tcPr>
          <w:p w14:paraId="74695911" w14:textId="77777777" w:rsidR="00EF0A4F" w:rsidRPr="00490C53" w:rsidRDefault="00EF0A4F">
            <w:pPr>
              <w:pStyle w:val="Tabletext"/>
              <w:spacing w:before="0" w:line="240" w:lineRule="auto"/>
              <w:jc w:val="center"/>
              <w:rPr>
                <w:rStyle w:val="Bold"/>
                <w:rFonts w:cstheme="minorHAnsi"/>
                <w:b w:val="0"/>
                <w:bCs/>
                <w:szCs w:val="24"/>
              </w:rPr>
            </w:pPr>
            <w:r w:rsidRPr="00490C53">
              <w:t>1,505</w:t>
            </w:r>
          </w:p>
        </w:tc>
      </w:tr>
      <w:tr w:rsidR="00EF0A4F" w:rsidRPr="00490C53" w14:paraId="1F767DC8" w14:textId="77777777">
        <w:tblPrEx>
          <w:tblCellMar>
            <w:left w:w="108" w:type="dxa"/>
            <w:right w:w="108" w:type="dxa"/>
          </w:tblCellMar>
        </w:tblPrEx>
        <w:tc>
          <w:tcPr>
            <w:tcW w:w="2024" w:type="pct"/>
            <w:shd w:val="clear" w:color="auto" w:fill="CCDDEF"/>
            <w:vAlign w:val="center"/>
          </w:tcPr>
          <w:p w14:paraId="506E5528" w14:textId="77777777" w:rsidR="00EF0A4F" w:rsidRPr="00490C53" w:rsidRDefault="00EF0A4F">
            <w:pPr>
              <w:pStyle w:val="Tabletext"/>
            </w:pPr>
            <w:r w:rsidRPr="00490C53">
              <w:t>R-squared</w:t>
            </w:r>
          </w:p>
        </w:tc>
        <w:tc>
          <w:tcPr>
            <w:tcW w:w="663" w:type="pct"/>
            <w:shd w:val="clear" w:color="auto" w:fill="CCDDEF"/>
            <w:vAlign w:val="center"/>
          </w:tcPr>
          <w:p w14:paraId="33C5CD61" w14:textId="77777777" w:rsidR="00EF0A4F" w:rsidRPr="00490C53" w:rsidRDefault="00EF0A4F">
            <w:pPr>
              <w:pStyle w:val="Tabletext"/>
              <w:spacing w:before="0" w:line="240" w:lineRule="auto"/>
              <w:jc w:val="center"/>
              <w:rPr>
                <w:szCs w:val="24"/>
              </w:rPr>
            </w:pPr>
            <w:r w:rsidRPr="00490C53">
              <w:t>0.088</w:t>
            </w:r>
          </w:p>
        </w:tc>
        <w:tc>
          <w:tcPr>
            <w:tcW w:w="771" w:type="pct"/>
            <w:tcBorders>
              <w:right w:val="dashed" w:sz="4" w:space="0" w:color="0054BA" w:themeColor="accent2"/>
            </w:tcBorders>
            <w:shd w:val="clear" w:color="auto" w:fill="CCDDEF"/>
            <w:vAlign w:val="center"/>
          </w:tcPr>
          <w:p w14:paraId="4664C0A7" w14:textId="77777777" w:rsidR="00EF0A4F" w:rsidRPr="00490C53" w:rsidRDefault="00EF0A4F">
            <w:pPr>
              <w:pStyle w:val="Tabletext"/>
              <w:spacing w:before="0" w:line="240" w:lineRule="auto"/>
              <w:jc w:val="center"/>
              <w:rPr>
                <w:rStyle w:val="Bold"/>
                <w:rFonts w:cstheme="minorHAnsi"/>
                <w:b w:val="0"/>
                <w:bCs/>
                <w:szCs w:val="24"/>
              </w:rPr>
            </w:pPr>
            <w:r w:rsidRPr="00490C53">
              <w:t>0.094</w:t>
            </w:r>
          </w:p>
        </w:tc>
        <w:tc>
          <w:tcPr>
            <w:tcW w:w="770" w:type="pct"/>
            <w:tcBorders>
              <w:left w:val="dashed" w:sz="4" w:space="0" w:color="0054BA" w:themeColor="accent2"/>
            </w:tcBorders>
            <w:shd w:val="clear" w:color="auto" w:fill="CCDDEF"/>
            <w:vAlign w:val="center"/>
          </w:tcPr>
          <w:p w14:paraId="223FAC46" w14:textId="77777777" w:rsidR="00EF0A4F" w:rsidRPr="00490C53" w:rsidRDefault="00EF0A4F">
            <w:pPr>
              <w:pStyle w:val="Tabletext"/>
              <w:spacing w:before="0" w:line="240" w:lineRule="auto"/>
              <w:jc w:val="center"/>
              <w:rPr>
                <w:rStyle w:val="Bold"/>
                <w:rFonts w:cstheme="minorHAnsi"/>
                <w:b w:val="0"/>
                <w:bCs/>
                <w:szCs w:val="24"/>
              </w:rPr>
            </w:pPr>
            <w:r w:rsidRPr="00490C53">
              <w:t>0.054</w:t>
            </w:r>
          </w:p>
        </w:tc>
        <w:tc>
          <w:tcPr>
            <w:tcW w:w="771" w:type="pct"/>
            <w:shd w:val="clear" w:color="auto" w:fill="CCDDEF"/>
            <w:vAlign w:val="center"/>
          </w:tcPr>
          <w:p w14:paraId="7FC0B897" w14:textId="77777777" w:rsidR="00EF0A4F" w:rsidRPr="00490C53" w:rsidRDefault="00EF0A4F">
            <w:pPr>
              <w:pStyle w:val="Tabletext"/>
              <w:spacing w:before="0" w:line="240" w:lineRule="auto"/>
              <w:jc w:val="center"/>
              <w:rPr>
                <w:rStyle w:val="Bold"/>
                <w:rFonts w:cstheme="minorHAnsi"/>
                <w:b w:val="0"/>
                <w:bCs/>
                <w:szCs w:val="24"/>
              </w:rPr>
            </w:pPr>
            <w:r w:rsidRPr="00490C53">
              <w:t>0.055</w:t>
            </w:r>
          </w:p>
        </w:tc>
      </w:tr>
      <w:tr w:rsidR="00EF0A4F" w:rsidRPr="00490C53" w14:paraId="3473DA4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tcBorders>
              <w:bottom w:val="single" w:sz="4" w:space="0" w:color="0054BA" w:themeColor="accent2"/>
            </w:tcBorders>
            <w:shd w:val="clear" w:color="auto" w:fill="FFFFFF" w:themeFill="background1"/>
            <w:vAlign w:val="center"/>
          </w:tcPr>
          <w:p w14:paraId="1FC41E20" w14:textId="77777777" w:rsidR="00EF0A4F" w:rsidRPr="00490C53" w:rsidRDefault="00EF0A4F">
            <w:pPr>
              <w:pStyle w:val="Tabletext"/>
            </w:pPr>
            <w:r w:rsidRPr="00490C53">
              <w:t>Business fixed effects</w:t>
            </w:r>
          </w:p>
        </w:tc>
        <w:tc>
          <w:tcPr>
            <w:tcW w:w="663" w:type="pct"/>
            <w:tcBorders>
              <w:bottom w:val="single" w:sz="4" w:space="0" w:color="0054BA" w:themeColor="accent2"/>
            </w:tcBorders>
            <w:shd w:val="clear" w:color="auto" w:fill="FFFFFF" w:themeFill="background1"/>
            <w:vAlign w:val="center"/>
          </w:tcPr>
          <w:p w14:paraId="41C47B81" w14:textId="77777777" w:rsidR="00EF0A4F" w:rsidRPr="00490C53" w:rsidRDefault="00EF0A4F">
            <w:pPr>
              <w:pStyle w:val="Tabletext"/>
              <w:spacing w:before="0" w:line="240" w:lineRule="auto"/>
              <w:jc w:val="center"/>
              <w:rPr>
                <w:szCs w:val="24"/>
              </w:rPr>
            </w:pPr>
            <w:r w:rsidRPr="00490C53">
              <w:rPr>
                <w:szCs w:val="24"/>
              </w:rPr>
              <w:t>Yes</w:t>
            </w:r>
          </w:p>
        </w:tc>
        <w:tc>
          <w:tcPr>
            <w:tcW w:w="771" w:type="pct"/>
            <w:tcBorders>
              <w:bottom w:val="single" w:sz="4" w:space="0" w:color="0054BA" w:themeColor="accent2"/>
              <w:right w:val="dashed" w:sz="4" w:space="0" w:color="0054BA" w:themeColor="accent2"/>
            </w:tcBorders>
            <w:shd w:val="clear" w:color="auto" w:fill="FFFFFF" w:themeFill="background1"/>
            <w:vAlign w:val="center"/>
          </w:tcPr>
          <w:p w14:paraId="29C2E173"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Yes</w:t>
            </w:r>
          </w:p>
        </w:tc>
        <w:tc>
          <w:tcPr>
            <w:tcW w:w="770" w:type="pct"/>
            <w:tcBorders>
              <w:left w:val="dashed" w:sz="4" w:space="0" w:color="0054BA" w:themeColor="accent2"/>
              <w:bottom w:val="single" w:sz="4" w:space="0" w:color="0054BA" w:themeColor="accent2"/>
            </w:tcBorders>
            <w:shd w:val="clear" w:color="auto" w:fill="FFFFFF" w:themeFill="background1"/>
            <w:vAlign w:val="center"/>
          </w:tcPr>
          <w:p w14:paraId="344FCD99"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Yes</w:t>
            </w:r>
          </w:p>
        </w:tc>
        <w:tc>
          <w:tcPr>
            <w:tcW w:w="771" w:type="pct"/>
            <w:tcBorders>
              <w:bottom w:val="single" w:sz="4" w:space="0" w:color="0054BA" w:themeColor="accent2"/>
            </w:tcBorders>
            <w:shd w:val="clear" w:color="auto" w:fill="FFFFFF" w:themeFill="background1"/>
            <w:vAlign w:val="center"/>
          </w:tcPr>
          <w:p w14:paraId="748F31BB"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Yes</w:t>
            </w:r>
          </w:p>
        </w:tc>
      </w:tr>
    </w:tbl>
    <w:p w14:paraId="5B88CB40" w14:textId="2B1FCFFB" w:rsidR="00EF0A4F" w:rsidRDefault="00EF0A4F" w:rsidP="00EF0A4F">
      <w:pPr>
        <w:pStyle w:val="Caption"/>
        <w:rPr>
          <w:rStyle w:val="Emphasis"/>
          <w:b w:val="0"/>
          <w:iCs/>
          <w:color w:val="555674"/>
        </w:rPr>
      </w:pPr>
      <w:r>
        <w:rPr>
          <w:rStyle w:val="Emphasis"/>
          <w:b w:val="0"/>
          <w:iCs/>
          <w:color w:val="555674"/>
        </w:rPr>
        <w:lastRenderedPageBreak/>
        <w:t xml:space="preserve">Note: </w:t>
      </w:r>
      <w:r w:rsidRPr="00490C53">
        <w:rPr>
          <w:rStyle w:val="Emphasis"/>
          <w:b w:val="0"/>
          <w:iCs/>
          <w:color w:val="555674"/>
        </w:rPr>
        <w:t>Standard errors clustered at the sector level in parentheses. *** p-value&lt;0.01, ** p-value&lt;0.05, * p-value&lt;0.1.</w:t>
      </w:r>
      <w:r w:rsidR="0098060C">
        <w:rPr>
          <w:rStyle w:val="Emphasis"/>
          <w:b w:val="0"/>
          <w:iCs/>
          <w:color w:val="555674"/>
        </w:rPr>
        <w:t xml:space="preserve"> </w:t>
      </w:r>
      <w:r w:rsidR="0098060C" w:rsidRPr="00490C53">
        <w:rPr>
          <w:rStyle w:val="Emphasis"/>
          <w:b w:val="0"/>
          <w:iCs/>
          <w:color w:val="555674"/>
        </w:rPr>
        <w:t>Source: London Economics’ analysis of survey data</w:t>
      </w:r>
      <w:r w:rsidR="0098060C">
        <w:rPr>
          <w:rStyle w:val="Emphasis"/>
          <w:b w:val="0"/>
          <w:iCs/>
          <w:color w:val="555674"/>
        </w:rPr>
        <w:t>.</w:t>
      </w:r>
    </w:p>
    <w:p w14:paraId="6DDB09B7" w14:textId="738684D0" w:rsidR="009D6EE8" w:rsidRPr="00BD366D" w:rsidRDefault="009D6EE8" w:rsidP="009D6EE8">
      <w:pPr>
        <w:rPr>
          <w:i/>
          <w:iCs/>
        </w:rPr>
      </w:pPr>
      <w:r>
        <w:rPr>
          <w:i/>
          <w:iCs/>
        </w:rPr>
        <w:t>Employment</w:t>
      </w:r>
    </w:p>
    <w:p w14:paraId="150CF6BC" w14:textId="13D22715" w:rsidR="00FE059A" w:rsidRDefault="00FE059A" w:rsidP="00FE059A">
      <w:r>
        <w:t>As discussed in the main report, the</w:t>
      </w:r>
      <w:r w:rsidRPr="00490C53">
        <w:t xml:space="preserve"> econometric analysis does not identify a statistically significant impact of the scheme</w:t>
      </w:r>
      <w:r>
        <w:t>s</w:t>
      </w:r>
      <w:r w:rsidRPr="00490C53">
        <w:t xml:space="preserve"> on borrowers’ </w:t>
      </w:r>
      <w:r>
        <w:t>employment</w:t>
      </w:r>
      <w:r w:rsidRPr="00490C53">
        <w:t xml:space="preserve"> in the second year </w:t>
      </w:r>
      <w:r>
        <w:t xml:space="preserve">of the </w:t>
      </w:r>
      <w:r w:rsidRPr="00490C53">
        <w:t>pandemic</w:t>
      </w:r>
      <w:r>
        <w:t>. Indeed, the coefficient on the variable “</w:t>
      </w:r>
      <w:r w:rsidRPr="00490C53">
        <w:t>Borrower, post intervention (Year 2)</w:t>
      </w:r>
      <w:r>
        <w:t xml:space="preserve">” is not statistically significant. </w:t>
      </w:r>
    </w:p>
    <w:p w14:paraId="06D28665" w14:textId="161DDD3C" w:rsidR="009D6EE8" w:rsidRPr="00BD366D" w:rsidRDefault="009D6EE8" w:rsidP="00BD366D">
      <w:r w:rsidRPr="00490C53">
        <w:t>The inclusion of variables related to participation in other business support schemes such as the CJRS and VAT deferral do not change the statistical significance of the estimated impacts (</w:t>
      </w:r>
      <w:proofErr w:type="gramStart"/>
      <w:r w:rsidRPr="00490C53">
        <w:t>i.e.</w:t>
      </w:r>
      <w:proofErr w:type="gramEnd"/>
      <w:r w:rsidRPr="00490C53">
        <w:t xml:space="preserve"> the coefficient on the variable “Borrower, post-intervention (Y</w:t>
      </w:r>
      <w:r>
        <w:t xml:space="preserve">ear </w:t>
      </w:r>
      <w:r w:rsidRPr="00490C53">
        <w:t xml:space="preserve">2)”. The estimated coefficient on CJRS use is statistically significant and negative in the BBLS model. In this model, CJRS use is associated with approximately </w:t>
      </w:r>
      <w:r w:rsidRPr="00846F78">
        <w:t>6%</w:t>
      </w:r>
      <w:r>
        <w:rPr>
          <w:rStyle w:val="FootnoteReference"/>
        </w:rPr>
        <w:footnoteReference w:id="149"/>
      </w:r>
      <w:r w:rsidRPr="00490C53">
        <w:t xml:space="preserve"> lower employment. The estimated coefficient related to the use of VAT Deferral is negative and significant in the CBILS/CLBILS model, with use of this scheme associated with approximately </w:t>
      </w:r>
      <w:r w:rsidRPr="00846F78">
        <w:t>5%</w:t>
      </w:r>
      <w:r>
        <w:rPr>
          <w:rStyle w:val="FootnoteReference"/>
        </w:rPr>
        <w:footnoteReference w:id="150"/>
      </w:r>
      <w:r w:rsidRPr="00490C53">
        <w:t xml:space="preserve"> lower employment. </w:t>
      </w:r>
    </w:p>
    <w:p w14:paraId="298BD54D" w14:textId="2656BE91" w:rsidR="00EF0A4F" w:rsidRPr="00EF0A4F" w:rsidRDefault="00EF0A4F" w:rsidP="00EF0A4F">
      <w:pPr>
        <w:pStyle w:val="Heading5"/>
      </w:pPr>
      <w:bookmarkStart w:id="272" w:name="_Ref138340013"/>
      <w:r w:rsidRPr="00490C53">
        <w:t xml:space="preserve">Table </w:t>
      </w:r>
      <w:r w:rsidRPr="00490C53">
        <w:fldChar w:fldCharType="begin"/>
      </w:r>
      <w:r w:rsidRPr="00490C53">
        <w:instrText>SEQ Table \* ARABIC</w:instrText>
      </w:r>
      <w:r w:rsidRPr="00490C53">
        <w:fldChar w:fldCharType="separate"/>
      </w:r>
      <w:r w:rsidR="00397D49">
        <w:rPr>
          <w:noProof/>
        </w:rPr>
        <w:t>29</w:t>
      </w:r>
      <w:r w:rsidRPr="00490C53">
        <w:fldChar w:fldCharType="end"/>
      </w:r>
      <w:bookmarkEnd w:id="272"/>
      <w:r w:rsidRPr="00490C53">
        <w:t>: Estimated impact of the Covid-19 Loan Guarantee Schemes on employment</w:t>
      </w:r>
    </w:p>
    <w:tbl>
      <w:tblPr>
        <w:tblStyle w:val="TableGrid"/>
        <w:tblW w:w="5000" w:type="pct"/>
        <w:tblLook w:val="04A0" w:firstRow="1" w:lastRow="0" w:firstColumn="1" w:lastColumn="0" w:noHBand="0" w:noVBand="1"/>
      </w:tblPr>
      <w:tblGrid>
        <w:gridCol w:w="4111"/>
        <w:gridCol w:w="1347"/>
        <w:gridCol w:w="1566"/>
        <w:gridCol w:w="1564"/>
        <w:gridCol w:w="1566"/>
      </w:tblGrid>
      <w:tr w:rsidR="00EF0A4F" w:rsidRPr="00490C53" w14:paraId="76FB5015" w14:textId="77777777">
        <w:trPr>
          <w:cnfStyle w:val="100000000000" w:firstRow="1" w:lastRow="0" w:firstColumn="0" w:lastColumn="0" w:oddVBand="0" w:evenVBand="0" w:oddHBand="0" w:evenHBand="0" w:firstRowFirstColumn="0" w:firstRowLastColumn="0" w:lastRowFirstColumn="0" w:lastRowLastColumn="0"/>
          <w:tblHeader/>
        </w:trPr>
        <w:tc>
          <w:tcPr>
            <w:tcW w:w="2024" w:type="pct"/>
          </w:tcPr>
          <w:p w14:paraId="7482ABEF" w14:textId="77777777" w:rsidR="00EF0A4F" w:rsidRPr="00490C53" w:rsidRDefault="00EF0A4F">
            <w:pPr>
              <w:pStyle w:val="Tablecolumnheading-inkblue"/>
              <w:rPr>
                <w:b w:val="0"/>
                <w:color w:val="FFFFFF" w:themeColor="background1"/>
                <w:szCs w:val="24"/>
              </w:rPr>
            </w:pPr>
            <w:r w:rsidRPr="00490C53">
              <w:rPr>
                <w:color w:val="FFFFFF" w:themeColor="background1"/>
                <w:szCs w:val="24"/>
              </w:rPr>
              <w:t>Variable</w:t>
            </w:r>
          </w:p>
        </w:tc>
        <w:tc>
          <w:tcPr>
            <w:tcW w:w="1434" w:type="pct"/>
            <w:gridSpan w:val="2"/>
            <w:tcBorders>
              <w:right w:val="dashed" w:sz="4" w:space="0" w:color="0054BA" w:themeColor="accent2"/>
            </w:tcBorders>
          </w:tcPr>
          <w:p w14:paraId="540ADC2B" w14:textId="77777777" w:rsidR="00EF0A4F" w:rsidRPr="00490C53" w:rsidRDefault="00EF0A4F">
            <w:pPr>
              <w:pStyle w:val="Tablecolumnheading-inkblue"/>
              <w:jc w:val="center"/>
              <w:rPr>
                <w:b w:val="0"/>
                <w:color w:val="FFFFFF" w:themeColor="background1"/>
                <w:szCs w:val="24"/>
              </w:rPr>
            </w:pPr>
            <w:r w:rsidRPr="00490C53">
              <w:rPr>
                <w:color w:val="FFFFFF" w:themeColor="background1"/>
                <w:szCs w:val="24"/>
              </w:rPr>
              <w:t>BBLS</w:t>
            </w:r>
          </w:p>
        </w:tc>
        <w:tc>
          <w:tcPr>
            <w:tcW w:w="1541" w:type="pct"/>
            <w:gridSpan w:val="2"/>
            <w:tcBorders>
              <w:left w:val="dashed" w:sz="4" w:space="0" w:color="0054BA" w:themeColor="accent2"/>
            </w:tcBorders>
          </w:tcPr>
          <w:p w14:paraId="3FAD50A3" w14:textId="77777777" w:rsidR="00EF0A4F" w:rsidRPr="00490C53" w:rsidRDefault="00EF0A4F">
            <w:pPr>
              <w:pStyle w:val="Tablecolumnheading-inkblue"/>
              <w:jc w:val="center"/>
              <w:rPr>
                <w:b w:val="0"/>
                <w:color w:val="FFFFFF" w:themeColor="background1"/>
                <w:szCs w:val="24"/>
              </w:rPr>
            </w:pPr>
            <w:r w:rsidRPr="00490C53">
              <w:rPr>
                <w:color w:val="FFFFFF" w:themeColor="background1"/>
                <w:szCs w:val="24"/>
              </w:rPr>
              <w:t>CBILS/CLBILS</w:t>
            </w:r>
          </w:p>
        </w:tc>
      </w:tr>
      <w:tr w:rsidR="00EF0A4F" w:rsidRPr="00490C53" w14:paraId="3376F19E" w14:textId="77777777">
        <w:trPr>
          <w:cnfStyle w:val="100000000000" w:firstRow="1" w:lastRow="0" w:firstColumn="0" w:lastColumn="0" w:oddVBand="0" w:evenVBand="0" w:oddHBand="0" w:evenHBand="0" w:firstRowFirstColumn="0" w:firstRowLastColumn="0" w:lastRowFirstColumn="0" w:lastRowLastColumn="0"/>
          <w:tblHeader/>
        </w:trPr>
        <w:tc>
          <w:tcPr>
            <w:tcW w:w="2024" w:type="pct"/>
            <w:shd w:val="clear" w:color="auto" w:fill="CCDDEF"/>
            <w:vAlign w:val="center"/>
          </w:tcPr>
          <w:p w14:paraId="223C31CA" w14:textId="77777777" w:rsidR="00EF0A4F" w:rsidRPr="00490C53" w:rsidDel="000A1204" w:rsidRDefault="00EF0A4F">
            <w:pPr>
              <w:pStyle w:val="Tabletext"/>
              <w:rPr>
                <w:szCs w:val="24"/>
              </w:rPr>
            </w:pPr>
          </w:p>
        </w:tc>
        <w:tc>
          <w:tcPr>
            <w:tcW w:w="663" w:type="pct"/>
            <w:shd w:val="clear" w:color="auto" w:fill="CCDDEF"/>
            <w:vAlign w:val="center"/>
          </w:tcPr>
          <w:p w14:paraId="7A4EC51B" w14:textId="77777777" w:rsidR="00EF0A4F" w:rsidRPr="00490C53" w:rsidRDefault="00EF0A4F">
            <w:pPr>
              <w:pStyle w:val="Tabletext"/>
              <w:jc w:val="center"/>
              <w:rPr>
                <w:szCs w:val="24"/>
              </w:rPr>
            </w:pPr>
            <w:r w:rsidRPr="00490C53">
              <w:rPr>
                <w:szCs w:val="24"/>
              </w:rPr>
              <w:t>[1]</w:t>
            </w:r>
          </w:p>
        </w:tc>
        <w:tc>
          <w:tcPr>
            <w:tcW w:w="771" w:type="pct"/>
            <w:tcBorders>
              <w:right w:val="dashed" w:sz="4" w:space="0" w:color="0054BA" w:themeColor="accent2"/>
            </w:tcBorders>
            <w:shd w:val="clear" w:color="auto" w:fill="CCDDEF"/>
            <w:vAlign w:val="center"/>
          </w:tcPr>
          <w:p w14:paraId="3AEC9BE3" w14:textId="77777777" w:rsidR="00EF0A4F" w:rsidRPr="00490C53" w:rsidRDefault="00EF0A4F">
            <w:pPr>
              <w:pStyle w:val="Tabletext"/>
              <w:jc w:val="center"/>
              <w:rPr>
                <w:rStyle w:val="Bold"/>
                <w:rFonts w:cstheme="minorHAnsi"/>
                <w:b/>
                <w:szCs w:val="24"/>
              </w:rPr>
            </w:pPr>
            <w:r w:rsidRPr="00490C53">
              <w:rPr>
                <w:rStyle w:val="Bold"/>
                <w:rFonts w:cstheme="minorHAnsi"/>
                <w:b/>
                <w:szCs w:val="24"/>
              </w:rPr>
              <w:t>[2]</w:t>
            </w:r>
          </w:p>
        </w:tc>
        <w:tc>
          <w:tcPr>
            <w:tcW w:w="770" w:type="pct"/>
            <w:tcBorders>
              <w:left w:val="dashed" w:sz="4" w:space="0" w:color="0054BA" w:themeColor="accent2"/>
            </w:tcBorders>
            <w:shd w:val="clear" w:color="auto" w:fill="CCDDEF"/>
            <w:vAlign w:val="center"/>
          </w:tcPr>
          <w:p w14:paraId="22252FB4" w14:textId="77777777" w:rsidR="00EF0A4F" w:rsidRPr="00490C53" w:rsidRDefault="00EF0A4F">
            <w:pPr>
              <w:pStyle w:val="Tabletext"/>
              <w:jc w:val="center"/>
              <w:rPr>
                <w:rStyle w:val="Bold"/>
                <w:rFonts w:cstheme="minorHAnsi"/>
                <w:b/>
                <w:szCs w:val="24"/>
              </w:rPr>
            </w:pPr>
            <w:r w:rsidRPr="00490C53">
              <w:rPr>
                <w:rStyle w:val="Bold"/>
                <w:rFonts w:cstheme="minorHAnsi"/>
                <w:b/>
                <w:szCs w:val="24"/>
              </w:rPr>
              <w:t>[3]</w:t>
            </w:r>
          </w:p>
        </w:tc>
        <w:tc>
          <w:tcPr>
            <w:tcW w:w="771" w:type="pct"/>
            <w:shd w:val="clear" w:color="auto" w:fill="CCDDEF"/>
            <w:vAlign w:val="center"/>
          </w:tcPr>
          <w:p w14:paraId="07A3D6E0" w14:textId="77777777" w:rsidR="00EF0A4F" w:rsidRPr="00490C53" w:rsidRDefault="00EF0A4F">
            <w:pPr>
              <w:pStyle w:val="Tabletext"/>
              <w:jc w:val="center"/>
              <w:rPr>
                <w:rStyle w:val="Bold"/>
                <w:rFonts w:cstheme="minorHAnsi"/>
                <w:b/>
                <w:szCs w:val="24"/>
              </w:rPr>
            </w:pPr>
            <w:r w:rsidRPr="00490C53">
              <w:rPr>
                <w:rStyle w:val="Bold"/>
                <w:rFonts w:cstheme="minorHAnsi"/>
                <w:b/>
                <w:szCs w:val="24"/>
              </w:rPr>
              <w:t>[4]</w:t>
            </w:r>
          </w:p>
        </w:tc>
      </w:tr>
      <w:tr w:rsidR="00EF0A4F" w:rsidRPr="00490C53" w14:paraId="1B529F9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shd w:val="clear" w:color="auto" w:fill="FFFFFF" w:themeFill="background1"/>
            <w:vAlign w:val="center"/>
          </w:tcPr>
          <w:p w14:paraId="7520149C" w14:textId="77777777" w:rsidR="00EF0A4F" w:rsidRPr="00490C53" w:rsidRDefault="00EF0A4F">
            <w:pPr>
              <w:pStyle w:val="Tabletext"/>
            </w:pPr>
            <w:r w:rsidRPr="00490C53">
              <w:t>Post-intervention (Year 2)</w:t>
            </w:r>
          </w:p>
        </w:tc>
        <w:tc>
          <w:tcPr>
            <w:tcW w:w="663" w:type="pct"/>
            <w:shd w:val="clear" w:color="auto" w:fill="FFFFFF" w:themeFill="background1"/>
            <w:vAlign w:val="top"/>
          </w:tcPr>
          <w:p w14:paraId="6AC3992F" w14:textId="77777777" w:rsidR="00EF0A4F" w:rsidRPr="00490C53" w:rsidRDefault="00EF0A4F">
            <w:pPr>
              <w:pStyle w:val="Tabletext"/>
              <w:spacing w:before="0" w:line="240" w:lineRule="auto"/>
              <w:jc w:val="center"/>
            </w:pPr>
            <w:r w:rsidRPr="00490C53">
              <w:t>-0.004</w:t>
            </w:r>
          </w:p>
          <w:p w14:paraId="6CD88B4B" w14:textId="77777777" w:rsidR="00EF0A4F" w:rsidRPr="00490C53" w:rsidRDefault="00EF0A4F">
            <w:pPr>
              <w:pStyle w:val="Tabletext"/>
              <w:spacing w:before="0" w:line="240" w:lineRule="auto"/>
              <w:jc w:val="center"/>
              <w:rPr>
                <w:szCs w:val="24"/>
              </w:rPr>
            </w:pPr>
            <w:r w:rsidRPr="00490C53">
              <w:rPr>
                <w:szCs w:val="24"/>
              </w:rPr>
              <w:t>(0.019)</w:t>
            </w:r>
          </w:p>
        </w:tc>
        <w:tc>
          <w:tcPr>
            <w:tcW w:w="771" w:type="pct"/>
            <w:tcBorders>
              <w:right w:val="dashed" w:sz="4" w:space="0" w:color="0054BA" w:themeColor="accent2"/>
            </w:tcBorders>
            <w:shd w:val="clear" w:color="auto" w:fill="FFFFFF" w:themeFill="background1"/>
            <w:vAlign w:val="top"/>
          </w:tcPr>
          <w:p w14:paraId="4A64B9AD" w14:textId="77777777" w:rsidR="00EF0A4F" w:rsidRPr="00490C53" w:rsidRDefault="00EF0A4F">
            <w:pPr>
              <w:pStyle w:val="Tabletext"/>
              <w:spacing w:before="0" w:line="240" w:lineRule="auto"/>
              <w:jc w:val="center"/>
            </w:pPr>
            <w:r w:rsidRPr="00490C53">
              <w:t>0.039**</w:t>
            </w:r>
          </w:p>
          <w:p w14:paraId="1533FE63"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(0.012)</w:t>
            </w:r>
          </w:p>
        </w:tc>
        <w:tc>
          <w:tcPr>
            <w:tcW w:w="770" w:type="pct"/>
            <w:tcBorders>
              <w:left w:val="dashed" w:sz="4" w:space="0" w:color="0054BA" w:themeColor="accent2"/>
            </w:tcBorders>
            <w:shd w:val="clear" w:color="auto" w:fill="FFFFFF" w:themeFill="background1"/>
            <w:vAlign w:val="top"/>
          </w:tcPr>
          <w:p w14:paraId="06B2DBF5" w14:textId="77777777" w:rsidR="00EF0A4F" w:rsidRPr="00490C53" w:rsidRDefault="00EF0A4F">
            <w:pPr>
              <w:pStyle w:val="Tabletext"/>
              <w:spacing w:before="0" w:line="240" w:lineRule="auto"/>
              <w:jc w:val="center"/>
            </w:pPr>
            <w:r w:rsidRPr="00490C53">
              <w:t>0.144</w:t>
            </w:r>
          </w:p>
          <w:p w14:paraId="16ACFE21"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(0.121)</w:t>
            </w:r>
          </w:p>
        </w:tc>
        <w:tc>
          <w:tcPr>
            <w:tcW w:w="771" w:type="pct"/>
            <w:shd w:val="clear" w:color="auto" w:fill="FFFFFF" w:themeFill="background1"/>
            <w:vAlign w:val="top"/>
          </w:tcPr>
          <w:p w14:paraId="059DED57" w14:textId="77777777" w:rsidR="00EF0A4F" w:rsidRPr="00490C53" w:rsidRDefault="00EF0A4F">
            <w:pPr>
              <w:pStyle w:val="Tabletext"/>
              <w:spacing w:before="0" w:line="240" w:lineRule="auto"/>
              <w:jc w:val="center"/>
            </w:pPr>
            <w:r w:rsidRPr="00490C53">
              <w:t>0.260</w:t>
            </w:r>
          </w:p>
          <w:p w14:paraId="16A6E2AC"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(0.177)</w:t>
            </w:r>
          </w:p>
        </w:tc>
      </w:tr>
      <w:tr w:rsidR="00EF0A4F" w:rsidRPr="00490C53" w14:paraId="641B60AF" w14:textId="77777777">
        <w:tblPrEx>
          <w:tblCellMar>
            <w:left w:w="108" w:type="dxa"/>
            <w:right w:w="108" w:type="dxa"/>
          </w:tblCellMar>
        </w:tblPrEx>
        <w:tc>
          <w:tcPr>
            <w:tcW w:w="2024" w:type="pct"/>
            <w:shd w:val="clear" w:color="auto" w:fill="CCDDEF"/>
            <w:vAlign w:val="center"/>
          </w:tcPr>
          <w:p w14:paraId="4BC0A1FE" w14:textId="77777777" w:rsidR="00EF0A4F" w:rsidRPr="00490C53" w:rsidRDefault="00EF0A4F">
            <w:pPr>
              <w:pStyle w:val="Tabletext"/>
            </w:pPr>
            <w:r w:rsidRPr="00490C53">
              <w:t>Borrower, post intervention (Year 2)</w:t>
            </w:r>
          </w:p>
        </w:tc>
        <w:tc>
          <w:tcPr>
            <w:tcW w:w="663" w:type="pct"/>
            <w:shd w:val="clear" w:color="auto" w:fill="CCDDEF"/>
            <w:vAlign w:val="top"/>
          </w:tcPr>
          <w:p w14:paraId="38137413" w14:textId="77777777" w:rsidR="00EF0A4F" w:rsidRPr="00490C53" w:rsidRDefault="00EF0A4F">
            <w:pPr>
              <w:pStyle w:val="Tabletext"/>
              <w:spacing w:before="0" w:line="240" w:lineRule="auto"/>
              <w:jc w:val="center"/>
            </w:pPr>
            <w:r w:rsidRPr="00490C53">
              <w:t>-0.038</w:t>
            </w:r>
          </w:p>
          <w:p w14:paraId="5D58DED5" w14:textId="77777777" w:rsidR="00EF0A4F" w:rsidRPr="00490C53" w:rsidRDefault="00EF0A4F">
            <w:pPr>
              <w:pStyle w:val="Tabletext"/>
              <w:spacing w:before="0" w:line="240" w:lineRule="auto"/>
              <w:jc w:val="center"/>
              <w:rPr>
                <w:szCs w:val="24"/>
              </w:rPr>
            </w:pPr>
            <w:r w:rsidRPr="00490C53">
              <w:rPr>
                <w:szCs w:val="24"/>
              </w:rPr>
              <w:t>(0.039)</w:t>
            </w:r>
          </w:p>
        </w:tc>
        <w:tc>
          <w:tcPr>
            <w:tcW w:w="771" w:type="pct"/>
            <w:tcBorders>
              <w:right w:val="dashed" w:sz="4" w:space="0" w:color="0054BA" w:themeColor="accent2"/>
            </w:tcBorders>
            <w:shd w:val="clear" w:color="auto" w:fill="CCDDEF"/>
            <w:vAlign w:val="top"/>
          </w:tcPr>
          <w:p w14:paraId="35697ABB" w14:textId="77777777" w:rsidR="00EF0A4F" w:rsidRPr="00490C53" w:rsidRDefault="00EF0A4F">
            <w:pPr>
              <w:pStyle w:val="Tabletext"/>
              <w:spacing w:before="0" w:line="240" w:lineRule="auto"/>
              <w:jc w:val="center"/>
            </w:pPr>
            <w:r w:rsidRPr="00490C53">
              <w:t>-0.028</w:t>
            </w:r>
          </w:p>
          <w:p w14:paraId="2A961A3F"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(0.041)</w:t>
            </w:r>
          </w:p>
        </w:tc>
        <w:tc>
          <w:tcPr>
            <w:tcW w:w="770" w:type="pct"/>
            <w:tcBorders>
              <w:left w:val="dashed" w:sz="4" w:space="0" w:color="0054BA" w:themeColor="accent2"/>
            </w:tcBorders>
            <w:shd w:val="clear" w:color="auto" w:fill="CCDDEF"/>
            <w:vAlign w:val="top"/>
          </w:tcPr>
          <w:p w14:paraId="5B79B335" w14:textId="77777777" w:rsidR="00EF0A4F" w:rsidRPr="00490C53" w:rsidRDefault="00EF0A4F">
            <w:pPr>
              <w:pStyle w:val="Tabletext"/>
              <w:spacing w:before="0" w:line="240" w:lineRule="auto"/>
              <w:jc w:val="center"/>
            </w:pPr>
            <w:r w:rsidRPr="00490C53">
              <w:t>-0.216</w:t>
            </w:r>
          </w:p>
          <w:p w14:paraId="66DCEDAA"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(0.127)</w:t>
            </w:r>
          </w:p>
        </w:tc>
        <w:tc>
          <w:tcPr>
            <w:tcW w:w="771" w:type="pct"/>
            <w:shd w:val="clear" w:color="auto" w:fill="CCDDEF"/>
            <w:vAlign w:val="top"/>
          </w:tcPr>
          <w:p w14:paraId="449684CC" w14:textId="77777777" w:rsidR="00EF0A4F" w:rsidRPr="00490C53" w:rsidRDefault="00EF0A4F">
            <w:pPr>
              <w:pStyle w:val="Tabletext"/>
              <w:spacing w:before="0" w:line="240" w:lineRule="auto"/>
              <w:jc w:val="center"/>
            </w:pPr>
            <w:r w:rsidRPr="00490C53">
              <w:t>-0.186</w:t>
            </w:r>
          </w:p>
          <w:p w14:paraId="5D71717B"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(0.126)</w:t>
            </w:r>
          </w:p>
        </w:tc>
      </w:tr>
      <w:tr w:rsidR="00EF0A4F" w:rsidRPr="00490C53" w14:paraId="43ECD70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shd w:val="clear" w:color="auto" w:fill="auto"/>
            <w:vAlign w:val="center"/>
          </w:tcPr>
          <w:p w14:paraId="09591416" w14:textId="77777777" w:rsidR="00EF0A4F" w:rsidRPr="00490C53" w:rsidRDefault="00EF0A4F">
            <w:pPr>
              <w:pStyle w:val="Tabletext"/>
            </w:pPr>
            <w:r w:rsidRPr="00490C53">
              <w:t>Post-intervention (Year 1)</w:t>
            </w:r>
          </w:p>
        </w:tc>
        <w:tc>
          <w:tcPr>
            <w:tcW w:w="663" w:type="pct"/>
            <w:shd w:val="clear" w:color="auto" w:fill="auto"/>
            <w:vAlign w:val="top"/>
          </w:tcPr>
          <w:p w14:paraId="396442CB" w14:textId="77777777" w:rsidR="00EF0A4F" w:rsidRPr="00490C53" w:rsidRDefault="00EF0A4F">
            <w:pPr>
              <w:pStyle w:val="Tabletext"/>
              <w:spacing w:before="0" w:line="240" w:lineRule="auto"/>
              <w:jc w:val="center"/>
            </w:pPr>
            <w:r w:rsidRPr="00490C53">
              <w:t>-0.046</w:t>
            </w:r>
          </w:p>
          <w:p w14:paraId="5663456E" w14:textId="77777777" w:rsidR="00EF0A4F" w:rsidRPr="00490C53" w:rsidRDefault="00EF0A4F">
            <w:pPr>
              <w:pStyle w:val="Tabletext"/>
              <w:spacing w:before="0" w:line="240" w:lineRule="auto"/>
              <w:jc w:val="center"/>
              <w:rPr>
                <w:szCs w:val="24"/>
              </w:rPr>
            </w:pPr>
            <w:r w:rsidRPr="00490C53">
              <w:rPr>
                <w:szCs w:val="24"/>
              </w:rPr>
              <w:t>(0.027)</w:t>
            </w:r>
          </w:p>
        </w:tc>
        <w:tc>
          <w:tcPr>
            <w:tcW w:w="771" w:type="pct"/>
            <w:tcBorders>
              <w:right w:val="dashed" w:sz="4" w:space="0" w:color="0054BA" w:themeColor="accent2"/>
            </w:tcBorders>
            <w:shd w:val="clear" w:color="auto" w:fill="auto"/>
            <w:vAlign w:val="top"/>
          </w:tcPr>
          <w:p w14:paraId="396B6514" w14:textId="77777777" w:rsidR="00EF0A4F" w:rsidRPr="00490C53" w:rsidRDefault="00EF0A4F">
            <w:pPr>
              <w:pStyle w:val="Tabletext"/>
              <w:spacing w:before="0" w:line="240" w:lineRule="auto"/>
              <w:jc w:val="center"/>
            </w:pPr>
            <w:r w:rsidRPr="00490C53">
              <w:t>-0.003</w:t>
            </w:r>
          </w:p>
          <w:p w14:paraId="68117B1E"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(0.035)</w:t>
            </w:r>
          </w:p>
        </w:tc>
        <w:tc>
          <w:tcPr>
            <w:tcW w:w="770" w:type="pct"/>
            <w:tcBorders>
              <w:left w:val="dashed" w:sz="4" w:space="0" w:color="0054BA" w:themeColor="accent2"/>
            </w:tcBorders>
            <w:shd w:val="clear" w:color="auto" w:fill="auto"/>
            <w:vAlign w:val="top"/>
          </w:tcPr>
          <w:p w14:paraId="01AD195A" w14:textId="77777777" w:rsidR="00EF0A4F" w:rsidRPr="00490C53" w:rsidRDefault="00EF0A4F">
            <w:pPr>
              <w:pStyle w:val="Tabletext"/>
              <w:spacing w:before="0" w:line="240" w:lineRule="auto"/>
              <w:jc w:val="center"/>
            </w:pPr>
            <w:r w:rsidRPr="00490C53">
              <w:t>-0.061***</w:t>
            </w:r>
          </w:p>
          <w:p w14:paraId="68B230F0"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(0.011)</w:t>
            </w:r>
          </w:p>
        </w:tc>
        <w:tc>
          <w:tcPr>
            <w:tcW w:w="771" w:type="pct"/>
            <w:shd w:val="clear" w:color="auto" w:fill="auto"/>
            <w:vAlign w:val="top"/>
          </w:tcPr>
          <w:p w14:paraId="170C5D94" w14:textId="77777777" w:rsidR="00EF0A4F" w:rsidRPr="00490C53" w:rsidRDefault="00EF0A4F">
            <w:pPr>
              <w:pStyle w:val="Tabletext"/>
              <w:spacing w:before="0" w:line="240" w:lineRule="auto"/>
              <w:jc w:val="center"/>
            </w:pPr>
            <w:r w:rsidRPr="00490C53">
              <w:t>0.052</w:t>
            </w:r>
          </w:p>
          <w:p w14:paraId="506EC0F2"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(0.071)</w:t>
            </w:r>
          </w:p>
        </w:tc>
      </w:tr>
      <w:tr w:rsidR="00EF0A4F" w:rsidRPr="00490C53" w14:paraId="2EFA7465" w14:textId="77777777">
        <w:tblPrEx>
          <w:tblCellMar>
            <w:left w:w="108" w:type="dxa"/>
            <w:right w:w="108" w:type="dxa"/>
          </w:tblCellMar>
        </w:tblPrEx>
        <w:tc>
          <w:tcPr>
            <w:tcW w:w="2024" w:type="pct"/>
            <w:shd w:val="clear" w:color="auto" w:fill="CCDDEF"/>
            <w:vAlign w:val="center"/>
          </w:tcPr>
          <w:p w14:paraId="7001526C" w14:textId="77777777" w:rsidR="00EF0A4F" w:rsidRPr="00490C53" w:rsidRDefault="00EF0A4F">
            <w:pPr>
              <w:pStyle w:val="Tabletext"/>
            </w:pPr>
            <w:r w:rsidRPr="00490C53">
              <w:t>Borrower, post intervention (Year 1)</w:t>
            </w:r>
          </w:p>
        </w:tc>
        <w:tc>
          <w:tcPr>
            <w:tcW w:w="663" w:type="pct"/>
            <w:shd w:val="clear" w:color="auto" w:fill="CCDDEF"/>
            <w:vAlign w:val="top"/>
          </w:tcPr>
          <w:p w14:paraId="7DC3EC3F" w14:textId="77777777" w:rsidR="00EF0A4F" w:rsidRPr="00490C53" w:rsidRDefault="00EF0A4F">
            <w:pPr>
              <w:pStyle w:val="Tabletext"/>
              <w:spacing w:before="0" w:line="240" w:lineRule="auto"/>
              <w:jc w:val="center"/>
            </w:pPr>
            <w:r w:rsidRPr="00490C53">
              <w:t>-0.025</w:t>
            </w:r>
          </w:p>
          <w:p w14:paraId="604B2632" w14:textId="77777777" w:rsidR="00EF0A4F" w:rsidRPr="00490C53" w:rsidRDefault="00EF0A4F">
            <w:pPr>
              <w:pStyle w:val="Tabletext"/>
              <w:spacing w:before="0" w:line="240" w:lineRule="auto"/>
              <w:jc w:val="center"/>
              <w:rPr>
                <w:szCs w:val="24"/>
              </w:rPr>
            </w:pPr>
            <w:r w:rsidRPr="00490C53">
              <w:rPr>
                <w:szCs w:val="24"/>
              </w:rPr>
              <w:t>(0.026)</w:t>
            </w:r>
          </w:p>
        </w:tc>
        <w:tc>
          <w:tcPr>
            <w:tcW w:w="771" w:type="pct"/>
            <w:tcBorders>
              <w:right w:val="dashed" w:sz="4" w:space="0" w:color="0054BA" w:themeColor="accent2"/>
            </w:tcBorders>
            <w:shd w:val="clear" w:color="auto" w:fill="CCDDEF"/>
            <w:vAlign w:val="top"/>
          </w:tcPr>
          <w:p w14:paraId="3E052900" w14:textId="77777777" w:rsidR="00EF0A4F" w:rsidRPr="00490C53" w:rsidRDefault="00EF0A4F">
            <w:pPr>
              <w:pStyle w:val="Tabletext"/>
              <w:spacing w:before="0" w:line="240" w:lineRule="auto"/>
              <w:jc w:val="center"/>
            </w:pPr>
            <w:r w:rsidRPr="00490C53">
              <w:t>-0.013</w:t>
            </w:r>
          </w:p>
          <w:p w14:paraId="6702C0DC"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(0.022)</w:t>
            </w:r>
          </w:p>
        </w:tc>
        <w:tc>
          <w:tcPr>
            <w:tcW w:w="770" w:type="pct"/>
            <w:tcBorders>
              <w:left w:val="dashed" w:sz="4" w:space="0" w:color="0054BA" w:themeColor="accent2"/>
            </w:tcBorders>
            <w:shd w:val="clear" w:color="auto" w:fill="CCDDEF"/>
            <w:vAlign w:val="top"/>
          </w:tcPr>
          <w:p w14:paraId="6FADAC48" w14:textId="77777777" w:rsidR="00EF0A4F" w:rsidRPr="00490C53" w:rsidRDefault="00EF0A4F">
            <w:pPr>
              <w:pStyle w:val="Tabletext"/>
              <w:spacing w:before="0" w:line="240" w:lineRule="auto"/>
              <w:jc w:val="center"/>
            </w:pPr>
            <w:r w:rsidRPr="00490C53">
              <w:t>0.000</w:t>
            </w:r>
          </w:p>
          <w:p w14:paraId="74B749BA"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(0.021)</w:t>
            </w:r>
          </w:p>
        </w:tc>
        <w:tc>
          <w:tcPr>
            <w:tcW w:w="771" w:type="pct"/>
            <w:shd w:val="clear" w:color="auto" w:fill="CCDDEF"/>
            <w:vAlign w:val="top"/>
          </w:tcPr>
          <w:p w14:paraId="36946346" w14:textId="77777777" w:rsidR="00EF0A4F" w:rsidRPr="00490C53" w:rsidRDefault="00EF0A4F">
            <w:pPr>
              <w:pStyle w:val="Tabletext"/>
              <w:spacing w:before="0" w:line="240" w:lineRule="auto"/>
              <w:jc w:val="center"/>
            </w:pPr>
            <w:r w:rsidRPr="00490C53">
              <w:t>0.035</w:t>
            </w:r>
          </w:p>
          <w:p w14:paraId="75B15443"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(0.017)</w:t>
            </w:r>
          </w:p>
        </w:tc>
      </w:tr>
      <w:tr w:rsidR="00EF0A4F" w:rsidRPr="00490C53" w14:paraId="2B519B9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shd w:val="clear" w:color="auto" w:fill="FFFFFF" w:themeFill="background1"/>
            <w:vAlign w:val="center"/>
          </w:tcPr>
          <w:p w14:paraId="59500974" w14:textId="77777777" w:rsidR="00EF0A4F" w:rsidRPr="00490C53" w:rsidRDefault="00EF0A4F">
            <w:pPr>
              <w:pStyle w:val="Tabletext"/>
            </w:pPr>
            <w:r w:rsidRPr="00490C53">
              <w:t>Used CJRS</w:t>
            </w:r>
          </w:p>
        </w:tc>
        <w:tc>
          <w:tcPr>
            <w:tcW w:w="663" w:type="pct"/>
            <w:shd w:val="clear" w:color="auto" w:fill="FFFFFF" w:themeFill="background1"/>
            <w:vAlign w:val="top"/>
          </w:tcPr>
          <w:p w14:paraId="6E877AE8" w14:textId="77777777" w:rsidR="00EF0A4F" w:rsidRPr="00490C53" w:rsidRDefault="00EF0A4F">
            <w:pPr>
              <w:pStyle w:val="Tabletext"/>
              <w:spacing w:before="0" w:line="240" w:lineRule="auto"/>
              <w:jc w:val="center"/>
              <w:rPr>
                <w:szCs w:val="24"/>
              </w:rPr>
            </w:pPr>
          </w:p>
        </w:tc>
        <w:tc>
          <w:tcPr>
            <w:tcW w:w="771" w:type="pct"/>
            <w:tcBorders>
              <w:right w:val="dashed" w:sz="4" w:space="0" w:color="0054BA" w:themeColor="accent2"/>
            </w:tcBorders>
            <w:shd w:val="clear" w:color="auto" w:fill="FFFFFF" w:themeFill="background1"/>
            <w:vAlign w:val="top"/>
          </w:tcPr>
          <w:p w14:paraId="5E831954"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-0.062***</w:t>
            </w:r>
          </w:p>
          <w:p w14:paraId="666F9FE1"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(0.012)</w:t>
            </w:r>
          </w:p>
        </w:tc>
        <w:tc>
          <w:tcPr>
            <w:tcW w:w="770" w:type="pct"/>
            <w:tcBorders>
              <w:left w:val="dashed" w:sz="4" w:space="0" w:color="0054BA" w:themeColor="accent2"/>
            </w:tcBorders>
            <w:shd w:val="clear" w:color="auto" w:fill="FFFFFF" w:themeFill="background1"/>
            <w:vAlign w:val="top"/>
          </w:tcPr>
          <w:p w14:paraId="635557F2" w14:textId="77777777" w:rsidR="00EF0A4F" w:rsidRPr="00490C53" w:rsidRDefault="00EF0A4F">
            <w:pPr>
              <w:pStyle w:val="Tabletext"/>
              <w:spacing w:before="0" w:line="240" w:lineRule="auto"/>
              <w:jc w:val="center"/>
              <w:rPr>
                <w:rStyle w:val="Bold"/>
                <w:rFonts w:cstheme="minorHAnsi"/>
                <w:b w:val="0"/>
                <w:bCs/>
                <w:szCs w:val="24"/>
              </w:rPr>
            </w:pPr>
          </w:p>
        </w:tc>
        <w:tc>
          <w:tcPr>
            <w:tcW w:w="771" w:type="pct"/>
            <w:shd w:val="clear" w:color="auto" w:fill="FFFFFF" w:themeFill="background1"/>
            <w:vAlign w:val="top"/>
          </w:tcPr>
          <w:p w14:paraId="5C1BDD9E"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-0.122</w:t>
            </w:r>
          </w:p>
          <w:p w14:paraId="3411D628"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(0.062)</w:t>
            </w:r>
          </w:p>
        </w:tc>
      </w:tr>
      <w:tr w:rsidR="00EF0A4F" w:rsidRPr="00490C53" w14:paraId="3D0E96ED" w14:textId="77777777">
        <w:tblPrEx>
          <w:tblCellMar>
            <w:left w:w="108" w:type="dxa"/>
            <w:right w:w="108" w:type="dxa"/>
          </w:tblCellMar>
        </w:tblPrEx>
        <w:trPr>
          <w:trHeight w:val="276"/>
        </w:trPr>
        <w:tc>
          <w:tcPr>
            <w:tcW w:w="2024" w:type="pct"/>
            <w:shd w:val="clear" w:color="auto" w:fill="CCDDEF"/>
            <w:vAlign w:val="center"/>
          </w:tcPr>
          <w:p w14:paraId="74CBC321" w14:textId="77777777" w:rsidR="00EF0A4F" w:rsidRPr="00490C53" w:rsidRDefault="00EF0A4F">
            <w:pPr>
              <w:pStyle w:val="Tabletext"/>
            </w:pPr>
            <w:r w:rsidRPr="00490C53">
              <w:t>Used VAT Deferral</w:t>
            </w:r>
          </w:p>
        </w:tc>
        <w:tc>
          <w:tcPr>
            <w:tcW w:w="663" w:type="pct"/>
            <w:shd w:val="clear" w:color="auto" w:fill="CCDDEF"/>
            <w:vAlign w:val="top"/>
          </w:tcPr>
          <w:p w14:paraId="4809B4CF" w14:textId="77777777" w:rsidR="00EF0A4F" w:rsidRPr="00490C53" w:rsidRDefault="00EF0A4F">
            <w:pPr>
              <w:pStyle w:val="Tabletext"/>
              <w:spacing w:before="0" w:line="240" w:lineRule="auto"/>
              <w:jc w:val="center"/>
              <w:rPr>
                <w:szCs w:val="24"/>
              </w:rPr>
            </w:pPr>
          </w:p>
        </w:tc>
        <w:tc>
          <w:tcPr>
            <w:tcW w:w="771" w:type="pct"/>
            <w:tcBorders>
              <w:right w:val="dashed" w:sz="4" w:space="0" w:color="0054BA" w:themeColor="accent2"/>
            </w:tcBorders>
            <w:shd w:val="clear" w:color="auto" w:fill="CCDDEF"/>
            <w:vAlign w:val="top"/>
          </w:tcPr>
          <w:p w14:paraId="376A51BA"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0.004</w:t>
            </w:r>
          </w:p>
          <w:p w14:paraId="04CE0EF6"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(0.025)</w:t>
            </w:r>
          </w:p>
        </w:tc>
        <w:tc>
          <w:tcPr>
            <w:tcW w:w="770" w:type="pct"/>
            <w:tcBorders>
              <w:left w:val="dashed" w:sz="4" w:space="0" w:color="0054BA" w:themeColor="accent2"/>
            </w:tcBorders>
            <w:shd w:val="clear" w:color="auto" w:fill="CCDDEF"/>
            <w:vAlign w:val="top"/>
          </w:tcPr>
          <w:p w14:paraId="7020A44B" w14:textId="77777777" w:rsidR="00EF0A4F" w:rsidRPr="00490C53" w:rsidRDefault="00EF0A4F">
            <w:pPr>
              <w:pStyle w:val="Tabletext"/>
              <w:spacing w:before="0" w:line="240" w:lineRule="auto"/>
              <w:jc w:val="center"/>
              <w:rPr>
                <w:rStyle w:val="Bold"/>
                <w:rFonts w:cstheme="minorHAnsi"/>
                <w:b w:val="0"/>
                <w:bCs/>
                <w:szCs w:val="24"/>
              </w:rPr>
            </w:pPr>
          </w:p>
        </w:tc>
        <w:tc>
          <w:tcPr>
            <w:tcW w:w="771" w:type="pct"/>
            <w:shd w:val="clear" w:color="auto" w:fill="CCDDEF"/>
            <w:vAlign w:val="top"/>
          </w:tcPr>
          <w:p w14:paraId="2F4BC28A"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-0.049*</w:t>
            </w:r>
          </w:p>
          <w:p w14:paraId="0872F430"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(0.021)</w:t>
            </w:r>
          </w:p>
        </w:tc>
      </w:tr>
      <w:tr w:rsidR="00EF0A4F" w:rsidRPr="00490C53" w14:paraId="52EA2BD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shd w:val="clear" w:color="auto" w:fill="FFFFFF" w:themeFill="background1"/>
            <w:vAlign w:val="center"/>
          </w:tcPr>
          <w:p w14:paraId="73C0D27E" w14:textId="77777777" w:rsidR="00EF0A4F" w:rsidRPr="00490C53" w:rsidRDefault="00EF0A4F">
            <w:pPr>
              <w:pStyle w:val="Tabletext"/>
            </w:pPr>
            <w:r w:rsidRPr="00490C53">
              <w:lastRenderedPageBreak/>
              <w:t>Used Other Support</w:t>
            </w:r>
          </w:p>
        </w:tc>
        <w:tc>
          <w:tcPr>
            <w:tcW w:w="663" w:type="pct"/>
            <w:shd w:val="clear" w:color="auto" w:fill="FFFFFF" w:themeFill="background1"/>
            <w:vAlign w:val="top"/>
          </w:tcPr>
          <w:p w14:paraId="47582827" w14:textId="77777777" w:rsidR="00EF0A4F" w:rsidRPr="00490C53" w:rsidRDefault="00EF0A4F">
            <w:pPr>
              <w:pStyle w:val="Tabletext"/>
              <w:spacing w:before="0" w:line="240" w:lineRule="auto"/>
              <w:jc w:val="center"/>
              <w:rPr>
                <w:szCs w:val="24"/>
              </w:rPr>
            </w:pPr>
          </w:p>
        </w:tc>
        <w:tc>
          <w:tcPr>
            <w:tcW w:w="771" w:type="pct"/>
            <w:tcBorders>
              <w:right w:val="dashed" w:sz="4" w:space="0" w:color="0054BA" w:themeColor="accent2"/>
            </w:tcBorders>
            <w:shd w:val="clear" w:color="auto" w:fill="FFFFFF" w:themeFill="background1"/>
            <w:vAlign w:val="top"/>
          </w:tcPr>
          <w:p w14:paraId="1C094E17"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-0.026</w:t>
            </w:r>
          </w:p>
          <w:p w14:paraId="2C058DBE"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(0.033)</w:t>
            </w:r>
          </w:p>
        </w:tc>
        <w:tc>
          <w:tcPr>
            <w:tcW w:w="770" w:type="pct"/>
            <w:tcBorders>
              <w:left w:val="dashed" w:sz="4" w:space="0" w:color="0054BA" w:themeColor="accent2"/>
            </w:tcBorders>
            <w:shd w:val="clear" w:color="auto" w:fill="FFFFFF" w:themeFill="background1"/>
            <w:vAlign w:val="top"/>
          </w:tcPr>
          <w:p w14:paraId="6C1B6D24" w14:textId="77777777" w:rsidR="00EF0A4F" w:rsidRPr="00490C53" w:rsidRDefault="00EF0A4F">
            <w:pPr>
              <w:pStyle w:val="Tabletext"/>
              <w:spacing w:before="0" w:line="240" w:lineRule="auto"/>
              <w:jc w:val="center"/>
              <w:rPr>
                <w:rStyle w:val="Bold"/>
                <w:rFonts w:cstheme="minorHAnsi"/>
                <w:b w:val="0"/>
                <w:bCs/>
                <w:szCs w:val="24"/>
              </w:rPr>
            </w:pPr>
          </w:p>
        </w:tc>
        <w:tc>
          <w:tcPr>
            <w:tcW w:w="771" w:type="pct"/>
            <w:shd w:val="clear" w:color="auto" w:fill="FFFFFF" w:themeFill="background1"/>
            <w:vAlign w:val="top"/>
          </w:tcPr>
          <w:p w14:paraId="7336E3FA"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-0.030</w:t>
            </w:r>
          </w:p>
          <w:p w14:paraId="1BD4EF39"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(0.044)</w:t>
            </w:r>
          </w:p>
        </w:tc>
      </w:tr>
      <w:tr w:rsidR="00EF0A4F" w:rsidRPr="00490C53" w14:paraId="2A7B4E65" w14:textId="77777777">
        <w:tblPrEx>
          <w:tblCellMar>
            <w:left w:w="108" w:type="dxa"/>
            <w:right w:w="108" w:type="dxa"/>
          </w:tblCellMar>
        </w:tblPrEx>
        <w:tc>
          <w:tcPr>
            <w:tcW w:w="2024" w:type="pct"/>
            <w:shd w:val="clear" w:color="auto" w:fill="CCDDEF"/>
            <w:vAlign w:val="center"/>
          </w:tcPr>
          <w:p w14:paraId="7CA15BB4" w14:textId="77777777" w:rsidR="00EF0A4F" w:rsidRPr="00490C53" w:rsidRDefault="00EF0A4F">
            <w:pPr>
              <w:pStyle w:val="Tabletext"/>
            </w:pPr>
            <w:r w:rsidRPr="00490C53">
              <w:t>Constant</w:t>
            </w:r>
          </w:p>
        </w:tc>
        <w:tc>
          <w:tcPr>
            <w:tcW w:w="663" w:type="pct"/>
            <w:shd w:val="clear" w:color="auto" w:fill="CCDDEF"/>
            <w:vAlign w:val="top"/>
          </w:tcPr>
          <w:p w14:paraId="5547FEDA" w14:textId="77777777" w:rsidR="00EF0A4F" w:rsidRPr="00490C53" w:rsidRDefault="00EF0A4F">
            <w:pPr>
              <w:pStyle w:val="Tabletext"/>
              <w:spacing w:before="0" w:line="240" w:lineRule="auto"/>
              <w:jc w:val="center"/>
            </w:pPr>
            <w:r w:rsidRPr="00490C53">
              <w:t>1.539***</w:t>
            </w:r>
          </w:p>
          <w:p w14:paraId="4608D1C7" w14:textId="77777777" w:rsidR="00EF0A4F" w:rsidRPr="00490C53" w:rsidRDefault="00EF0A4F">
            <w:pPr>
              <w:pStyle w:val="Tabletext"/>
              <w:spacing w:before="0" w:line="240" w:lineRule="auto"/>
              <w:jc w:val="center"/>
              <w:rPr>
                <w:szCs w:val="24"/>
              </w:rPr>
            </w:pPr>
            <w:r w:rsidRPr="00490C53">
              <w:rPr>
                <w:szCs w:val="24"/>
              </w:rPr>
              <w:t>(0.009)</w:t>
            </w:r>
          </w:p>
        </w:tc>
        <w:tc>
          <w:tcPr>
            <w:tcW w:w="771" w:type="pct"/>
            <w:tcBorders>
              <w:right w:val="dashed" w:sz="4" w:space="0" w:color="0054BA" w:themeColor="accent2"/>
            </w:tcBorders>
            <w:shd w:val="clear" w:color="auto" w:fill="CCDDEF"/>
            <w:vAlign w:val="top"/>
          </w:tcPr>
          <w:p w14:paraId="5B649E4D" w14:textId="77777777" w:rsidR="00EF0A4F" w:rsidRPr="00490C53" w:rsidRDefault="00EF0A4F">
            <w:pPr>
              <w:pStyle w:val="Tabletext"/>
              <w:spacing w:before="0" w:line="240" w:lineRule="auto"/>
              <w:jc w:val="center"/>
            </w:pPr>
            <w:r w:rsidRPr="00490C53">
              <w:t>1.539***</w:t>
            </w:r>
          </w:p>
          <w:p w14:paraId="3E19D61A"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(0.009)</w:t>
            </w:r>
          </w:p>
        </w:tc>
        <w:tc>
          <w:tcPr>
            <w:tcW w:w="770" w:type="pct"/>
            <w:tcBorders>
              <w:left w:val="dashed" w:sz="4" w:space="0" w:color="0054BA" w:themeColor="accent2"/>
            </w:tcBorders>
            <w:shd w:val="clear" w:color="auto" w:fill="CCDDEF"/>
            <w:vAlign w:val="top"/>
          </w:tcPr>
          <w:p w14:paraId="00376D07" w14:textId="77777777" w:rsidR="00EF0A4F" w:rsidRPr="00490C53" w:rsidRDefault="00EF0A4F">
            <w:pPr>
              <w:pStyle w:val="Tabletext"/>
              <w:spacing w:before="0" w:line="240" w:lineRule="auto"/>
              <w:jc w:val="center"/>
            </w:pPr>
            <w:r w:rsidRPr="00490C53">
              <w:t>2.845***</w:t>
            </w:r>
          </w:p>
          <w:p w14:paraId="695E6741"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(0.013)</w:t>
            </w:r>
          </w:p>
        </w:tc>
        <w:tc>
          <w:tcPr>
            <w:tcW w:w="771" w:type="pct"/>
            <w:shd w:val="clear" w:color="auto" w:fill="CCDDEF"/>
            <w:vAlign w:val="top"/>
          </w:tcPr>
          <w:p w14:paraId="65AC0DEA" w14:textId="77777777" w:rsidR="00EF0A4F" w:rsidRPr="00490C53" w:rsidRDefault="00EF0A4F">
            <w:pPr>
              <w:pStyle w:val="Tabletext"/>
              <w:spacing w:before="0" w:line="240" w:lineRule="auto"/>
              <w:jc w:val="center"/>
            </w:pPr>
            <w:r w:rsidRPr="00490C53">
              <w:t>2.846***</w:t>
            </w:r>
          </w:p>
          <w:p w14:paraId="149EC86A"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(0.014)</w:t>
            </w:r>
          </w:p>
        </w:tc>
      </w:tr>
      <w:tr w:rsidR="00EF0A4F" w:rsidRPr="00490C53" w14:paraId="42E537C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tcBorders>
              <w:top w:val="single" w:sz="4" w:space="0" w:color="0054BA"/>
            </w:tcBorders>
            <w:shd w:val="clear" w:color="auto" w:fill="FFFFFF" w:themeFill="background1"/>
            <w:vAlign w:val="center"/>
          </w:tcPr>
          <w:p w14:paraId="577B41E5" w14:textId="77777777" w:rsidR="00EF0A4F" w:rsidRPr="00490C53" w:rsidRDefault="00EF0A4F">
            <w:pPr>
              <w:pStyle w:val="Tabletext"/>
            </w:pPr>
            <w:r w:rsidRPr="00490C53">
              <w:t>Observations</w:t>
            </w:r>
          </w:p>
        </w:tc>
        <w:tc>
          <w:tcPr>
            <w:tcW w:w="663" w:type="pct"/>
            <w:tcBorders>
              <w:top w:val="single" w:sz="4" w:space="0" w:color="0054BA"/>
            </w:tcBorders>
            <w:shd w:val="clear" w:color="auto" w:fill="FFFFFF" w:themeFill="background1"/>
            <w:vAlign w:val="center"/>
          </w:tcPr>
          <w:p w14:paraId="2E9BD9CA" w14:textId="77777777" w:rsidR="00EF0A4F" w:rsidRPr="00490C53" w:rsidRDefault="00EF0A4F">
            <w:pPr>
              <w:pStyle w:val="Tabletext"/>
              <w:spacing w:before="0" w:line="240" w:lineRule="auto"/>
              <w:jc w:val="center"/>
              <w:rPr>
                <w:szCs w:val="24"/>
              </w:rPr>
            </w:pPr>
            <w:r w:rsidRPr="00490C53">
              <w:t>2,183</w:t>
            </w:r>
          </w:p>
        </w:tc>
        <w:tc>
          <w:tcPr>
            <w:tcW w:w="771" w:type="pct"/>
            <w:tcBorders>
              <w:top w:val="single" w:sz="4" w:space="0" w:color="0054BA"/>
              <w:right w:val="dashed" w:sz="4" w:space="0" w:color="0054BA" w:themeColor="accent2"/>
            </w:tcBorders>
            <w:shd w:val="clear" w:color="auto" w:fill="FFFFFF" w:themeFill="background1"/>
            <w:vAlign w:val="center"/>
          </w:tcPr>
          <w:p w14:paraId="2BFEEDEE" w14:textId="77777777" w:rsidR="00EF0A4F" w:rsidRPr="00490C53" w:rsidRDefault="00EF0A4F">
            <w:pPr>
              <w:pStyle w:val="Tabletext"/>
              <w:spacing w:before="0" w:line="240" w:lineRule="auto"/>
              <w:jc w:val="center"/>
              <w:rPr>
                <w:rStyle w:val="Bold"/>
                <w:rFonts w:cstheme="minorHAnsi"/>
                <w:b w:val="0"/>
                <w:bCs/>
                <w:szCs w:val="24"/>
              </w:rPr>
            </w:pPr>
            <w:r w:rsidRPr="00490C53">
              <w:t>2,183</w:t>
            </w:r>
          </w:p>
        </w:tc>
        <w:tc>
          <w:tcPr>
            <w:tcW w:w="770" w:type="pct"/>
            <w:tcBorders>
              <w:top w:val="single" w:sz="4" w:space="0" w:color="0054BA"/>
              <w:left w:val="dashed" w:sz="4" w:space="0" w:color="0054BA" w:themeColor="accent2"/>
            </w:tcBorders>
            <w:shd w:val="clear" w:color="auto" w:fill="FFFFFF" w:themeFill="background1"/>
            <w:vAlign w:val="center"/>
          </w:tcPr>
          <w:p w14:paraId="6DFA8B3D" w14:textId="77777777" w:rsidR="00EF0A4F" w:rsidRPr="00490C53" w:rsidRDefault="00EF0A4F">
            <w:pPr>
              <w:pStyle w:val="Tabletext"/>
              <w:spacing w:before="0" w:line="240" w:lineRule="auto"/>
              <w:jc w:val="center"/>
              <w:rPr>
                <w:rStyle w:val="Bold"/>
                <w:rFonts w:cstheme="minorHAnsi"/>
                <w:b w:val="0"/>
                <w:bCs/>
                <w:szCs w:val="24"/>
              </w:rPr>
            </w:pPr>
            <w:r w:rsidRPr="00490C53">
              <w:t>1,511</w:t>
            </w:r>
          </w:p>
        </w:tc>
        <w:tc>
          <w:tcPr>
            <w:tcW w:w="771" w:type="pct"/>
            <w:tcBorders>
              <w:top w:val="single" w:sz="4" w:space="0" w:color="0054BA"/>
            </w:tcBorders>
            <w:shd w:val="clear" w:color="auto" w:fill="FFFFFF" w:themeFill="background1"/>
            <w:vAlign w:val="center"/>
          </w:tcPr>
          <w:p w14:paraId="3FBCA3D0" w14:textId="77777777" w:rsidR="00EF0A4F" w:rsidRPr="00490C53" w:rsidRDefault="00EF0A4F">
            <w:pPr>
              <w:pStyle w:val="Tabletext"/>
              <w:spacing w:before="0" w:line="240" w:lineRule="auto"/>
              <w:jc w:val="center"/>
              <w:rPr>
                <w:rStyle w:val="Bold"/>
                <w:rFonts w:cstheme="minorHAnsi"/>
                <w:b w:val="0"/>
                <w:bCs/>
                <w:szCs w:val="24"/>
              </w:rPr>
            </w:pPr>
            <w:r w:rsidRPr="00490C53">
              <w:t>1,511</w:t>
            </w:r>
          </w:p>
        </w:tc>
      </w:tr>
      <w:tr w:rsidR="00EF0A4F" w:rsidRPr="00490C53" w14:paraId="0D58CED3" w14:textId="77777777">
        <w:tblPrEx>
          <w:tblCellMar>
            <w:left w:w="108" w:type="dxa"/>
            <w:right w:w="108" w:type="dxa"/>
          </w:tblCellMar>
        </w:tblPrEx>
        <w:tc>
          <w:tcPr>
            <w:tcW w:w="2024" w:type="pct"/>
            <w:shd w:val="clear" w:color="auto" w:fill="CCDDEF"/>
            <w:vAlign w:val="center"/>
          </w:tcPr>
          <w:p w14:paraId="6E98D51B" w14:textId="77777777" w:rsidR="00EF0A4F" w:rsidRPr="00490C53" w:rsidRDefault="00EF0A4F">
            <w:pPr>
              <w:pStyle w:val="Tabletext"/>
            </w:pPr>
            <w:r w:rsidRPr="00490C53">
              <w:t>R-squared</w:t>
            </w:r>
          </w:p>
        </w:tc>
        <w:tc>
          <w:tcPr>
            <w:tcW w:w="663" w:type="pct"/>
            <w:shd w:val="clear" w:color="auto" w:fill="CCDDEF"/>
            <w:vAlign w:val="center"/>
          </w:tcPr>
          <w:p w14:paraId="78345F85" w14:textId="77777777" w:rsidR="00EF0A4F" w:rsidRPr="00490C53" w:rsidRDefault="00EF0A4F">
            <w:pPr>
              <w:pStyle w:val="Tabletext"/>
              <w:spacing w:before="0" w:line="240" w:lineRule="auto"/>
              <w:jc w:val="center"/>
              <w:rPr>
                <w:szCs w:val="24"/>
              </w:rPr>
            </w:pPr>
            <w:r w:rsidRPr="00490C53">
              <w:t>0.023</w:t>
            </w:r>
          </w:p>
        </w:tc>
        <w:tc>
          <w:tcPr>
            <w:tcW w:w="771" w:type="pct"/>
            <w:tcBorders>
              <w:right w:val="dashed" w:sz="4" w:space="0" w:color="0054BA" w:themeColor="accent2"/>
            </w:tcBorders>
            <w:shd w:val="clear" w:color="auto" w:fill="CCDDEF"/>
            <w:vAlign w:val="center"/>
          </w:tcPr>
          <w:p w14:paraId="0C41751E" w14:textId="77777777" w:rsidR="00EF0A4F" w:rsidRPr="00490C53" w:rsidRDefault="00EF0A4F">
            <w:pPr>
              <w:pStyle w:val="Tabletext"/>
              <w:spacing w:before="0" w:line="240" w:lineRule="auto"/>
              <w:jc w:val="center"/>
              <w:rPr>
                <w:rStyle w:val="Bold"/>
                <w:rFonts w:cstheme="minorHAnsi"/>
                <w:b w:val="0"/>
                <w:bCs/>
                <w:szCs w:val="24"/>
              </w:rPr>
            </w:pPr>
            <w:r w:rsidRPr="00490C53">
              <w:t>0.031</w:t>
            </w:r>
          </w:p>
        </w:tc>
        <w:tc>
          <w:tcPr>
            <w:tcW w:w="770" w:type="pct"/>
            <w:tcBorders>
              <w:left w:val="dashed" w:sz="4" w:space="0" w:color="0054BA" w:themeColor="accent2"/>
            </w:tcBorders>
            <w:shd w:val="clear" w:color="auto" w:fill="CCDDEF"/>
            <w:vAlign w:val="center"/>
          </w:tcPr>
          <w:p w14:paraId="4636C6DB" w14:textId="77777777" w:rsidR="00EF0A4F" w:rsidRPr="00490C53" w:rsidRDefault="00EF0A4F">
            <w:pPr>
              <w:pStyle w:val="Tabletext"/>
              <w:spacing w:before="0" w:line="240" w:lineRule="auto"/>
              <w:jc w:val="center"/>
              <w:rPr>
                <w:rStyle w:val="Bold"/>
                <w:rFonts w:cstheme="minorHAnsi"/>
                <w:b w:val="0"/>
                <w:bCs/>
                <w:szCs w:val="24"/>
              </w:rPr>
            </w:pPr>
            <w:r w:rsidRPr="00490C53">
              <w:t>0.025</w:t>
            </w:r>
          </w:p>
        </w:tc>
        <w:tc>
          <w:tcPr>
            <w:tcW w:w="771" w:type="pct"/>
            <w:shd w:val="clear" w:color="auto" w:fill="CCDDEF"/>
            <w:vAlign w:val="center"/>
          </w:tcPr>
          <w:p w14:paraId="3E7799EC" w14:textId="77777777" w:rsidR="00EF0A4F" w:rsidRPr="00490C53" w:rsidRDefault="00EF0A4F">
            <w:pPr>
              <w:pStyle w:val="Tabletext"/>
              <w:spacing w:before="0" w:line="240" w:lineRule="auto"/>
              <w:jc w:val="center"/>
              <w:rPr>
                <w:rStyle w:val="Bold"/>
                <w:rFonts w:cstheme="minorHAnsi"/>
                <w:b w:val="0"/>
                <w:bCs/>
                <w:szCs w:val="24"/>
              </w:rPr>
            </w:pPr>
            <w:r w:rsidRPr="00490C53">
              <w:t>0.034</w:t>
            </w:r>
          </w:p>
        </w:tc>
      </w:tr>
      <w:tr w:rsidR="00EF0A4F" w:rsidRPr="00490C53" w14:paraId="7883F73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24" w:type="pct"/>
            <w:tcBorders>
              <w:bottom w:val="single" w:sz="4" w:space="0" w:color="0054BA" w:themeColor="accent2"/>
            </w:tcBorders>
            <w:shd w:val="clear" w:color="auto" w:fill="FFFFFF" w:themeFill="background1"/>
            <w:vAlign w:val="center"/>
          </w:tcPr>
          <w:p w14:paraId="23033132" w14:textId="77777777" w:rsidR="00EF0A4F" w:rsidRPr="00490C53" w:rsidRDefault="00EF0A4F">
            <w:pPr>
              <w:pStyle w:val="Tabletext"/>
            </w:pPr>
            <w:r w:rsidRPr="00490C53">
              <w:t>Business fixed effects</w:t>
            </w:r>
          </w:p>
        </w:tc>
        <w:tc>
          <w:tcPr>
            <w:tcW w:w="663" w:type="pct"/>
            <w:tcBorders>
              <w:bottom w:val="single" w:sz="4" w:space="0" w:color="0054BA" w:themeColor="accent2"/>
            </w:tcBorders>
            <w:shd w:val="clear" w:color="auto" w:fill="FFFFFF" w:themeFill="background1"/>
            <w:vAlign w:val="center"/>
          </w:tcPr>
          <w:p w14:paraId="4C831C03" w14:textId="77777777" w:rsidR="00EF0A4F" w:rsidRPr="00490C53" w:rsidRDefault="00EF0A4F">
            <w:pPr>
              <w:pStyle w:val="Tabletext"/>
              <w:spacing w:before="0" w:line="240" w:lineRule="auto"/>
              <w:jc w:val="center"/>
              <w:rPr>
                <w:szCs w:val="24"/>
              </w:rPr>
            </w:pPr>
            <w:r w:rsidRPr="00490C53">
              <w:rPr>
                <w:szCs w:val="24"/>
              </w:rPr>
              <w:t>Yes</w:t>
            </w:r>
          </w:p>
        </w:tc>
        <w:tc>
          <w:tcPr>
            <w:tcW w:w="771" w:type="pct"/>
            <w:tcBorders>
              <w:bottom w:val="single" w:sz="4" w:space="0" w:color="0054BA" w:themeColor="accent2"/>
              <w:right w:val="dashed" w:sz="4" w:space="0" w:color="0054BA" w:themeColor="accent2"/>
            </w:tcBorders>
            <w:shd w:val="clear" w:color="auto" w:fill="FFFFFF" w:themeFill="background1"/>
            <w:vAlign w:val="center"/>
          </w:tcPr>
          <w:p w14:paraId="5CD6788E"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Yes</w:t>
            </w:r>
          </w:p>
        </w:tc>
        <w:tc>
          <w:tcPr>
            <w:tcW w:w="770" w:type="pct"/>
            <w:tcBorders>
              <w:left w:val="dashed" w:sz="4" w:space="0" w:color="0054BA" w:themeColor="accent2"/>
              <w:bottom w:val="single" w:sz="4" w:space="0" w:color="0054BA" w:themeColor="accent2"/>
            </w:tcBorders>
            <w:shd w:val="clear" w:color="auto" w:fill="FFFFFF" w:themeFill="background1"/>
            <w:vAlign w:val="center"/>
          </w:tcPr>
          <w:p w14:paraId="2ADBB4C8"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Yes</w:t>
            </w:r>
          </w:p>
        </w:tc>
        <w:tc>
          <w:tcPr>
            <w:tcW w:w="771" w:type="pct"/>
            <w:tcBorders>
              <w:bottom w:val="single" w:sz="4" w:space="0" w:color="0054BA" w:themeColor="accent2"/>
            </w:tcBorders>
            <w:shd w:val="clear" w:color="auto" w:fill="FFFFFF" w:themeFill="background1"/>
            <w:vAlign w:val="center"/>
          </w:tcPr>
          <w:p w14:paraId="49B3244A" w14:textId="77777777" w:rsidR="00EF0A4F" w:rsidRPr="00490C53" w:rsidRDefault="00EF0A4F">
            <w:pPr>
              <w:pStyle w:val="Tabletext"/>
              <w:spacing w:before="0" w:line="240" w:lineRule="auto"/>
              <w:jc w:val="center"/>
              <w:rPr>
                <w:rStyle w:val="Bold"/>
                <w:rFonts w:cstheme="minorHAnsi"/>
                <w:b w:val="0"/>
                <w:bCs/>
                <w:szCs w:val="24"/>
              </w:rPr>
            </w:pPr>
            <w:r w:rsidRPr="00490C53">
              <w:rPr>
                <w:rStyle w:val="Bold"/>
                <w:rFonts w:cstheme="minorHAnsi"/>
                <w:b w:val="0"/>
                <w:bCs/>
                <w:szCs w:val="24"/>
              </w:rPr>
              <w:t>Yes</w:t>
            </w:r>
          </w:p>
        </w:tc>
      </w:tr>
    </w:tbl>
    <w:p w14:paraId="3D8A8C09" w14:textId="7B390FE8" w:rsidR="00EF0A4F" w:rsidRDefault="00EF0A4F">
      <w:pPr>
        <w:pStyle w:val="Caption"/>
        <w:rPr>
          <w:rStyle w:val="Emphasis"/>
          <w:b w:val="0"/>
          <w:iCs/>
          <w:color w:val="555674"/>
        </w:rPr>
      </w:pPr>
      <w:r>
        <w:rPr>
          <w:rStyle w:val="Emphasis"/>
          <w:b w:val="0"/>
          <w:iCs/>
          <w:color w:val="555674"/>
        </w:rPr>
        <w:t xml:space="preserve">Note: </w:t>
      </w:r>
      <w:r w:rsidRPr="00490C53">
        <w:rPr>
          <w:rStyle w:val="Emphasis"/>
          <w:b w:val="0"/>
          <w:iCs/>
          <w:color w:val="555674"/>
        </w:rPr>
        <w:t>Standard errors clustered at the sector level in parentheses. *** p-value&lt;0.01, ** p-value&lt;0.05, * p-value&lt;0.1</w:t>
      </w:r>
      <w:r w:rsidR="0098060C">
        <w:rPr>
          <w:rStyle w:val="Emphasis"/>
          <w:b w:val="0"/>
          <w:iCs/>
          <w:color w:val="555674"/>
        </w:rPr>
        <w:t xml:space="preserve">. </w:t>
      </w:r>
      <w:r w:rsidRPr="00490C53">
        <w:rPr>
          <w:rStyle w:val="Emphasis"/>
          <w:b w:val="0"/>
          <w:iCs/>
          <w:color w:val="555674"/>
        </w:rPr>
        <w:t>Source: London Economics’ analysis of survey data</w:t>
      </w:r>
      <w:r>
        <w:rPr>
          <w:rStyle w:val="Emphasis"/>
          <w:b w:val="0"/>
          <w:iCs/>
          <w:color w:val="555674"/>
        </w:rPr>
        <w:t>.</w:t>
      </w:r>
    </w:p>
    <w:p w14:paraId="5CF21A00" w14:textId="12BD1639" w:rsidR="00451612" w:rsidRPr="00BD366D" w:rsidRDefault="00451612" w:rsidP="00BD366D">
      <w:r>
        <w:rPr>
          <w:i/>
          <w:iCs/>
        </w:rPr>
        <w:t>Wider impacts</w:t>
      </w:r>
    </w:p>
    <w:p w14:paraId="38E6BB37" w14:textId="63077EDA" w:rsidR="00EF0A4F" w:rsidRPr="00490C53" w:rsidRDefault="00EF0A4F" w:rsidP="00EF0A4F">
      <w:pPr>
        <w:pStyle w:val="Heading5"/>
      </w:pPr>
      <w:bookmarkStart w:id="273" w:name="_Ref138341084"/>
      <w:r w:rsidRPr="00490C53">
        <w:t xml:space="preserve">Table </w:t>
      </w:r>
      <w:r>
        <w:fldChar w:fldCharType="begin"/>
      </w:r>
      <w:r>
        <w:instrText>SEQ Table \* ARABIC</w:instrText>
      </w:r>
      <w:r>
        <w:fldChar w:fldCharType="separate"/>
      </w:r>
      <w:r w:rsidR="00397D49">
        <w:rPr>
          <w:noProof/>
        </w:rPr>
        <w:t>30</w:t>
      </w:r>
      <w:r>
        <w:fldChar w:fldCharType="end"/>
      </w:r>
      <w:bookmarkEnd w:id="273"/>
      <w:r w:rsidRPr="00490C53">
        <w:t xml:space="preserve">: Estimated wider impact of the Covid-19 Loan Guarantee Schemes on turnover </w:t>
      </w:r>
      <w:r w:rsidR="00AB0AEE">
        <w:t xml:space="preserve">(models [1] and [2]) </w:t>
      </w:r>
      <w:r w:rsidRPr="00490C53">
        <w:t>and employment</w:t>
      </w:r>
      <w:r w:rsidR="00AB0AEE">
        <w:t xml:space="preserve"> (models [3] and [4]).</w:t>
      </w:r>
    </w:p>
    <w:tbl>
      <w:tblPr>
        <w:tblStyle w:val="TableGrid"/>
        <w:tblW w:w="5000" w:type="pct"/>
        <w:tblLayout w:type="fixed"/>
        <w:tblLook w:val="04A0" w:firstRow="1" w:lastRow="0" w:firstColumn="1" w:lastColumn="0" w:noHBand="0" w:noVBand="1"/>
      </w:tblPr>
      <w:tblGrid>
        <w:gridCol w:w="4820"/>
        <w:gridCol w:w="1333"/>
        <w:gridCol w:w="1335"/>
        <w:gridCol w:w="1332"/>
        <w:gridCol w:w="1334"/>
      </w:tblGrid>
      <w:tr w:rsidR="00EF0A4F" w:rsidRPr="00490C53" w14:paraId="7AF8CCE1"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2373" w:type="pct"/>
            <w:noWrap/>
            <w:vAlign w:val="center"/>
            <w:hideMark/>
          </w:tcPr>
          <w:p w14:paraId="06A8ECD3" w14:textId="77777777" w:rsidR="00EF0A4F" w:rsidRPr="00490C53" w:rsidRDefault="00EF0A4F">
            <w:pPr>
              <w:pStyle w:val="Tablecolumnheading-white"/>
              <w:rPr>
                <w:lang w:eastAsia="en-GB"/>
              </w:rPr>
            </w:pPr>
            <w:r w:rsidRPr="00490C53">
              <w:rPr>
                <w:lang w:eastAsia="en-GB"/>
              </w:rPr>
              <w:t>Variables</w:t>
            </w:r>
          </w:p>
        </w:tc>
        <w:tc>
          <w:tcPr>
            <w:tcW w:w="656" w:type="pct"/>
            <w:noWrap/>
            <w:vAlign w:val="center"/>
            <w:hideMark/>
          </w:tcPr>
          <w:p w14:paraId="199204D7" w14:textId="77777777" w:rsidR="00EF0A4F" w:rsidRPr="00490C53" w:rsidRDefault="00EF0A4F">
            <w:pPr>
              <w:pStyle w:val="Tablecolumnheading-white"/>
              <w:jc w:val="center"/>
              <w:rPr>
                <w:lang w:eastAsia="en-GB"/>
              </w:rPr>
            </w:pPr>
            <w:r w:rsidRPr="00490C53">
              <w:rPr>
                <w:lang w:eastAsia="en-GB"/>
              </w:rPr>
              <w:t>[1]</w:t>
            </w:r>
          </w:p>
        </w:tc>
        <w:tc>
          <w:tcPr>
            <w:tcW w:w="657" w:type="pct"/>
            <w:noWrap/>
            <w:vAlign w:val="center"/>
            <w:hideMark/>
          </w:tcPr>
          <w:p w14:paraId="11D069B3" w14:textId="77777777" w:rsidR="00EF0A4F" w:rsidRPr="00490C53" w:rsidRDefault="00EF0A4F">
            <w:pPr>
              <w:pStyle w:val="Tablecolumnheading-white"/>
              <w:jc w:val="center"/>
              <w:rPr>
                <w:lang w:eastAsia="en-GB"/>
              </w:rPr>
            </w:pPr>
            <w:r w:rsidRPr="00490C53">
              <w:rPr>
                <w:lang w:eastAsia="en-GB"/>
              </w:rPr>
              <w:t>[2]</w:t>
            </w:r>
          </w:p>
        </w:tc>
        <w:tc>
          <w:tcPr>
            <w:tcW w:w="656" w:type="pct"/>
            <w:noWrap/>
            <w:vAlign w:val="center"/>
            <w:hideMark/>
          </w:tcPr>
          <w:p w14:paraId="0373B759" w14:textId="77777777" w:rsidR="00EF0A4F" w:rsidRPr="00490C53" w:rsidRDefault="00EF0A4F">
            <w:pPr>
              <w:pStyle w:val="Tablecolumnheading-white"/>
              <w:jc w:val="center"/>
              <w:rPr>
                <w:lang w:eastAsia="en-GB"/>
              </w:rPr>
            </w:pPr>
            <w:r w:rsidRPr="00490C53">
              <w:rPr>
                <w:lang w:eastAsia="en-GB"/>
              </w:rPr>
              <w:t>[3]</w:t>
            </w:r>
          </w:p>
        </w:tc>
        <w:tc>
          <w:tcPr>
            <w:tcW w:w="657" w:type="pct"/>
            <w:noWrap/>
            <w:vAlign w:val="center"/>
            <w:hideMark/>
          </w:tcPr>
          <w:p w14:paraId="094D711B" w14:textId="77777777" w:rsidR="00EF0A4F" w:rsidRPr="00490C53" w:rsidRDefault="00EF0A4F">
            <w:pPr>
              <w:pStyle w:val="Tablecolumnheading-white"/>
              <w:jc w:val="center"/>
              <w:rPr>
                <w:lang w:eastAsia="en-GB"/>
              </w:rPr>
            </w:pPr>
            <w:r w:rsidRPr="00490C53">
              <w:rPr>
                <w:lang w:eastAsia="en-GB"/>
              </w:rPr>
              <w:t>[4]</w:t>
            </w:r>
          </w:p>
        </w:tc>
      </w:tr>
      <w:tr w:rsidR="00EF0A4F" w:rsidRPr="00490C53" w14:paraId="07EF125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0"/>
        </w:trPr>
        <w:tc>
          <w:tcPr>
            <w:tcW w:w="2373" w:type="pct"/>
            <w:noWrap/>
            <w:vAlign w:val="center"/>
            <w:hideMark/>
          </w:tcPr>
          <w:p w14:paraId="35D8DD28" w14:textId="77777777" w:rsidR="00EF0A4F" w:rsidRPr="00846F78" w:rsidRDefault="00EF0A4F">
            <w:pPr>
              <w:pStyle w:val="Tabletext"/>
            </w:pPr>
            <w:r w:rsidRPr="00846F78">
              <w:t>Value of Covid Loan Guarantee Schemes (per firm, thousands) in sector</w:t>
            </w:r>
          </w:p>
        </w:tc>
        <w:tc>
          <w:tcPr>
            <w:tcW w:w="656" w:type="pct"/>
            <w:vAlign w:val="center"/>
            <w:hideMark/>
          </w:tcPr>
          <w:p w14:paraId="5BA92677" w14:textId="77777777" w:rsidR="00EF0A4F" w:rsidRPr="00846F78" w:rsidRDefault="00EF0A4F">
            <w:pPr>
              <w:pStyle w:val="Tabletext"/>
            </w:pPr>
            <w:r w:rsidRPr="00846F78">
              <w:t>0.004</w:t>
            </w:r>
            <w:r w:rsidRPr="00846F78">
              <w:br/>
              <w:t>(0.003)</w:t>
            </w:r>
          </w:p>
        </w:tc>
        <w:tc>
          <w:tcPr>
            <w:tcW w:w="657" w:type="pct"/>
            <w:vAlign w:val="center"/>
            <w:hideMark/>
          </w:tcPr>
          <w:p w14:paraId="03358265" w14:textId="77777777" w:rsidR="00EF0A4F" w:rsidRPr="00846F78" w:rsidRDefault="00EF0A4F">
            <w:pPr>
              <w:pStyle w:val="Tabletext"/>
            </w:pPr>
            <w:r w:rsidRPr="00846F78">
              <w:t>0.016***</w:t>
            </w:r>
            <w:r w:rsidRPr="00846F78">
              <w:br/>
              <w:t>(0.003)</w:t>
            </w:r>
          </w:p>
        </w:tc>
        <w:tc>
          <w:tcPr>
            <w:tcW w:w="656" w:type="pct"/>
            <w:vAlign w:val="center"/>
            <w:hideMark/>
          </w:tcPr>
          <w:p w14:paraId="36D80408" w14:textId="77777777" w:rsidR="00EF0A4F" w:rsidRPr="00846F78" w:rsidRDefault="00EF0A4F">
            <w:pPr>
              <w:pStyle w:val="Tabletext"/>
            </w:pPr>
            <w:r w:rsidRPr="00846F78">
              <w:t>0.003*</w:t>
            </w:r>
            <w:r w:rsidRPr="00846F78">
              <w:br/>
              <w:t>(0.001)</w:t>
            </w:r>
          </w:p>
        </w:tc>
        <w:tc>
          <w:tcPr>
            <w:tcW w:w="657" w:type="pct"/>
            <w:vAlign w:val="center"/>
            <w:hideMark/>
          </w:tcPr>
          <w:p w14:paraId="181F6840" w14:textId="77777777" w:rsidR="00EF0A4F" w:rsidRPr="00846F78" w:rsidRDefault="00EF0A4F">
            <w:pPr>
              <w:pStyle w:val="Tabletext"/>
            </w:pPr>
            <w:r w:rsidRPr="00846F78">
              <w:t>0.003*</w:t>
            </w:r>
            <w:r w:rsidRPr="00846F78">
              <w:br/>
              <w:t>(0.001)</w:t>
            </w:r>
          </w:p>
        </w:tc>
      </w:tr>
      <w:tr w:rsidR="00EF0A4F" w:rsidRPr="00490C53" w14:paraId="3C9D3BA3" w14:textId="77777777">
        <w:tblPrEx>
          <w:tblCellMar>
            <w:left w:w="108" w:type="dxa"/>
            <w:right w:w="108" w:type="dxa"/>
          </w:tblCellMar>
        </w:tblPrEx>
        <w:trPr>
          <w:trHeight w:val="580"/>
        </w:trPr>
        <w:tc>
          <w:tcPr>
            <w:tcW w:w="2373" w:type="pct"/>
            <w:noWrap/>
            <w:vAlign w:val="center"/>
            <w:hideMark/>
          </w:tcPr>
          <w:p w14:paraId="799FDBE3" w14:textId="77777777" w:rsidR="00EF0A4F" w:rsidRPr="00846F78" w:rsidRDefault="00EF0A4F">
            <w:pPr>
              <w:pStyle w:val="Tabletext"/>
            </w:pPr>
            <w:r w:rsidRPr="00846F78">
              <w:t>Value of CJRS support (per firm, thousands) in sector</w:t>
            </w:r>
          </w:p>
        </w:tc>
        <w:tc>
          <w:tcPr>
            <w:tcW w:w="656" w:type="pct"/>
            <w:vAlign w:val="center"/>
            <w:hideMark/>
          </w:tcPr>
          <w:p w14:paraId="04C38177" w14:textId="77777777" w:rsidR="00EF0A4F" w:rsidRPr="00846F78" w:rsidRDefault="00EF0A4F">
            <w:pPr>
              <w:pStyle w:val="Tabletext"/>
            </w:pPr>
          </w:p>
        </w:tc>
        <w:tc>
          <w:tcPr>
            <w:tcW w:w="657" w:type="pct"/>
            <w:vAlign w:val="center"/>
            <w:hideMark/>
          </w:tcPr>
          <w:p w14:paraId="5B4A5838" w14:textId="77777777" w:rsidR="00EF0A4F" w:rsidRPr="00846F78" w:rsidRDefault="00EF0A4F">
            <w:pPr>
              <w:pStyle w:val="Tabletext"/>
            </w:pPr>
            <w:r w:rsidRPr="00846F78">
              <w:t>-0.011**</w:t>
            </w:r>
            <w:r w:rsidRPr="00846F78">
              <w:br/>
              <w:t>(0.004)</w:t>
            </w:r>
          </w:p>
        </w:tc>
        <w:tc>
          <w:tcPr>
            <w:tcW w:w="656" w:type="pct"/>
            <w:vAlign w:val="center"/>
            <w:hideMark/>
          </w:tcPr>
          <w:p w14:paraId="4E2739B4" w14:textId="77777777" w:rsidR="00EF0A4F" w:rsidRPr="00846F78" w:rsidRDefault="00EF0A4F">
            <w:pPr>
              <w:pStyle w:val="Tabletext"/>
            </w:pPr>
          </w:p>
        </w:tc>
        <w:tc>
          <w:tcPr>
            <w:tcW w:w="657" w:type="pct"/>
            <w:vAlign w:val="center"/>
            <w:hideMark/>
          </w:tcPr>
          <w:p w14:paraId="51DD94AB" w14:textId="77777777" w:rsidR="00EF0A4F" w:rsidRPr="00846F78" w:rsidRDefault="00EF0A4F">
            <w:pPr>
              <w:pStyle w:val="Tabletext"/>
            </w:pPr>
            <w:r w:rsidRPr="00846F78">
              <w:t>0.000</w:t>
            </w:r>
            <w:r w:rsidRPr="00846F78">
              <w:br/>
              <w:t>(0.001)</w:t>
            </w:r>
          </w:p>
        </w:tc>
      </w:tr>
      <w:tr w:rsidR="00EF0A4F" w:rsidRPr="00490C53" w14:paraId="316950E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0"/>
        </w:trPr>
        <w:tc>
          <w:tcPr>
            <w:tcW w:w="2373" w:type="pct"/>
            <w:noWrap/>
            <w:vAlign w:val="center"/>
            <w:hideMark/>
          </w:tcPr>
          <w:p w14:paraId="7705BC0C" w14:textId="77777777" w:rsidR="00EF0A4F" w:rsidRPr="00846F78" w:rsidRDefault="00EF0A4F">
            <w:pPr>
              <w:pStyle w:val="Tabletext"/>
            </w:pPr>
            <w:r w:rsidRPr="00846F78">
              <w:t>Post-intervention (Y</w:t>
            </w:r>
            <w:r>
              <w:t xml:space="preserve">ear </w:t>
            </w:r>
            <w:r w:rsidRPr="00846F78">
              <w:t>2)</w:t>
            </w:r>
          </w:p>
        </w:tc>
        <w:tc>
          <w:tcPr>
            <w:tcW w:w="656" w:type="pct"/>
            <w:vAlign w:val="center"/>
            <w:hideMark/>
          </w:tcPr>
          <w:p w14:paraId="320BFE6A" w14:textId="77777777" w:rsidR="00EF0A4F" w:rsidRPr="00846F78" w:rsidRDefault="00EF0A4F">
            <w:pPr>
              <w:pStyle w:val="Tabletext"/>
            </w:pPr>
            <w:r w:rsidRPr="00846F78">
              <w:t>0.157**</w:t>
            </w:r>
            <w:r w:rsidRPr="00846F78">
              <w:br/>
              <w:t>(0.048)</w:t>
            </w:r>
          </w:p>
        </w:tc>
        <w:tc>
          <w:tcPr>
            <w:tcW w:w="657" w:type="pct"/>
            <w:vAlign w:val="center"/>
            <w:hideMark/>
          </w:tcPr>
          <w:p w14:paraId="112BEB46" w14:textId="77777777" w:rsidR="00EF0A4F" w:rsidRPr="00846F78" w:rsidRDefault="00EF0A4F">
            <w:pPr>
              <w:pStyle w:val="Tabletext"/>
            </w:pPr>
            <w:r w:rsidRPr="00846F78">
              <w:t>0.113**</w:t>
            </w:r>
            <w:r w:rsidRPr="00846F78">
              <w:br/>
              <w:t>(0.033)</w:t>
            </w:r>
          </w:p>
        </w:tc>
        <w:tc>
          <w:tcPr>
            <w:tcW w:w="656" w:type="pct"/>
            <w:vAlign w:val="center"/>
            <w:hideMark/>
          </w:tcPr>
          <w:p w14:paraId="5CED89D6" w14:textId="77777777" w:rsidR="00EF0A4F" w:rsidRPr="00846F78" w:rsidRDefault="00EF0A4F">
            <w:pPr>
              <w:pStyle w:val="Tabletext"/>
            </w:pPr>
            <w:r w:rsidRPr="00846F78">
              <w:t>0.001</w:t>
            </w:r>
            <w:r w:rsidRPr="00846F78">
              <w:br/>
              <w:t>(0.035)</w:t>
            </w:r>
          </w:p>
        </w:tc>
        <w:tc>
          <w:tcPr>
            <w:tcW w:w="657" w:type="pct"/>
            <w:vAlign w:val="center"/>
            <w:hideMark/>
          </w:tcPr>
          <w:p w14:paraId="1FCDB36E" w14:textId="77777777" w:rsidR="00EF0A4F" w:rsidRPr="00846F78" w:rsidRDefault="00EF0A4F">
            <w:pPr>
              <w:pStyle w:val="Tabletext"/>
            </w:pPr>
            <w:r w:rsidRPr="00846F78">
              <w:t>0.002</w:t>
            </w:r>
            <w:r w:rsidRPr="00846F78">
              <w:br/>
              <w:t>(0.034)</w:t>
            </w:r>
          </w:p>
        </w:tc>
      </w:tr>
      <w:tr w:rsidR="00EF0A4F" w:rsidRPr="00490C53" w14:paraId="3B214FC8" w14:textId="77777777">
        <w:tblPrEx>
          <w:tblCellMar>
            <w:left w:w="108" w:type="dxa"/>
            <w:right w:w="108" w:type="dxa"/>
          </w:tblCellMar>
        </w:tblPrEx>
        <w:trPr>
          <w:trHeight w:val="580"/>
        </w:trPr>
        <w:tc>
          <w:tcPr>
            <w:tcW w:w="2373" w:type="pct"/>
            <w:noWrap/>
            <w:vAlign w:val="center"/>
            <w:hideMark/>
          </w:tcPr>
          <w:p w14:paraId="3050EAB5" w14:textId="77777777" w:rsidR="00EF0A4F" w:rsidRPr="00846F78" w:rsidRDefault="00EF0A4F">
            <w:pPr>
              <w:pStyle w:val="Tabletext"/>
            </w:pPr>
            <w:r w:rsidRPr="00846F78">
              <w:t>Borrower, post-intervention (Y</w:t>
            </w:r>
            <w:r>
              <w:t xml:space="preserve">ear </w:t>
            </w:r>
            <w:r w:rsidRPr="00846F78">
              <w:t>2)</w:t>
            </w:r>
          </w:p>
        </w:tc>
        <w:tc>
          <w:tcPr>
            <w:tcW w:w="656" w:type="pct"/>
            <w:vAlign w:val="center"/>
            <w:hideMark/>
          </w:tcPr>
          <w:p w14:paraId="2B48FE38" w14:textId="77777777" w:rsidR="00EF0A4F" w:rsidRPr="00846F78" w:rsidRDefault="00EF0A4F">
            <w:pPr>
              <w:pStyle w:val="Tabletext"/>
            </w:pPr>
            <w:r w:rsidRPr="00846F78">
              <w:t>-0.154*</w:t>
            </w:r>
            <w:r w:rsidRPr="00846F78">
              <w:br/>
              <w:t>(0.060)</w:t>
            </w:r>
          </w:p>
        </w:tc>
        <w:tc>
          <w:tcPr>
            <w:tcW w:w="657" w:type="pct"/>
            <w:vAlign w:val="center"/>
            <w:hideMark/>
          </w:tcPr>
          <w:p w14:paraId="2A4D635E" w14:textId="77777777" w:rsidR="00EF0A4F" w:rsidRPr="00846F78" w:rsidRDefault="00EF0A4F">
            <w:pPr>
              <w:pStyle w:val="Tabletext"/>
            </w:pPr>
            <w:r w:rsidRPr="00846F78">
              <w:t>-0.148*</w:t>
            </w:r>
            <w:r w:rsidRPr="00846F78">
              <w:br/>
              <w:t>(0.062)</w:t>
            </w:r>
          </w:p>
        </w:tc>
        <w:tc>
          <w:tcPr>
            <w:tcW w:w="656" w:type="pct"/>
            <w:vAlign w:val="center"/>
            <w:hideMark/>
          </w:tcPr>
          <w:p w14:paraId="75E9C963" w14:textId="77777777" w:rsidR="00EF0A4F" w:rsidRPr="00846F78" w:rsidRDefault="00EF0A4F">
            <w:pPr>
              <w:pStyle w:val="Tabletext"/>
            </w:pPr>
            <w:r w:rsidRPr="00846F78">
              <w:t>-0.056</w:t>
            </w:r>
            <w:r w:rsidRPr="00846F78">
              <w:br/>
              <w:t>(0.042)</w:t>
            </w:r>
          </w:p>
        </w:tc>
        <w:tc>
          <w:tcPr>
            <w:tcW w:w="657" w:type="pct"/>
            <w:vAlign w:val="center"/>
            <w:hideMark/>
          </w:tcPr>
          <w:p w14:paraId="24DFDCAB" w14:textId="77777777" w:rsidR="00EF0A4F" w:rsidRPr="00846F78" w:rsidRDefault="00EF0A4F">
            <w:pPr>
              <w:pStyle w:val="Tabletext"/>
            </w:pPr>
            <w:r w:rsidRPr="00846F78">
              <w:t>-0.056</w:t>
            </w:r>
            <w:r w:rsidRPr="00846F78">
              <w:br/>
              <w:t>(0.042)</w:t>
            </w:r>
          </w:p>
        </w:tc>
      </w:tr>
      <w:tr w:rsidR="00EF0A4F" w:rsidRPr="00490C53" w14:paraId="45BDAFB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0"/>
        </w:trPr>
        <w:tc>
          <w:tcPr>
            <w:tcW w:w="2373" w:type="pct"/>
            <w:noWrap/>
            <w:vAlign w:val="center"/>
            <w:hideMark/>
          </w:tcPr>
          <w:p w14:paraId="07FE8653" w14:textId="77777777" w:rsidR="00EF0A4F" w:rsidRPr="00846F78" w:rsidRDefault="00EF0A4F">
            <w:pPr>
              <w:pStyle w:val="Tabletext"/>
            </w:pPr>
            <w:r w:rsidRPr="00846F78">
              <w:t>Post-intervention (Y</w:t>
            </w:r>
            <w:r>
              <w:t xml:space="preserve">ear </w:t>
            </w:r>
            <w:r w:rsidRPr="00846F78">
              <w:t>1)</w:t>
            </w:r>
          </w:p>
        </w:tc>
        <w:tc>
          <w:tcPr>
            <w:tcW w:w="656" w:type="pct"/>
            <w:vAlign w:val="center"/>
            <w:hideMark/>
          </w:tcPr>
          <w:p w14:paraId="4A73C963" w14:textId="77777777" w:rsidR="00EF0A4F" w:rsidRPr="00846F78" w:rsidRDefault="00EF0A4F">
            <w:pPr>
              <w:pStyle w:val="Tabletext"/>
            </w:pPr>
            <w:r w:rsidRPr="00846F78">
              <w:t>0.026</w:t>
            </w:r>
            <w:r w:rsidRPr="00846F78">
              <w:br/>
              <w:t>(0.033)</w:t>
            </w:r>
          </w:p>
        </w:tc>
        <w:tc>
          <w:tcPr>
            <w:tcW w:w="657" w:type="pct"/>
            <w:vAlign w:val="center"/>
            <w:hideMark/>
          </w:tcPr>
          <w:p w14:paraId="5701AD63" w14:textId="77777777" w:rsidR="00EF0A4F" w:rsidRPr="00846F78" w:rsidRDefault="00EF0A4F">
            <w:pPr>
              <w:pStyle w:val="Tabletext"/>
            </w:pPr>
            <w:r w:rsidRPr="00846F78">
              <w:t>-0.036</w:t>
            </w:r>
            <w:r w:rsidRPr="00846F78">
              <w:br/>
              <w:t>(0.041)</w:t>
            </w:r>
          </w:p>
        </w:tc>
        <w:tc>
          <w:tcPr>
            <w:tcW w:w="656" w:type="pct"/>
            <w:vAlign w:val="center"/>
            <w:hideMark/>
          </w:tcPr>
          <w:p w14:paraId="7665814F" w14:textId="77777777" w:rsidR="00EF0A4F" w:rsidRPr="00846F78" w:rsidRDefault="00EF0A4F">
            <w:pPr>
              <w:pStyle w:val="Tabletext"/>
            </w:pPr>
            <w:r w:rsidRPr="00846F78">
              <w:t>-0.007</w:t>
            </w:r>
            <w:r w:rsidRPr="00846F78">
              <w:br/>
              <w:t>(0.017)</w:t>
            </w:r>
          </w:p>
        </w:tc>
        <w:tc>
          <w:tcPr>
            <w:tcW w:w="657" w:type="pct"/>
            <w:vAlign w:val="center"/>
            <w:hideMark/>
          </w:tcPr>
          <w:p w14:paraId="2F1EA571" w14:textId="77777777" w:rsidR="00EF0A4F" w:rsidRPr="00846F78" w:rsidRDefault="00EF0A4F">
            <w:pPr>
              <w:pStyle w:val="Tabletext"/>
            </w:pPr>
            <w:r w:rsidRPr="00846F78">
              <w:t>-0.006</w:t>
            </w:r>
            <w:r w:rsidRPr="00846F78">
              <w:br/>
              <w:t>(0.017)</w:t>
            </w:r>
          </w:p>
        </w:tc>
      </w:tr>
      <w:tr w:rsidR="00EF0A4F" w:rsidRPr="00490C53" w14:paraId="02D15AA9" w14:textId="77777777">
        <w:tblPrEx>
          <w:tblCellMar>
            <w:left w:w="108" w:type="dxa"/>
            <w:right w:w="108" w:type="dxa"/>
          </w:tblCellMar>
        </w:tblPrEx>
        <w:trPr>
          <w:trHeight w:val="580"/>
        </w:trPr>
        <w:tc>
          <w:tcPr>
            <w:tcW w:w="2373" w:type="pct"/>
            <w:noWrap/>
            <w:vAlign w:val="center"/>
            <w:hideMark/>
          </w:tcPr>
          <w:p w14:paraId="190A4317" w14:textId="77777777" w:rsidR="00EF0A4F" w:rsidRPr="00846F78" w:rsidRDefault="00EF0A4F">
            <w:pPr>
              <w:pStyle w:val="Tabletext"/>
            </w:pPr>
            <w:r w:rsidRPr="00846F78">
              <w:t>Borrower, post-intervention (Y</w:t>
            </w:r>
            <w:r>
              <w:t xml:space="preserve">ear </w:t>
            </w:r>
            <w:r w:rsidRPr="00846F78">
              <w:t>1)</w:t>
            </w:r>
          </w:p>
        </w:tc>
        <w:tc>
          <w:tcPr>
            <w:tcW w:w="656" w:type="pct"/>
            <w:vAlign w:val="center"/>
            <w:hideMark/>
          </w:tcPr>
          <w:p w14:paraId="39BC93C3" w14:textId="77777777" w:rsidR="00EF0A4F" w:rsidRPr="00846F78" w:rsidRDefault="00EF0A4F">
            <w:pPr>
              <w:pStyle w:val="Tabletext"/>
            </w:pPr>
            <w:r w:rsidRPr="00846F78">
              <w:t>-0.157**</w:t>
            </w:r>
            <w:r w:rsidRPr="00846F78">
              <w:br/>
              <w:t>(0.038)</w:t>
            </w:r>
          </w:p>
        </w:tc>
        <w:tc>
          <w:tcPr>
            <w:tcW w:w="657" w:type="pct"/>
            <w:vAlign w:val="center"/>
            <w:hideMark/>
          </w:tcPr>
          <w:p w14:paraId="127D617B" w14:textId="77777777" w:rsidR="00EF0A4F" w:rsidRPr="00846F78" w:rsidRDefault="00EF0A4F">
            <w:pPr>
              <w:pStyle w:val="Tabletext"/>
            </w:pPr>
            <w:r w:rsidRPr="00846F78">
              <w:t>-0.156**</w:t>
            </w:r>
            <w:r w:rsidRPr="00846F78">
              <w:br/>
              <w:t>(0.040)</w:t>
            </w:r>
          </w:p>
        </w:tc>
        <w:tc>
          <w:tcPr>
            <w:tcW w:w="656" w:type="pct"/>
            <w:vAlign w:val="center"/>
            <w:hideMark/>
          </w:tcPr>
          <w:p w14:paraId="6F1163A7" w14:textId="77777777" w:rsidR="00EF0A4F" w:rsidRPr="00846F78" w:rsidRDefault="00EF0A4F">
            <w:pPr>
              <w:pStyle w:val="Tabletext"/>
            </w:pPr>
            <w:r w:rsidRPr="00846F78">
              <w:t>-0.042**</w:t>
            </w:r>
            <w:r w:rsidRPr="00846F78">
              <w:br/>
              <w:t>(0.014)</w:t>
            </w:r>
          </w:p>
        </w:tc>
        <w:tc>
          <w:tcPr>
            <w:tcW w:w="657" w:type="pct"/>
            <w:vAlign w:val="center"/>
            <w:hideMark/>
          </w:tcPr>
          <w:p w14:paraId="0928F1CF" w14:textId="77777777" w:rsidR="00EF0A4F" w:rsidRPr="00846F78" w:rsidRDefault="00EF0A4F">
            <w:pPr>
              <w:pStyle w:val="Tabletext"/>
            </w:pPr>
            <w:r w:rsidRPr="00846F78">
              <w:t>-0.042**</w:t>
            </w:r>
            <w:r w:rsidRPr="00846F78">
              <w:br/>
              <w:t>(0.014)</w:t>
            </w:r>
          </w:p>
        </w:tc>
      </w:tr>
      <w:tr w:rsidR="00EF0A4F" w:rsidRPr="00490C53" w14:paraId="1CF6BFA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0"/>
        </w:trPr>
        <w:tc>
          <w:tcPr>
            <w:tcW w:w="2373" w:type="pct"/>
            <w:noWrap/>
            <w:vAlign w:val="center"/>
            <w:hideMark/>
          </w:tcPr>
          <w:p w14:paraId="348FAB4F" w14:textId="77777777" w:rsidR="00EF0A4F" w:rsidRPr="00846F78" w:rsidRDefault="00EF0A4F">
            <w:pPr>
              <w:pStyle w:val="Tabletext"/>
            </w:pPr>
            <w:r w:rsidRPr="00846F78">
              <w:lastRenderedPageBreak/>
              <w:t>Market Demand Major Interruption</w:t>
            </w:r>
          </w:p>
        </w:tc>
        <w:tc>
          <w:tcPr>
            <w:tcW w:w="656" w:type="pct"/>
            <w:vAlign w:val="center"/>
            <w:hideMark/>
          </w:tcPr>
          <w:p w14:paraId="06ABCC19" w14:textId="77777777" w:rsidR="00EF0A4F" w:rsidRPr="00846F78" w:rsidRDefault="00EF0A4F">
            <w:pPr>
              <w:pStyle w:val="Tabletext"/>
            </w:pPr>
            <w:r w:rsidRPr="00846F78">
              <w:t>-0.212***</w:t>
            </w:r>
            <w:r w:rsidRPr="00846F78">
              <w:br/>
              <w:t>(0.031)</w:t>
            </w:r>
          </w:p>
        </w:tc>
        <w:tc>
          <w:tcPr>
            <w:tcW w:w="657" w:type="pct"/>
            <w:vAlign w:val="center"/>
            <w:hideMark/>
          </w:tcPr>
          <w:p w14:paraId="07C18FC3" w14:textId="77777777" w:rsidR="00EF0A4F" w:rsidRPr="00846F78" w:rsidRDefault="00EF0A4F">
            <w:pPr>
              <w:pStyle w:val="Tabletext"/>
            </w:pPr>
            <w:r w:rsidRPr="00846F78">
              <w:t>-0.213***</w:t>
            </w:r>
            <w:r w:rsidRPr="00846F78">
              <w:br/>
              <w:t>(0.028)</w:t>
            </w:r>
          </w:p>
        </w:tc>
        <w:tc>
          <w:tcPr>
            <w:tcW w:w="656" w:type="pct"/>
            <w:vAlign w:val="center"/>
            <w:hideMark/>
          </w:tcPr>
          <w:p w14:paraId="27B4D38E" w14:textId="77777777" w:rsidR="00EF0A4F" w:rsidRPr="00846F78" w:rsidRDefault="00EF0A4F">
            <w:pPr>
              <w:pStyle w:val="Tabletext"/>
            </w:pPr>
            <w:r w:rsidRPr="00846F78">
              <w:t>0.004</w:t>
            </w:r>
            <w:r w:rsidRPr="00846F78">
              <w:br/>
              <w:t>(0.023)</w:t>
            </w:r>
          </w:p>
        </w:tc>
        <w:tc>
          <w:tcPr>
            <w:tcW w:w="657" w:type="pct"/>
            <w:vAlign w:val="center"/>
            <w:hideMark/>
          </w:tcPr>
          <w:p w14:paraId="5F24AC66" w14:textId="77777777" w:rsidR="00EF0A4F" w:rsidRPr="00846F78" w:rsidRDefault="00EF0A4F">
            <w:pPr>
              <w:pStyle w:val="Tabletext"/>
            </w:pPr>
            <w:r w:rsidRPr="00846F78">
              <w:t>0.004</w:t>
            </w:r>
            <w:r w:rsidRPr="00846F78">
              <w:br/>
              <w:t>(0.023)</w:t>
            </w:r>
          </w:p>
        </w:tc>
      </w:tr>
      <w:tr w:rsidR="00EF0A4F" w:rsidRPr="00490C53" w14:paraId="72AE09FF" w14:textId="77777777">
        <w:tblPrEx>
          <w:tblCellMar>
            <w:left w:w="108" w:type="dxa"/>
            <w:right w:w="108" w:type="dxa"/>
          </w:tblCellMar>
        </w:tblPrEx>
        <w:trPr>
          <w:trHeight w:val="580"/>
        </w:trPr>
        <w:tc>
          <w:tcPr>
            <w:tcW w:w="2373" w:type="pct"/>
            <w:noWrap/>
            <w:vAlign w:val="center"/>
            <w:hideMark/>
          </w:tcPr>
          <w:p w14:paraId="4122B059" w14:textId="77777777" w:rsidR="00EF0A4F" w:rsidRPr="00846F78" w:rsidRDefault="00EF0A4F">
            <w:pPr>
              <w:pStyle w:val="Tabletext"/>
            </w:pPr>
            <w:r w:rsidRPr="00846F78">
              <w:t>Supply Chain Major Interruption</w:t>
            </w:r>
          </w:p>
        </w:tc>
        <w:tc>
          <w:tcPr>
            <w:tcW w:w="656" w:type="pct"/>
            <w:vAlign w:val="center"/>
            <w:hideMark/>
          </w:tcPr>
          <w:p w14:paraId="6AD421E4" w14:textId="77777777" w:rsidR="00EF0A4F" w:rsidRPr="00846F78" w:rsidRDefault="00EF0A4F">
            <w:pPr>
              <w:pStyle w:val="Tabletext"/>
            </w:pPr>
            <w:r w:rsidRPr="00846F78">
              <w:t>-0.015</w:t>
            </w:r>
            <w:r w:rsidRPr="00846F78">
              <w:br/>
              <w:t>(0.019)</w:t>
            </w:r>
          </w:p>
        </w:tc>
        <w:tc>
          <w:tcPr>
            <w:tcW w:w="657" w:type="pct"/>
            <w:vAlign w:val="center"/>
            <w:hideMark/>
          </w:tcPr>
          <w:p w14:paraId="672526AE" w14:textId="77777777" w:rsidR="00EF0A4F" w:rsidRPr="00846F78" w:rsidRDefault="00EF0A4F">
            <w:pPr>
              <w:pStyle w:val="Tabletext"/>
            </w:pPr>
            <w:r w:rsidRPr="00846F78">
              <w:t>-0.019</w:t>
            </w:r>
            <w:r w:rsidRPr="00846F78">
              <w:br/>
              <w:t>(0.027)</w:t>
            </w:r>
          </w:p>
        </w:tc>
        <w:tc>
          <w:tcPr>
            <w:tcW w:w="656" w:type="pct"/>
            <w:vAlign w:val="center"/>
            <w:hideMark/>
          </w:tcPr>
          <w:p w14:paraId="1749CEFC" w14:textId="77777777" w:rsidR="00EF0A4F" w:rsidRPr="00846F78" w:rsidRDefault="00EF0A4F">
            <w:pPr>
              <w:pStyle w:val="Tabletext"/>
            </w:pPr>
            <w:r w:rsidRPr="00846F78">
              <w:t>-0.013</w:t>
            </w:r>
            <w:r w:rsidRPr="00846F78">
              <w:br/>
              <w:t>(0.025)</w:t>
            </w:r>
          </w:p>
        </w:tc>
        <w:tc>
          <w:tcPr>
            <w:tcW w:w="657" w:type="pct"/>
            <w:vAlign w:val="center"/>
            <w:hideMark/>
          </w:tcPr>
          <w:p w14:paraId="059650FF" w14:textId="77777777" w:rsidR="00EF0A4F" w:rsidRPr="00846F78" w:rsidRDefault="00EF0A4F">
            <w:pPr>
              <w:pStyle w:val="Tabletext"/>
            </w:pPr>
            <w:r w:rsidRPr="00846F78">
              <w:t>-0.013</w:t>
            </w:r>
            <w:r w:rsidRPr="00846F78">
              <w:br/>
              <w:t>(0.025)</w:t>
            </w:r>
          </w:p>
        </w:tc>
      </w:tr>
      <w:tr w:rsidR="00EF0A4F" w:rsidRPr="00490C53" w14:paraId="4189D49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0"/>
        </w:trPr>
        <w:tc>
          <w:tcPr>
            <w:tcW w:w="2373" w:type="pct"/>
            <w:noWrap/>
            <w:vAlign w:val="center"/>
            <w:hideMark/>
          </w:tcPr>
          <w:p w14:paraId="19C260CB" w14:textId="77777777" w:rsidR="00EF0A4F" w:rsidRPr="00846F78" w:rsidRDefault="00EF0A4F">
            <w:pPr>
              <w:pStyle w:val="Tabletext"/>
            </w:pPr>
            <w:r w:rsidRPr="00846F78">
              <w:t>Late Payment Major Interruption</w:t>
            </w:r>
          </w:p>
        </w:tc>
        <w:tc>
          <w:tcPr>
            <w:tcW w:w="656" w:type="pct"/>
            <w:vAlign w:val="center"/>
            <w:hideMark/>
          </w:tcPr>
          <w:p w14:paraId="5108079D" w14:textId="77777777" w:rsidR="00EF0A4F" w:rsidRPr="00846F78" w:rsidRDefault="00EF0A4F">
            <w:pPr>
              <w:pStyle w:val="Tabletext"/>
            </w:pPr>
            <w:r w:rsidRPr="00846F78">
              <w:t>-0.090</w:t>
            </w:r>
            <w:r w:rsidRPr="00846F78">
              <w:br/>
              <w:t>(0.072)</w:t>
            </w:r>
          </w:p>
        </w:tc>
        <w:tc>
          <w:tcPr>
            <w:tcW w:w="657" w:type="pct"/>
            <w:vAlign w:val="center"/>
            <w:hideMark/>
          </w:tcPr>
          <w:p w14:paraId="3C18F0E5" w14:textId="77777777" w:rsidR="00EF0A4F" w:rsidRPr="00846F78" w:rsidRDefault="00EF0A4F">
            <w:pPr>
              <w:pStyle w:val="Tabletext"/>
            </w:pPr>
            <w:r w:rsidRPr="00846F78">
              <w:t>-0.092</w:t>
            </w:r>
            <w:r w:rsidRPr="00846F78">
              <w:br/>
              <w:t>(0.074)</w:t>
            </w:r>
          </w:p>
        </w:tc>
        <w:tc>
          <w:tcPr>
            <w:tcW w:w="656" w:type="pct"/>
            <w:vAlign w:val="center"/>
            <w:hideMark/>
          </w:tcPr>
          <w:p w14:paraId="23DE5962" w14:textId="77777777" w:rsidR="00EF0A4F" w:rsidRPr="00846F78" w:rsidRDefault="00EF0A4F">
            <w:pPr>
              <w:pStyle w:val="Tabletext"/>
            </w:pPr>
            <w:r w:rsidRPr="00846F78">
              <w:t>-0.031</w:t>
            </w:r>
            <w:r w:rsidRPr="00846F78">
              <w:br/>
              <w:t>(0.030)</w:t>
            </w:r>
          </w:p>
        </w:tc>
        <w:tc>
          <w:tcPr>
            <w:tcW w:w="657" w:type="pct"/>
            <w:vAlign w:val="center"/>
            <w:hideMark/>
          </w:tcPr>
          <w:p w14:paraId="2417D66D" w14:textId="77777777" w:rsidR="00EF0A4F" w:rsidRPr="00846F78" w:rsidRDefault="00EF0A4F">
            <w:pPr>
              <w:pStyle w:val="Tabletext"/>
            </w:pPr>
            <w:r w:rsidRPr="00846F78">
              <w:t>-0.031</w:t>
            </w:r>
            <w:r w:rsidRPr="00846F78">
              <w:br/>
              <w:t>(0.030)</w:t>
            </w:r>
          </w:p>
        </w:tc>
      </w:tr>
      <w:tr w:rsidR="00EF0A4F" w:rsidRPr="00490C53" w14:paraId="1F7D050E" w14:textId="77777777">
        <w:tblPrEx>
          <w:tblCellMar>
            <w:left w:w="108" w:type="dxa"/>
            <w:right w:w="108" w:type="dxa"/>
          </w:tblCellMar>
        </w:tblPrEx>
        <w:trPr>
          <w:trHeight w:val="580"/>
        </w:trPr>
        <w:tc>
          <w:tcPr>
            <w:tcW w:w="2373" w:type="pct"/>
            <w:noWrap/>
            <w:vAlign w:val="center"/>
            <w:hideMark/>
          </w:tcPr>
          <w:p w14:paraId="5FAC5E4B" w14:textId="77777777" w:rsidR="00EF0A4F" w:rsidRPr="00846F78" w:rsidRDefault="00EF0A4F">
            <w:pPr>
              <w:pStyle w:val="Tabletext"/>
            </w:pPr>
            <w:r w:rsidRPr="00846F78">
              <w:t>External Finance Major Interruption</w:t>
            </w:r>
          </w:p>
        </w:tc>
        <w:tc>
          <w:tcPr>
            <w:tcW w:w="656" w:type="pct"/>
            <w:vAlign w:val="center"/>
            <w:hideMark/>
          </w:tcPr>
          <w:p w14:paraId="72AA561C" w14:textId="77777777" w:rsidR="00EF0A4F" w:rsidRPr="00846F78" w:rsidRDefault="00EF0A4F">
            <w:pPr>
              <w:pStyle w:val="Tabletext"/>
            </w:pPr>
            <w:r w:rsidRPr="00846F78">
              <w:t>-0.340</w:t>
            </w:r>
            <w:r w:rsidRPr="00846F78">
              <w:br/>
              <w:t>(0.183)</w:t>
            </w:r>
          </w:p>
        </w:tc>
        <w:tc>
          <w:tcPr>
            <w:tcW w:w="657" w:type="pct"/>
            <w:vAlign w:val="center"/>
            <w:hideMark/>
          </w:tcPr>
          <w:p w14:paraId="0BB65B79" w14:textId="77777777" w:rsidR="00EF0A4F" w:rsidRPr="00846F78" w:rsidRDefault="00EF0A4F">
            <w:pPr>
              <w:pStyle w:val="Tabletext"/>
            </w:pPr>
            <w:r w:rsidRPr="00846F78">
              <w:t>-0.374</w:t>
            </w:r>
            <w:r w:rsidRPr="00846F78">
              <w:br/>
              <w:t>(0.197)</w:t>
            </w:r>
          </w:p>
        </w:tc>
        <w:tc>
          <w:tcPr>
            <w:tcW w:w="656" w:type="pct"/>
            <w:vAlign w:val="center"/>
            <w:hideMark/>
          </w:tcPr>
          <w:p w14:paraId="6DDFE8A0" w14:textId="77777777" w:rsidR="00EF0A4F" w:rsidRPr="00846F78" w:rsidRDefault="00EF0A4F">
            <w:pPr>
              <w:pStyle w:val="Tabletext"/>
            </w:pPr>
            <w:r w:rsidRPr="00846F78">
              <w:t>-0.078</w:t>
            </w:r>
            <w:r w:rsidRPr="00846F78">
              <w:br/>
              <w:t>(0.060)</w:t>
            </w:r>
          </w:p>
        </w:tc>
        <w:tc>
          <w:tcPr>
            <w:tcW w:w="657" w:type="pct"/>
            <w:vAlign w:val="center"/>
            <w:hideMark/>
          </w:tcPr>
          <w:p w14:paraId="41EC40C1" w14:textId="77777777" w:rsidR="00EF0A4F" w:rsidRPr="00846F78" w:rsidRDefault="00EF0A4F">
            <w:pPr>
              <w:pStyle w:val="Tabletext"/>
            </w:pPr>
            <w:r w:rsidRPr="00846F78">
              <w:t>-0.078</w:t>
            </w:r>
            <w:r w:rsidRPr="00846F78">
              <w:br/>
              <w:t>(0.061)</w:t>
            </w:r>
          </w:p>
        </w:tc>
      </w:tr>
      <w:tr w:rsidR="00EF0A4F" w:rsidRPr="00490C53" w14:paraId="16A9DB5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0"/>
        </w:trPr>
        <w:tc>
          <w:tcPr>
            <w:tcW w:w="2373" w:type="pct"/>
            <w:noWrap/>
            <w:vAlign w:val="center"/>
            <w:hideMark/>
          </w:tcPr>
          <w:p w14:paraId="1A37B4DE" w14:textId="77777777" w:rsidR="00EF0A4F" w:rsidRPr="00846F78" w:rsidRDefault="00EF0A4F">
            <w:pPr>
              <w:pStyle w:val="Tabletext"/>
            </w:pPr>
            <w:r w:rsidRPr="00846F78">
              <w:t>Staff Major Interruption</w:t>
            </w:r>
          </w:p>
        </w:tc>
        <w:tc>
          <w:tcPr>
            <w:tcW w:w="656" w:type="pct"/>
            <w:vAlign w:val="center"/>
            <w:hideMark/>
          </w:tcPr>
          <w:p w14:paraId="662266C3" w14:textId="77777777" w:rsidR="00EF0A4F" w:rsidRPr="00846F78" w:rsidRDefault="00EF0A4F">
            <w:pPr>
              <w:pStyle w:val="Tabletext"/>
            </w:pPr>
            <w:r w:rsidRPr="00846F78">
              <w:t>0.065</w:t>
            </w:r>
            <w:r w:rsidRPr="00846F78">
              <w:br/>
              <w:t>(0.053)</w:t>
            </w:r>
          </w:p>
        </w:tc>
        <w:tc>
          <w:tcPr>
            <w:tcW w:w="657" w:type="pct"/>
            <w:vAlign w:val="center"/>
            <w:hideMark/>
          </w:tcPr>
          <w:p w14:paraId="50CD36EF" w14:textId="77777777" w:rsidR="00EF0A4F" w:rsidRPr="00846F78" w:rsidRDefault="00EF0A4F">
            <w:pPr>
              <w:pStyle w:val="Tabletext"/>
            </w:pPr>
            <w:r w:rsidRPr="00846F78">
              <w:t>0.073</w:t>
            </w:r>
            <w:r w:rsidRPr="00846F78">
              <w:br/>
              <w:t>(0.064)</w:t>
            </w:r>
          </w:p>
        </w:tc>
        <w:tc>
          <w:tcPr>
            <w:tcW w:w="656" w:type="pct"/>
            <w:vAlign w:val="center"/>
            <w:hideMark/>
          </w:tcPr>
          <w:p w14:paraId="6BC13E78" w14:textId="77777777" w:rsidR="00EF0A4F" w:rsidRPr="00846F78" w:rsidRDefault="00EF0A4F">
            <w:pPr>
              <w:pStyle w:val="Tabletext"/>
            </w:pPr>
            <w:r w:rsidRPr="00846F78">
              <w:t>-0.008</w:t>
            </w:r>
            <w:r w:rsidRPr="00846F78">
              <w:br/>
              <w:t>(0.044)</w:t>
            </w:r>
          </w:p>
        </w:tc>
        <w:tc>
          <w:tcPr>
            <w:tcW w:w="657" w:type="pct"/>
            <w:vAlign w:val="center"/>
            <w:hideMark/>
          </w:tcPr>
          <w:p w14:paraId="6F868504" w14:textId="77777777" w:rsidR="00EF0A4F" w:rsidRPr="00846F78" w:rsidRDefault="00EF0A4F">
            <w:pPr>
              <w:pStyle w:val="Tabletext"/>
            </w:pPr>
            <w:r w:rsidRPr="00846F78">
              <w:t>-0.009</w:t>
            </w:r>
            <w:r w:rsidRPr="00846F78">
              <w:br/>
              <w:t>(0.043)</w:t>
            </w:r>
          </w:p>
        </w:tc>
      </w:tr>
      <w:tr w:rsidR="00EF0A4F" w:rsidRPr="00490C53" w14:paraId="6E38960C" w14:textId="77777777">
        <w:tblPrEx>
          <w:tblCellMar>
            <w:left w:w="108" w:type="dxa"/>
            <w:right w:w="108" w:type="dxa"/>
          </w:tblCellMar>
        </w:tblPrEx>
        <w:trPr>
          <w:trHeight w:val="580"/>
        </w:trPr>
        <w:tc>
          <w:tcPr>
            <w:tcW w:w="2373" w:type="pct"/>
            <w:noWrap/>
            <w:vAlign w:val="center"/>
            <w:hideMark/>
          </w:tcPr>
          <w:p w14:paraId="0D519B2A" w14:textId="77777777" w:rsidR="00EF0A4F" w:rsidRPr="00846F78" w:rsidRDefault="00EF0A4F">
            <w:pPr>
              <w:pStyle w:val="Tabletext"/>
            </w:pPr>
            <w:r w:rsidRPr="00846F78">
              <w:t>Covid Compliance Major Interruption</w:t>
            </w:r>
          </w:p>
        </w:tc>
        <w:tc>
          <w:tcPr>
            <w:tcW w:w="656" w:type="pct"/>
            <w:vAlign w:val="center"/>
            <w:hideMark/>
          </w:tcPr>
          <w:p w14:paraId="0EBA50F5" w14:textId="77777777" w:rsidR="00EF0A4F" w:rsidRPr="00846F78" w:rsidRDefault="00EF0A4F">
            <w:pPr>
              <w:pStyle w:val="Tabletext"/>
            </w:pPr>
            <w:r w:rsidRPr="00846F78">
              <w:t>-0.077***</w:t>
            </w:r>
            <w:r w:rsidRPr="00846F78">
              <w:br/>
              <w:t>(0.014)</w:t>
            </w:r>
          </w:p>
        </w:tc>
        <w:tc>
          <w:tcPr>
            <w:tcW w:w="657" w:type="pct"/>
            <w:vAlign w:val="center"/>
            <w:hideMark/>
          </w:tcPr>
          <w:p w14:paraId="1CC09169" w14:textId="77777777" w:rsidR="00EF0A4F" w:rsidRPr="00846F78" w:rsidRDefault="00EF0A4F">
            <w:pPr>
              <w:pStyle w:val="Tabletext"/>
            </w:pPr>
            <w:r w:rsidRPr="00846F78">
              <w:t>-0.057**</w:t>
            </w:r>
            <w:r w:rsidRPr="00846F78">
              <w:br/>
              <w:t>(0.017)</w:t>
            </w:r>
          </w:p>
        </w:tc>
        <w:tc>
          <w:tcPr>
            <w:tcW w:w="656" w:type="pct"/>
            <w:vAlign w:val="center"/>
            <w:hideMark/>
          </w:tcPr>
          <w:p w14:paraId="22972AC9" w14:textId="77777777" w:rsidR="00EF0A4F" w:rsidRPr="00846F78" w:rsidRDefault="00EF0A4F">
            <w:pPr>
              <w:pStyle w:val="Tabletext"/>
            </w:pPr>
            <w:r w:rsidRPr="00846F78">
              <w:t>-0.021</w:t>
            </w:r>
            <w:r w:rsidRPr="00846F78">
              <w:br/>
              <w:t>(0.025)</w:t>
            </w:r>
          </w:p>
        </w:tc>
        <w:tc>
          <w:tcPr>
            <w:tcW w:w="657" w:type="pct"/>
            <w:vAlign w:val="center"/>
            <w:hideMark/>
          </w:tcPr>
          <w:p w14:paraId="1C5118FE" w14:textId="77777777" w:rsidR="00EF0A4F" w:rsidRPr="00846F78" w:rsidRDefault="00EF0A4F">
            <w:pPr>
              <w:pStyle w:val="Tabletext"/>
            </w:pPr>
            <w:r w:rsidRPr="00846F78">
              <w:t>-0.021</w:t>
            </w:r>
            <w:r w:rsidRPr="00846F78">
              <w:br/>
              <w:t>(0.023)</w:t>
            </w:r>
          </w:p>
        </w:tc>
      </w:tr>
      <w:tr w:rsidR="00EF0A4F" w:rsidRPr="00490C53" w14:paraId="66B76B9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0"/>
        </w:trPr>
        <w:tc>
          <w:tcPr>
            <w:tcW w:w="2373" w:type="pct"/>
            <w:noWrap/>
            <w:vAlign w:val="center"/>
            <w:hideMark/>
          </w:tcPr>
          <w:p w14:paraId="0BE13908" w14:textId="77777777" w:rsidR="00EF0A4F" w:rsidRPr="00846F78" w:rsidRDefault="00EF0A4F">
            <w:pPr>
              <w:pStyle w:val="Tabletext"/>
            </w:pPr>
            <w:r w:rsidRPr="00846F78">
              <w:t>Used CJRS</w:t>
            </w:r>
          </w:p>
        </w:tc>
        <w:tc>
          <w:tcPr>
            <w:tcW w:w="656" w:type="pct"/>
            <w:vAlign w:val="center"/>
            <w:hideMark/>
          </w:tcPr>
          <w:p w14:paraId="5A55A652" w14:textId="77777777" w:rsidR="00EF0A4F" w:rsidRPr="00846F78" w:rsidRDefault="00EF0A4F">
            <w:pPr>
              <w:pStyle w:val="Tabletext"/>
            </w:pPr>
            <w:r w:rsidRPr="00846F78">
              <w:t>-0.086*</w:t>
            </w:r>
            <w:r w:rsidRPr="00846F78">
              <w:br/>
              <w:t>(0.035)</w:t>
            </w:r>
          </w:p>
        </w:tc>
        <w:tc>
          <w:tcPr>
            <w:tcW w:w="657" w:type="pct"/>
            <w:vAlign w:val="center"/>
            <w:hideMark/>
          </w:tcPr>
          <w:p w14:paraId="22DA7D65" w14:textId="77777777" w:rsidR="00EF0A4F" w:rsidRPr="00846F78" w:rsidRDefault="00EF0A4F">
            <w:pPr>
              <w:pStyle w:val="Tabletext"/>
            </w:pPr>
            <w:r w:rsidRPr="00846F78">
              <w:t>-0.075</w:t>
            </w:r>
            <w:r w:rsidRPr="00846F78">
              <w:br/>
              <w:t>(0.036)</w:t>
            </w:r>
          </w:p>
        </w:tc>
        <w:tc>
          <w:tcPr>
            <w:tcW w:w="656" w:type="pct"/>
            <w:vAlign w:val="center"/>
            <w:hideMark/>
          </w:tcPr>
          <w:p w14:paraId="33094ADB" w14:textId="77777777" w:rsidR="00EF0A4F" w:rsidRPr="00846F78" w:rsidRDefault="00EF0A4F">
            <w:pPr>
              <w:pStyle w:val="Tabletext"/>
            </w:pPr>
            <w:r w:rsidRPr="00846F78">
              <w:t>-0.037**</w:t>
            </w:r>
            <w:r w:rsidRPr="00846F78">
              <w:br/>
              <w:t>(0.010)</w:t>
            </w:r>
          </w:p>
        </w:tc>
        <w:tc>
          <w:tcPr>
            <w:tcW w:w="657" w:type="pct"/>
            <w:vAlign w:val="center"/>
            <w:hideMark/>
          </w:tcPr>
          <w:p w14:paraId="0689921F" w14:textId="77777777" w:rsidR="00EF0A4F" w:rsidRPr="00846F78" w:rsidRDefault="00EF0A4F">
            <w:pPr>
              <w:pStyle w:val="Tabletext"/>
            </w:pPr>
            <w:r w:rsidRPr="00846F78">
              <w:t>-0.037**</w:t>
            </w:r>
            <w:r w:rsidRPr="00846F78">
              <w:br/>
              <w:t>(0.012)</w:t>
            </w:r>
          </w:p>
        </w:tc>
      </w:tr>
      <w:tr w:rsidR="00EF0A4F" w:rsidRPr="00490C53" w14:paraId="57B6CEED" w14:textId="77777777">
        <w:tblPrEx>
          <w:tblCellMar>
            <w:left w:w="108" w:type="dxa"/>
            <w:right w:w="108" w:type="dxa"/>
          </w:tblCellMar>
        </w:tblPrEx>
        <w:trPr>
          <w:trHeight w:val="580"/>
        </w:trPr>
        <w:tc>
          <w:tcPr>
            <w:tcW w:w="2373" w:type="pct"/>
            <w:noWrap/>
            <w:vAlign w:val="center"/>
            <w:hideMark/>
          </w:tcPr>
          <w:p w14:paraId="25A6EF13" w14:textId="77777777" w:rsidR="00EF0A4F" w:rsidRPr="00846F78" w:rsidRDefault="00EF0A4F">
            <w:pPr>
              <w:pStyle w:val="Tabletext"/>
            </w:pPr>
            <w:r w:rsidRPr="00846F78">
              <w:t>Used VAT Deferral</w:t>
            </w:r>
          </w:p>
        </w:tc>
        <w:tc>
          <w:tcPr>
            <w:tcW w:w="656" w:type="pct"/>
            <w:vAlign w:val="center"/>
            <w:hideMark/>
          </w:tcPr>
          <w:p w14:paraId="102E6B5F" w14:textId="77777777" w:rsidR="00EF0A4F" w:rsidRPr="00846F78" w:rsidRDefault="00EF0A4F">
            <w:pPr>
              <w:pStyle w:val="Tabletext"/>
            </w:pPr>
            <w:r w:rsidRPr="00846F78">
              <w:t>-0.033**</w:t>
            </w:r>
            <w:r w:rsidRPr="00846F78">
              <w:br/>
              <w:t>(0.012)</w:t>
            </w:r>
          </w:p>
        </w:tc>
        <w:tc>
          <w:tcPr>
            <w:tcW w:w="657" w:type="pct"/>
            <w:vAlign w:val="center"/>
            <w:hideMark/>
          </w:tcPr>
          <w:p w14:paraId="5FD9C937" w14:textId="77777777" w:rsidR="00EF0A4F" w:rsidRPr="00846F78" w:rsidRDefault="00EF0A4F">
            <w:pPr>
              <w:pStyle w:val="Tabletext"/>
            </w:pPr>
            <w:r w:rsidRPr="00846F78">
              <w:t>-0.042**</w:t>
            </w:r>
            <w:r w:rsidRPr="00846F78">
              <w:br/>
              <w:t>(0.011)</w:t>
            </w:r>
          </w:p>
        </w:tc>
        <w:tc>
          <w:tcPr>
            <w:tcW w:w="656" w:type="pct"/>
            <w:vAlign w:val="center"/>
            <w:hideMark/>
          </w:tcPr>
          <w:p w14:paraId="41093B8A" w14:textId="77777777" w:rsidR="00EF0A4F" w:rsidRPr="00846F78" w:rsidRDefault="00EF0A4F">
            <w:pPr>
              <w:pStyle w:val="Tabletext"/>
            </w:pPr>
            <w:r w:rsidRPr="00846F78">
              <w:t>-0.008</w:t>
            </w:r>
            <w:r w:rsidRPr="00846F78">
              <w:br/>
              <w:t>(0.012)</w:t>
            </w:r>
          </w:p>
        </w:tc>
        <w:tc>
          <w:tcPr>
            <w:tcW w:w="657" w:type="pct"/>
            <w:vAlign w:val="center"/>
            <w:hideMark/>
          </w:tcPr>
          <w:p w14:paraId="1A3E00F1" w14:textId="77777777" w:rsidR="00EF0A4F" w:rsidRPr="00846F78" w:rsidRDefault="00EF0A4F">
            <w:pPr>
              <w:pStyle w:val="Tabletext"/>
            </w:pPr>
            <w:r w:rsidRPr="00846F78">
              <w:t>-0.008</w:t>
            </w:r>
            <w:r w:rsidRPr="00846F78">
              <w:br/>
              <w:t>(0.011)</w:t>
            </w:r>
          </w:p>
        </w:tc>
      </w:tr>
      <w:tr w:rsidR="00EF0A4F" w:rsidRPr="00490C53" w14:paraId="7CE11D9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0"/>
        </w:trPr>
        <w:tc>
          <w:tcPr>
            <w:tcW w:w="2373" w:type="pct"/>
            <w:noWrap/>
            <w:vAlign w:val="center"/>
            <w:hideMark/>
          </w:tcPr>
          <w:p w14:paraId="1B2D4ED7" w14:textId="77777777" w:rsidR="00EF0A4F" w:rsidRPr="00846F78" w:rsidRDefault="00EF0A4F">
            <w:pPr>
              <w:pStyle w:val="Tabletext"/>
            </w:pPr>
            <w:r w:rsidRPr="00846F78">
              <w:t>Used Other Support</w:t>
            </w:r>
          </w:p>
        </w:tc>
        <w:tc>
          <w:tcPr>
            <w:tcW w:w="656" w:type="pct"/>
            <w:vAlign w:val="center"/>
            <w:hideMark/>
          </w:tcPr>
          <w:p w14:paraId="3436416F" w14:textId="77777777" w:rsidR="00EF0A4F" w:rsidRPr="00846F78" w:rsidRDefault="00EF0A4F">
            <w:pPr>
              <w:pStyle w:val="Tabletext"/>
            </w:pPr>
            <w:r w:rsidRPr="00846F78">
              <w:t>-0.095*</w:t>
            </w:r>
            <w:r w:rsidRPr="00846F78">
              <w:br/>
              <w:t>(0.044)</w:t>
            </w:r>
          </w:p>
        </w:tc>
        <w:tc>
          <w:tcPr>
            <w:tcW w:w="657" w:type="pct"/>
            <w:vAlign w:val="center"/>
            <w:hideMark/>
          </w:tcPr>
          <w:p w14:paraId="20790310" w14:textId="77777777" w:rsidR="00EF0A4F" w:rsidRPr="00846F78" w:rsidRDefault="00EF0A4F">
            <w:pPr>
              <w:pStyle w:val="Tabletext"/>
            </w:pPr>
            <w:r w:rsidRPr="00846F78">
              <w:t>-0.089</w:t>
            </w:r>
            <w:r w:rsidRPr="00846F78">
              <w:br/>
              <w:t>(0.043)</w:t>
            </w:r>
          </w:p>
        </w:tc>
        <w:tc>
          <w:tcPr>
            <w:tcW w:w="656" w:type="pct"/>
            <w:vAlign w:val="center"/>
            <w:hideMark/>
          </w:tcPr>
          <w:p w14:paraId="5D773814" w14:textId="77777777" w:rsidR="00EF0A4F" w:rsidRPr="00846F78" w:rsidRDefault="00EF0A4F">
            <w:pPr>
              <w:pStyle w:val="Tabletext"/>
            </w:pPr>
            <w:r w:rsidRPr="00846F78">
              <w:t>-0.035</w:t>
            </w:r>
            <w:r w:rsidRPr="00846F78">
              <w:br/>
              <w:t>(0.024)</w:t>
            </w:r>
          </w:p>
        </w:tc>
        <w:tc>
          <w:tcPr>
            <w:tcW w:w="657" w:type="pct"/>
            <w:vAlign w:val="center"/>
            <w:hideMark/>
          </w:tcPr>
          <w:p w14:paraId="41AF4B1B" w14:textId="77777777" w:rsidR="00EF0A4F" w:rsidRPr="00846F78" w:rsidRDefault="00EF0A4F">
            <w:pPr>
              <w:pStyle w:val="Tabletext"/>
            </w:pPr>
            <w:r w:rsidRPr="00846F78">
              <w:t>-0.035</w:t>
            </w:r>
            <w:r w:rsidRPr="00846F78">
              <w:br/>
              <w:t>(0.024)</w:t>
            </w:r>
          </w:p>
        </w:tc>
      </w:tr>
      <w:tr w:rsidR="00EF0A4F" w:rsidRPr="00490C53" w14:paraId="6C38CDCE" w14:textId="77777777">
        <w:tblPrEx>
          <w:tblCellMar>
            <w:left w:w="108" w:type="dxa"/>
            <w:right w:w="108" w:type="dxa"/>
          </w:tblCellMar>
        </w:tblPrEx>
        <w:trPr>
          <w:trHeight w:val="580"/>
        </w:trPr>
        <w:tc>
          <w:tcPr>
            <w:tcW w:w="2373" w:type="pct"/>
            <w:noWrap/>
            <w:vAlign w:val="center"/>
            <w:hideMark/>
          </w:tcPr>
          <w:p w14:paraId="63399222" w14:textId="77777777" w:rsidR="00EF0A4F" w:rsidRPr="00846F78" w:rsidRDefault="00EF0A4F">
            <w:pPr>
              <w:pStyle w:val="Tabletext"/>
            </w:pPr>
            <w:r w:rsidRPr="00846F78">
              <w:t>Constant</w:t>
            </w:r>
          </w:p>
        </w:tc>
        <w:tc>
          <w:tcPr>
            <w:tcW w:w="656" w:type="pct"/>
            <w:vAlign w:val="center"/>
            <w:hideMark/>
          </w:tcPr>
          <w:p w14:paraId="32A7FF7D" w14:textId="77777777" w:rsidR="00EF0A4F" w:rsidRPr="00846F78" w:rsidRDefault="00EF0A4F">
            <w:pPr>
              <w:pStyle w:val="Tabletext"/>
            </w:pPr>
            <w:r w:rsidRPr="00846F78">
              <w:t>12.266***</w:t>
            </w:r>
            <w:r w:rsidRPr="00846F78">
              <w:br/>
              <w:t>(0.010)</w:t>
            </w:r>
          </w:p>
        </w:tc>
        <w:tc>
          <w:tcPr>
            <w:tcW w:w="657" w:type="pct"/>
            <w:vAlign w:val="center"/>
            <w:hideMark/>
          </w:tcPr>
          <w:p w14:paraId="72012FC8" w14:textId="77777777" w:rsidR="00EF0A4F" w:rsidRPr="00846F78" w:rsidRDefault="00EF0A4F">
            <w:pPr>
              <w:pStyle w:val="Tabletext"/>
            </w:pPr>
            <w:r w:rsidRPr="00846F78">
              <w:t>12.266***</w:t>
            </w:r>
            <w:r w:rsidRPr="00846F78">
              <w:br/>
              <w:t>(0.009)</w:t>
            </w:r>
          </w:p>
        </w:tc>
        <w:tc>
          <w:tcPr>
            <w:tcW w:w="656" w:type="pct"/>
            <w:vAlign w:val="center"/>
            <w:hideMark/>
          </w:tcPr>
          <w:p w14:paraId="3292EF89" w14:textId="77777777" w:rsidR="00EF0A4F" w:rsidRPr="00846F78" w:rsidRDefault="00EF0A4F">
            <w:pPr>
              <w:pStyle w:val="Tabletext"/>
            </w:pPr>
            <w:r w:rsidRPr="00846F78">
              <w:t>1.590***</w:t>
            </w:r>
            <w:r w:rsidRPr="00846F78">
              <w:br/>
              <w:t>(0.008)</w:t>
            </w:r>
          </w:p>
        </w:tc>
        <w:tc>
          <w:tcPr>
            <w:tcW w:w="657" w:type="pct"/>
            <w:vAlign w:val="center"/>
            <w:hideMark/>
          </w:tcPr>
          <w:p w14:paraId="49FC398E" w14:textId="77777777" w:rsidR="00EF0A4F" w:rsidRPr="00846F78" w:rsidRDefault="00EF0A4F">
            <w:pPr>
              <w:pStyle w:val="Tabletext"/>
            </w:pPr>
            <w:r w:rsidRPr="00846F78">
              <w:t>1.590***</w:t>
            </w:r>
            <w:r w:rsidRPr="00846F78">
              <w:br/>
              <w:t>(0.008)</w:t>
            </w:r>
          </w:p>
        </w:tc>
      </w:tr>
      <w:tr w:rsidR="00EF0A4F" w:rsidRPr="00490C53" w14:paraId="6A880E7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2373" w:type="pct"/>
            <w:noWrap/>
            <w:vAlign w:val="center"/>
            <w:hideMark/>
          </w:tcPr>
          <w:p w14:paraId="5A3C5424" w14:textId="77777777" w:rsidR="00EF0A4F" w:rsidRPr="00846F78" w:rsidRDefault="00EF0A4F">
            <w:pPr>
              <w:pStyle w:val="Tabletext"/>
            </w:pPr>
            <w:r w:rsidRPr="00846F78">
              <w:t>Observations</w:t>
            </w:r>
          </w:p>
        </w:tc>
        <w:tc>
          <w:tcPr>
            <w:tcW w:w="656" w:type="pct"/>
            <w:noWrap/>
            <w:vAlign w:val="center"/>
            <w:hideMark/>
          </w:tcPr>
          <w:p w14:paraId="5774D01A" w14:textId="77777777" w:rsidR="00EF0A4F" w:rsidRPr="00846F78" w:rsidRDefault="00EF0A4F">
            <w:pPr>
              <w:pStyle w:val="Tabletext"/>
            </w:pPr>
            <w:r w:rsidRPr="00846F78">
              <w:t>4,200</w:t>
            </w:r>
          </w:p>
        </w:tc>
        <w:tc>
          <w:tcPr>
            <w:tcW w:w="657" w:type="pct"/>
            <w:noWrap/>
            <w:vAlign w:val="center"/>
            <w:hideMark/>
          </w:tcPr>
          <w:p w14:paraId="37606C48" w14:textId="77777777" w:rsidR="00EF0A4F" w:rsidRPr="00846F78" w:rsidRDefault="00EF0A4F">
            <w:pPr>
              <w:pStyle w:val="Tabletext"/>
            </w:pPr>
            <w:r w:rsidRPr="00846F78">
              <w:t>4,200</w:t>
            </w:r>
          </w:p>
        </w:tc>
        <w:tc>
          <w:tcPr>
            <w:tcW w:w="656" w:type="pct"/>
            <w:noWrap/>
            <w:vAlign w:val="center"/>
            <w:hideMark/>
          </w:tcPr>
          <w:p w14:paraId="0926E325" w14:textId="77777777" w:rsidR="00EF0A4F" w:rsidRPr="00846F78" w:rsidRDefault="00EF0A4F">
            <w:pPr>
              <w:pStyle w:val="Tabletext"/>
            </w:pPr>
            <w:r w:rsidRPr="00846F78">
              <w:t>4,451</w:t>
            </w:r>
          </w:p>
        </w:tc>
        <w:tc>
          <w:tcPr>
            <w:tcW w:w="657" w:type="pct"/>
            <w:noWrap/>
            <w:vAlign w:val="center"/>
            <w:hideMark/>
          </w:tcPr>
          <w:p w14:paraId="33E4C5E1" w14:textId="77777777" w:rsidR="00EF0A4F" w:rsidRPr="00846F78" w:rsidRDefault="00EF0A4F">
            <w:pPr>
              <w:pStyle w:val="Tabletext"/>
            </w:pPr>
            <w:r w:rsidRPr="00846F78">
              <w:t>4,451</w:t>
            </w:r>
          </w:p>
        </w:tc>
      </w:tr>
      <w:tr w:rsidR="00EF0A4F" w:rsidRPr="00490C53" w14:paraId="2476C8A7" w14:textId="77777777">
        <w:tblPrEx>
          <w:tblCellMar>
            <w:left w:w="108" w:type="dxa"/>
            <w:right w:w="108" w:type="dxa"/>
          </w:tblCellMar>
        </w:tblPrEx>
        <w:trPr>
          <w:trHeight w:val="290"/>
        </w:trPr>
        <w:tc>
          <w:tcPr>
            <w:tcW w:w="2373" w:type="pct"/>
            <w:tcBorders>
              <w:bottom w:val="single" w:sz="4" w:space="0" w:color="0054BA" w:themeColor="accent2"/>
            </w:tcBorders>
            <w:noWrap/>
            <w:vAlign w:val="center"/>
            <w:hideMark/>
          </w:tcPr>
          <w:p w14:paraId="00A0FC1A" w14:textId="77777777" w:rsidR="00EF0A4F" w:rsidRPr="00846F78" w:rsidRDefault="00EF0A4F">
            <w:pPr>
              <w:pStyle w:val="Tabletext"/>
            </w:pPr>
            <w:r w:rsidRPr="00846F78">
              <w:t>R-squared</w:t>
            </w:r>
          </w:p>
        </w:tc>
        <w:tc>
          <w:tcPr>
            <w:tcW w:w="656" w:type="pct"/>
            <w:tcBorders>
              <w:bottom w:val="single" w:sz="4" w:space="0" w:color="0054BA" w:themeColor="accent2"/>
            </w:tcBorders>
            <w:noWrap/>
            <w:vAlign w:val="center"/>
            <w:hideMark/>
          </w:tcPr>
          <w:p w14:paraId="3AF41C61" w14:textId="77777777" w:rsidR="00EF0A4F" w:rsidRPr="00846F78" w:rsidRDefault="00EF0A4F">
            <w:pPr>
              <w:pStyle w:val="Tabletext"/>
            </w:pPr>
            <w:r w:rsidRPr="00846F78">
              <w:t>0.147</w:t>
            </w:r>
          </w:p>
        </w:tc>
        <w:tc>
          <w:tcPr>
            <w:tcW w:w="657" w:type="pct"/>
            <w:tcBorders>
              <w:bottom w:val="single" w:sz="4" w:space="0" w:color="0054BA" w:themeColor="accent2"/>
            </w:tcBorders>
            <w:noWrap/>
            <w:vAlign w:val="center"/>
            <w:hideMark/>
          </w:tcPr>
          <w:p w14:paraId="41F19227" w14:textId="77777777" w:rsidR="00EF0A4F" w:rsidRPr="00846F78" w:rsidRDefault="00EF0A4F">
            <w:pPr>
              <w:pStyle w:val="Tabletext"/>
            </w:pPr>
            <w:r w:rsidRPr="00846F78">
              <w:t>0.153</w:t>
            </w:r>
          </w:p>
        </w:tc>
        <w:tc>
          <w:tcPr>
            <w:tcW w:w="656" w:type="pct"/>
            <w:tcBorders>
              <w:bottom w:val="single" w:sz="4" w:space="0" w:color="0054BA" w:themeColor="accent2"/>
            </w:tcBorders>
            <w:noWrap/>
            <w:vAlign w:val="center"/>
            <w:hideMark/>
          </w:tcPr>
          <w:p w14:paraId="6B80AA19" w14:textId="77777777" w:rsidR="00EF0A4F" w:rsidRPr="00846F78" w:rsidRDefault="00EF0A4F">
            <w:pPr>
              <w:pStyle w:val="Tabletext"/>
            </w:pPr>
            <w:r w:rsidRPr="00846F78">
              <w:t>0.032</w:t>
            </w:r>
          </w:p>
        </w:tc>
        <w:tc>
          <w:tcPr>
            <w:tcW w:w="657" w:type="pct"/>
            <w:tcBorders>
              <w:bottom w:val="single" w:sz="4" w:space="0" w:color="0054BA" w:themeColor="accent2"/>
            </w:tcBorders>
            <w:noWrap/>
            <w:vAlign w:val="center"/>
            <w:hideMark/>
          </w:tcPr>
          <w:p w14:paraId="420A694F" w14:textId="77777777" w:rsidR="00EF0A4F" w:rsidRPr="00846F78" w:rsidRDefault="00EF0A4F">
            <w:pPr>
              <w:pStyle w:val="Tabletext"/>
            </w:pPr>
            <w:r w:rsidRPr="00846F78">
              <w:t>0.032</w:t>
            </w:r>
          </w:p>
        </w:tc>
      </w:tr>
    </w:tbl>
    <w:p w14:paraId="7BFC770C" w14:textId="0BD81263" w:rsidR="00EF0A4F" w:rsidRPr="00490C53" w:rsidRDefault="00EF0A4F" w:rsidP="00EF0A4F">
      <w:r>
        <w:rPr>
          <w:rStyle w:val="Emphasis"/>
          <w:b w:val="0"/>
          <w:color w:val="555674"/>
        </w:rPr>
        <w:t xml:space="preserve">Note: </w:t>
      </w:r>
      <w:r w:rsidRPr="00490C53">
        <w:rPr>
          <w:rStyle w:val="Emphasis"/>
          <w:b w:val="0"/>
          <w:color w:val="555674"/>
        </w:rPr>
        <w:t>Standard errors clustered at the sector level in parentheses. *** p-value&lt;0.01, ** p-value&lt;0.05, * p-value&lt;0.1. Source: London Economics’ analysis of survey data</w:t>
      </w:r>
      <w:r>
        <w:rPr>
          <w:rStyle w:val="Emphasis"/>
          <w:b w:val="0"/>
          <w:color w:val="555674"/>
        </w:rPr>
        <w:t>.</w:t>
      </w:r>
    </w:p>
    <w:p w14:paraId="372D5027" w14:textId="77777777" w:rsidR="00EF0A4F" w:rsidRDefault="00EF0A4F">
      <w:pPr>
        <w:spacing w:after="160" w:line="259" w:lineRule="auto"/>
        <w:rPr>
          <w:rFonts w:asciiTheme="majorHAnsi" w:eastAsiaTheme="majorEastAsia" w:hAnsiTheme="majorHAnsi" w:cstheme="majorBidi"/>
          <w:iCs/>
          <w:color w:val="142855" w:themeColor="text2"/>
          <w:sz w:val="26"/>
        </w:rPr>
      </w:pPr>
      <w:r>
        <w:br w:type="page"/>
      </w:r>
    </w:p>
    <w:p w14:paraId="6154D3D2" w14:textId="1E6C2DFF" w:rsidR="00AE2746" w:rsidRPr="005D5D23" w:rsidRDefault="00AE2746" w:rsidP="00236B73">
      <w:r w:rsidRPr="00236B73">
        <w:rPr>
          <w:color w:val="142855" w:themeColor="text2"/>
        </w:rPr>
        <w:lastRenderedPageBreak/>
        <w:t>Additional econometric results (Year 2 impact evaluation)</w:t>
      </w:r>
    </w:p>
    <w:p w14:paraId="54B223BC" w14:textId="1BA4BA3E" w:rsidR="002B5D18" w:rsidRPr="00490C53" w:rsidRDefault="002B5D18" w:rsidP="002B5D18">
      <w:pPr>
        <w:pStyle w:val="Heading5"/>
      </w:pPr>
      <w:bookmarkStart w:id="274" w:name="_Ref90974632"/>
      <w:bookmarkStart w:id="275" w:name="_Ref92816293"/>
      <w:r w:rsidRPr="00490C53">
        <w:t xml:space="preserve">Table </w:t>
      </w:r>
      <w:r w:rsidRPr="00490C53">
        <w:fldChar w:fldCharType="begin"/>
      </w:r>
      <w:r w:rsidRPr="00490C53">
        <w:instrText>SEQ Table \* ARABIC</w:instrText>
      </w:r>
      <w:r w:rsidRPr="00490C53">
        <w:fldChar w:fldCharType="separate"/>
      </w:r>
      <w:r w:rsidR="00397D49">
        <w:rPr>
          <w:noProof/>
        </w:rPr>
        <w:t>31</w:t>
      </w:r>
      <w:r w:rsidRPr="00490C53">
        <w:fldChar w:fldCharType="end"/>
      </w:r>
      <w:bookmarkEnd w:id="274"/>
      <w:r w:rsidRPr="00490C53">
        <w:t>: Estimated impact of the Covid-19 Loan Guarantee Schemes on turnover – by sector</w:t>
      </w:r>
      <w:bookmarkEnd w:id="275"/>
      <w:r w:rsidRPr="00490C53">
        <w:t xml:space="preserve"> </w:t>
      </w:r>
    </w:p>
    <w:tbl>
      <w:tblPr>
        <w:tblStyle w:val="TableGrid"/>
        <w:tblW w:w="5000" w:type="pct"/>
        <w:tblLook w:val="04A0" w:firstRow="1" w:lastRow="0" w:firstColumn="1" w:lastColumn="0" w:noHBand="0" w:noVBand="1"/>
      </w:tblPr>
      <w:tblGrid>
        <w:gridCol w:w="6236"/>
        <w:gridCol w:w="1958"/>
        <w:gridCol w:w="1960"/>
      </w:tblGrid>
      <w:tr w:rsidR="002B5D18" w:rsidRPr="00490C53" w14:paraId="66D8AE9C" w14:textId="77777777">
        <w:trPr>
          <w:cnfStyle w:val="100000000000" w:firstRow="1" w:lastRow="0" w:firstColumn="0" w:lastColumn="0" w:oddVBand="0" w:evenVBand="0" w:oddHBand="0" w:evenHBand="0" w:firstRowFirstColumn="0" w:firstRowLastColumn="0" w:lastRowFirstColumn="0" w:lastRowLastColumn="0"/>
          <w:tblHeader/>
        </w:trPr>
        <w:tc>
          <w:tcPr>
            <w:tcW w:w="3071" w:type="pct"/>
          </w:tcPr>
          <w:p w14:paraId="5111C095" w14:textId="77777777" w:rsidR="002B5D18" w:rsidRPr="00490C53" w:rsidRDefault="002B5D18">
            <w:pPr>
              <w:pStyle w:val="Tablecolumnheading-inkblue"/>
              <w:rPr>
                <w:b w:val="0"/>
                <w:color w:val="FFFFFF" w:themeColor="background1"/>
                <w:sz w:val="22"/>
                <w:szCs w:val="20"/>
              </w:rPr>
            </w:pPr>
            <w:r w:rsidRPr="00490C53">
              <w:rPr>
                <w:color w:val="FFFFFF" w:themeColor="background1"/>
                <w:sz w:val="22"/>
                <w:szCs w:val="20"/>
              </w:rPr>
              <w:t>Variable</w:t>
            </w:r>
          </w:p>
        </w:tc>
        <w:tc>
          <w:tcPr>
            <w:tcW w:w="964" w:type="pct"/>
          </w:tcPr>
          <w:p w14:paraId="3115F370"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BBLS</w:t>
            </w:r>
          </w:p>
        </w:tc>
        <w:tc>
          <w:tcPr>
            <w:tcW w:w="965" w:type="pct"/>
          </w:tcPr>
          <w:p w14:paraId="3228EB53"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CBILS/CLBILS</w:t>
            </w:r>
          </w:p>
        </w:tc>
      </w:tr>
      <w:tr w:rsidR="002B5D18" w:rsidRPr="00490C53" w14:paraId="231390B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21AF803F" w14:textId="77777777" w:rsidR="002B5D18" w:rsidRPr="00490C53" w:rsidRDefault="002B5D18">
            <w:pPr>
              <w:pStyle w:val="Tabletext"/>
              <w:spacing w:before="0"/>
            </w:pPr>
            <w:r w:rsidRPr="00490C53">
              <w:t>Business services, post intervention (Year 2)</w:t>
            </w:r>
          </w:p>
        </w:tc>
        <w:tc>
          <w:tcPr>
            <w:tcW w:w="964" w:type="pct"/>
            <w:vAlign w:val="center"/>
          </w:tcPr>
          <w:p w14:paraId="64D7C81A" w14:textId="77777777" w:rsidR="002B5D18" w:rsidRPr="00490C53" w:rsidRDefault="002B5D18">
            <w:pPr>
              <w:pStyle w:val="Tabletext"/>
              <w:spacing w:before="0"/>
              <w:jc w:val="center"/>
            </w:pPr>
            <w:r w:rsidRPr="00490C53">
              <w:t>-0.025</w:t>
            </w:r>
            <w:r w:rsidRPr="00490C53">
              <w:br/>
              <w:t>(0.115)</w:t>
            </w:r>
          </w:p>
        </w:tc>
        <w:tc>
          <w:tcPr>
            <w:tcW w:w="965" w:type="pct"/>
            <w:vAlign w:val="center"/>
          </w:tcPr>
          <w:p w14:paraId="452477C5" w14:textId="77777777" w:rsidR="002B5D18" w:rsidRPr="00490C53" w:rsidRDefault="002B5D18">
            <w:pPr>
              <w:pStyle w:val="Tabletext"/>
              <w:spacing w:before="0"/>
              <w:jc w:val="center"/>
            </w:pPr>
            <w:r w:rsidRPr="00490C53">
              <w:t>0.058</w:t>
            </w:r>
            <w:r w:rsidRPr="00490C53">
              <w:br/>
              <w:t>(0.206)</w:t>
            </w:r>
          </w:p>
        </w:tc>
      </w:tr>
      <w:tr w:rsidR="002B5D18" w:rsidRPr="00490C53" w14:paraId="1068AF02" w14:textId="77777777">
        <w:tblPrEx>
          <w:tblCellMar>
            <w:left w:w="108" w:type="dxa"/>
            <w:right w:w="108" w:type="dxa"/>
          </w:tblCellMar>
        </w:tblPrEx>
        <w:trPr>
          <w:trHeight w:val="20"/>
        </w:trPr>
        <w:tc>
          <w:tcPr>
            <w:tcW w:w="3071" w:type="pct"/>
            <w:vAlign w:val="center"/>
          </w:tcPr>
          <w:p w14:paraId="40A48A23" w14:textId="77777777" w:rsidR="002B5D18" w:rsidRPr="00490C53" w:rsidRDefault="002B5D18">
            <w:pPr>
              <w:pStyle w:val="Tabletext"/>
              <w:spacing w:before="0"/>
            </w:pPr>
            <w:r w:rsidRPr="00490C53">
              <w:t>Construction, post intervention (Year 2)</w:t>
            </w:r>
          </w:p>
        </w:tc>
        <w:tc>
          <w:tcPr>
            <w:tcW w:w="964" w:type="pct"/>
            <w:vAlign w:val="center"/>
          </w:tcPr>
          <w:p w14:paraId="035434A3" w14:textId="77777777" w:rsidR="002B5D18" w:rsidRPr="00490C53" w:rsidRDefault="002B5D18">
            <w:pPr>
              <w:pStyle w:val="Tabletext"/>
              <w:spacing w:before="0"/>
              <w:jc w:val="center"/>
            </w:pPr>
            <w:r w:rsidRPr="00490C53">
              <w:t>-0.005</w:t>
            </w:r>
            <w:r w:rsidRPr="00490C53">
              <w:br/>
              <w:t>(0.097)</w:t>
            </w:r>
          </w:p>
        </w:tc>
        <w:tc>
          <w:tcPr>
            <w:tcW w:w="965" w:type="pct"/>
            <w:vAlign w:val="center"/>
          </w:tcPr>
          <w:p w14:paraId="50741579" w14:textId="77777777" w:rsidR="002B5D18" w:rsidRPr="00490C53" w:rsidRDefault="002B5D18">
            <w:pPr>
              <w:pStyle w:val="Tabletext"/>
              <w:spacing w:before="0"/>
              <w:jc w:val="center"/>
            </w:pPr>
            <w:r w:rsidRPr="00490C53">
              <w:t>-0.233</w:t>
            </w:r>
            <w:r w:rsidRPr="00490C53">
              <w:br/>
              <w:t>(0.460)</w:t>
            </w:r>
          </w:p>
        </w:tc>
      </w:tr>
      <w:tr w:rsidR="002B5D18" w:rsidRPr="00490C53" w14:paraId="7B83022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1B0EA75C" w14:textId="77777777" w:rsidR="002B5D18" w:rsidRPr="00490C53" w:rsidRDefault="002B5D18">
            <w:pPr>
              <w:pStyle w:val="Tabletext"/>
              <w:spacing w:before="0"/>
            </w:pPr>
            <w:r w:rsidRPr="00490C53">
              <w:t>Distribution, post intervention (Year 2)</w:t>
            </w:r>
          </w:p>
        </w:tc>
        <w:tc>
          <w:tcPr>
            <w:tcW w:w="964" w:type="pct"/>
            <w:vAlign w:val="center"/>
          </w:tcPr>
          <w:p w14:paraId="1C3740C7" w14:textId="77777777" w:rsidR="002B5D18" w:rsidRPr="00490C53" w:rsidRDefault="002B5D18">
            <w:pPr>
              <w:pStyle w:val="Tabletext"/>
              <w:spacing w:before="0"/>
              <w:jc w:val="center"/>
            </w:pPr>
            <w:r w:rsidRPr="00490C53">
              <w:t>-0.001</w:t>
            </w:r>
            <w:r w:rsidRPr="00490C53">
              <w:br/>
              <w:t>(0.100)</w:t>
            </w:r>
          </w:p>
        </w:tc>
        <w:tc>
          <w:tcPr>
            <w:tcW w:w="965" w:type="pct"/>
            <w:vAlign w:val="center"/>
          </w:tcPr>
          <w:p w14:paraId="0EBCC94B" w14:textId="77777777" w:rsidR="002B5D18" w:rsidRPr="00490C53" w:rsidRDefault="002B5D18">
            <w:pPr>
              <w:pStyle w:val="Tabletext"/>
              <w:spacing w:before="0"/>
              <w:jc w:val="center"/>
            </w:pPr>
            <w:r w:rsidRPr="00490C53">
              <w:t>0.043</w:t>
            </w:r>
            <w:r w:rsidRPr="00490C53">
              <w:br/>
              <w:t>(0.157)</w:t>
            </w:r>
          </w:p>
        </w:tc>
      </w:tr>
      <w:tr w:rsidR="002B5D18" w:rsidRPr="00490C53" w14:paraId="5F0AE0EE" w14:textId="77777777">
        <w:tblPrEx>
          <w:tblCellMar>
            <w:left w:w="108" w:type="dxa"/>
            <w:right w:w="108" w:type="dxa"/>
          </w:tblCellMar>
        </w:tblPrEx>
        <w:trPr>
          <w:trHeight w:val="20"/>
        </w:trPr>
        <w:tc>
          <w:tcPr>
            <w:tcW w:w="3071" w:type="pct"/>
            <w:vAlign w:val="center"/>
          </w:tcPr>
          <w:p w14:paraId="6BF6B669" w14:textId="77777777" w:rsidR="002B5D18" w:rsidRPr="00490C53" w:rsidRDefault="002B5D18">
            <w:pPr>
              <w:pStyle w:val="Tabletext"/>
              <w:spacing w:before="0"/>
            </w:pPr>
            <w:r w:rsidRPr="00490C53">
              <w:t>Other Services, post intervention (Year 2)</w:t>
            </w:r>
          </w:p>
        </w:tc>
        <w:tc>
          <w:tcPr>
            <w:tcW w:w="964" w:type="pct"/>
            <w:vAlign w:val="center"/>
          </w:tcPr>
          <w:p w14:paraId="72C0B9FA" w14:textId="77777777" w:rsidR="002B5D18" w:rsidRPr="00490C53" w:rsidRDefault="002B5D18">
            <w:pPr>
              <w:pStyle w:val="Tabletext"/>
              <w:spacing w:before="0"/>
              <w:jc w:val="center"/>
            </w:pPr>
            <w:r w:rsidRPr="00490C53">
              <w:t>-0.154</w:t>
            </w:r>
            <w:r w:rsidRPr="00490C53">
              <w:br/>
              <w:t>(0.180)</w:t>
            </w:r>
          </w:p>
        </w:tc>
        <w:tc>
          <w:tcPr>
            <w:tcW w:w="965" w:type="pct"/>
            <w:vAlign w:val="center"/>
          </w:tcPr>
          <w:p w14:paraId="66AB91F2" w14:textId="77777777" w:rsidR="002B5D18" w:rsidRPr="00490C53" w:rsidRDefault="002B5D18">
            <w:pPr>
              <w:pStyle w:val="Tabletext"/>
              <w:spacing w:before="0"/>
              <w:jc w:val="center"/>
            </w:pPr>
            <w:r w:rsidRPr="00490C53">
              <w:t>-0.584</w:t>
            </w:r>
            <w:r w:rsidRPr="00490C53">
              <w:br/>
              <w:t>(0.470)</w:t>
            </w:r>
          </w:p>
        </w:tc>
      </w:tr>
      <w:tr w:rsidR="002B5D18" w:rsidRPr="00490C53" w14:paraId="0A50827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3F63F981" w14:textId="77777777" w:rsidR="002B5D18" w:rsidRPr="00490C53" w:rsidRDefault="002B5D18">
            <w:pPr>
              <w:pStyle w:val="Tabletext"/>
              <w:spacing w:before="0"/>
            </w:pPr>
            <w:r w:rsidRPr="00490C53">
              <w:t>Production, post intervention (Year 2)</w:t>
            </w:r>
          </w:p>
        </w:tc>
        <w:tc>
          <w:tcPr>
            <w:tcW w:w="964" w:type="pct"/>
            <w:vAlign w:val="center"/>
          </w:tcPr>
          <w:p w14:paraId="7967AB0B" w14:textId="77777777" w:rsidR="002B5D18" w:rsidRPr="00490C53" w:rsidRDefault="002B5D18">
            <w:pPr>
              <w:pStyle w:val="Tabletext"/>
              <w:spacing w:before="0"/>
              <w:jc w:val="center"/>
            </w:pPr>
            <w:r w:rsidRPr="00490C53">
              <w:t>0.047</w:t>
            </w:r>
            <w:r w:rsidRPr="00490C53">
              <w:br/>
              <w:t>(0.105)</w:t>
            </w:r>
          </w:p>
        </w:tc>
        <w:tc>
          <w:tcPr>
            <w:tcW w:w="965" w:type="pct"/>
            <w:vAlign w:val="center"/>
          </w:tcPr>
          <w:p w14:paraId="1919B564" w14:textId="77777777" w:rsidR="002B5D18" w:rsidRPr="00490C53" w:rsidRDefault="002B5D18">
            <w:pPr>
              <w:pStyle w:val="Tabletext"/>
              <w:spacing w:before="0"/>
              <w:jc w:val="center"/>
            </w:pPr>
            <w:r w:rsidRPr="00490C53">
              <w:t>-0.203</w:t>
            </w:r>
            <w:r w:rsidRPr="00490C53">
              <w:br/>
              <w:t>(0.179)</w:t>
            </w:r>
          </w:p>
        </w:tc>
      </w:tr>
      <w:tr w:rsidR="002B5D18" w:rsidRPr="00490C53" w14:paraId="5669D3F6" w14:textId="77777777">
        <w:tblPrEx>
          <w:tblCellMar>
            <w:left w:w="108" w:type="dxa"/>
            <w:right w:w="108" w:type="dxa"/>
          </w:tblCellMar>
        </w:tblPrEx>
        <w:trPr>
          <w:trHeight w:val="20"/>
        </w:trPr>
        <w:tc>
          <w:tcPr>
            <w:tcW w:w="3071" w:type="pct"/>
            <w:vAlign w:val="center"/>
          </w:tcPr>
          <w:p w14:paraId="4DAAC1FD" w14:textId="77777777" w:rsidR="002B5D18" w:rsidRPr="00490C53" w:rsidRDefault="002B5D18">
            <w:pPr>
              <w:pStyle w:val="Tabletext"/>
              <w:spacing w:before="0"/>
            </w:pPr>
            <w:r w:rsidRPr="00490C53">
              <w:t>Business services, Borrower, post intervention (Year 2)</w:t>
            </w:r>
          </w:p>
        </w:tc>
        <w:tc>
          <w:tcPr>
            <w:tcW w:w="964" w:type="pct"/>
            <w:vAlign w:val="center"/>
          </w:tcPr>
          <w:p w14:paraId="2AE0D2D0" w14:textId="77777777" w:rsidR="002B5D18" w:rsidRPr="00490C53" w:rsidRDefault="002B5D18">
            <w:pPr>
              <w:pStyle w:val="Tabletext"/>
              <w:spacing w:before="0"/>
              <w:jc w:val="center"/>
            </w:pPr>
            <w:r w:rsidRPr="00490C53">
              <w:t>0.058</w:t>
            </w:r>
            <w:r w:rsidRPr="00490C53">
              <w:br/>
              <w:t>(0.136)</w:t>
            </w:r>
          </w:p>
        </w:tc>
        <w:tc>
          <w:tcPr>
            <w:tcW w:w="965" w:type="pct"/>
            <w:vAlign w:val="center"/>
          </w:tcPr>
          <w:p w14:paraId="0E044F7B" w14:textId="77777777" w:rsidR="002B5D18" w:rsidRPr="00490C53" w:rsidRDefault="002B5D18">
            <w:pPr>
              <w:pStyle w:val="Tabletext"/>
              <w:spacing w:before="0"/>
              <w:jc w:val="center"/>
            </w:pPr>
            <w:r w:rsidRPr="00490C53">
              <w:t>0.064</w:t>
            </w:r>
            <w:r w:rsidRPr="00490C53">
              <w:br/>
              <w:t>(0.243)</w:t>
            </w:r>
          </w:p>
        </w:tc>
      </w:tr>
      <w:tr w:rsidR="002B5D18" w:rsidRPr="00490C53" w14:paraId="69115E4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34F559A3" w14:textId="77777777" w:rsidR="002B5D18" w:rsidRPr="00490C53" w:rsidRDefault="002B5D18">
            <w:pPr>
              <w:pStyle w:val="Tabletext"/>
              <w:spacing w:before="0"/>
            </w:pPr>
            <w:r w:rsidRPr="00490C53">
              <w:t>Construction, Borrower, post intervention (Year 2)</w:t>
            </w:r>
          </w:p>
        </w:tc>
        <w:tc>
          <w:tcPr>
            <w:tcW w:w="964" w:type="pct"/>
            <w:vAlign w:val="center"/>
          </w:tcPr>
          <w:p w14:paraId="437C90D1" w14:textId="77777777" w:rsidR="002B5D18" w:rsidRPr="00490C53" w:rsidRDefault="002B5D18">
            <w:pPr>
              <w:pStyle w:val="Tabletext"/>
              <w:spacing w:before="0"/>
              <w:jc w:val="center"/>
            </w:pPr>
            <w:r w:rsidRPr="00490C53">
              <w:t>-0.002</w:t>
            </w:r>
            <w:r w:rsidRPr="00490C53">
              <w:br/>
              <w:t>(0.208)</w:t>
            </w:r>
          </w:p>
        </w:tc>
        <w:tc>
          <w:tcPr>
            <w:tcW w:w="965" w:type="pct"/>
            <w:vAlign w:val="center"/>
          </w:tcPr>
          <w:p w14:paraId="1CCC6A29" w14:textId="77777777" w:rsidR="002B5D18" w:rsidRPr="00490C53" w:rsidRDefault="002B5D18">
            <w:pPr>
              <w:pStyle w:val="Tabletext"/>
              <w:spacing w:before="0"/>
              <w:jc w:val="center"/>
            </w:pPr>
            <w:r w:rsidRPr="00490C53">
              <w:t>0.195</w:t>
            </w:r>
            <w:r w:rsidRPr="00490C53">
              <w:br/>
              <w:t>(0.454)</w:t>
            </w:r>
          </w:p>
        </w:tc>
      </w:tr>
      <w:tr w:rsidR="002B5D18" w:rsidRPr="00490C53" w14:paraId="1EE70E72" w14:textId="77777777">
        <w:tblPrEx>
          <w:tblCellMar>
            <w:left w:w="108" w:type="dxa"/>
            <w:right w:w="108" w:type="dxa"/>
          </w:tblCellMar>
        </w:tblPrEx>
        <w:trPr>
          <w:trHeight w:val="20"/>
        </w:trPr>
        <w:tc>
          <w:tcPr>
            <w:tcW w:w="3071" w:type="pct"/>
            <w:vAlign w:val="center"/>
          </w:tcPr>
          <w:p w14:paraId="5A5A3975" w14:textId="77777777" w:rsidR="002B5D18" w:rsidRPr="00490C53" w:rsidRDefault="002B5D18">
            <w:pPr>
              <w:pStyle w:val="Tabletext"/>
              <w:spacing w:before="0"/>
            </w:pPr>
            <w:r w:rsidRPr="00490C53">
              <w:t>Distribution, Borrower, post intervention (Year 2)</w:t>
            </w:r>
          </w:p>
        </w:tc>
        <w:tc>
          <w:tcPr>
            <w:tcW w:w="964" w:type="pct"/>
            <w:vAlign w:val="center"/>
          </w:tcPr>
          <w:p w14:paraId="525B26C7" w14:textId="77777777" w:rsidR="002B5D18" w:rsidRPr="00490C53" w:rsidRDefault="002B5D18">
            <w:pPr>
              <w:pStyle w:val="Tabletext"/>
              <w:spacing w:before="0"/>
              <w:jc w:val="center"/>
            </w:pPr>
            <w:r w:rsidRPr="00490C53">
              <w:t>0.049</w:t>
            </w:r>
            <w:r w:rsidRPr="00490C53">
              <w:br/>
              <w:t>(0.112)</w:t>
            </w:r>
          </w:p>
        </w:tc>
        <w:tc>
          <w:tcPr>
            <w:tcW w:w="965" w:type="pct"/>
            <w:vAlign w:val="center"/>
          </w:tcPr>
          <w:p w14:paraId="0DEB8201" w14:textId="77777777" w:rsidR="002B5D18" w:rsidRPr="00490C53" w:rsidRDefault="002B5D18">
            <w:pPr>
              <w:pStyle w:val="Tabletext"/>
              <w:spacing w:before="0"/>
              <w:jc w:val="center"/>
            </w:pPr>
            <w:r w:rsidRPr="00490C53">
              <w:t>0.211</w:t>
            </w:r>
            <w:r w:rsidRPr="00490C53">
              <w:br/>
              <w:t>(0.177)</w:t>
            </w:r>
          </w:p>
        </w:tc>
      </w:tr>
      <w:tr w:rsidR="002B5D18" w:rsidRPr="00490C53" w14:paraId="051A6FA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2121FA17" w14:textId="77777777" w:rsidR="002B5D18" w:rsidRPr="00490C53" w:rsidRDefault="002B5D18">
            <w:pPr>
              <w:pStyle w:val="Tabletext"/>
              <w:spacing w:before="0"/>
            </w:pPr>
            <w:r w:rsidRPr="00490C53">
              <w:t>Other Services, Borrower, post intervention (Year 2)</w:t>
            </w:r>
          </w:p>
        </w:tc>
        <w:tc>
          <w:tcPr>
            <w:tcW w:w="964" w:type="pct"/>
            <w:vAlign w:val="center"/>
          </w:tcPr>
          <w:p w14:paraId="2F84138E" w14:textId="77777777" w:rsidR="002B5D18" w:rsidRPr="00490C53" w:rsidRDefault="002B5D18">
            <w:pPr>
              <w:pStyle w:val="Tabletext"/>
              <w:spacing w:before="0"/>
              <w:jc w:val="center"/>
            </w:pPr>
            <w:r w:rsidRPr="00490C53">
              <w:t>-0.009</w:t>
            </w:r>
            <w:r w:rsidRPr="00490C53">
              <w:br/>
              <w:t>(0.209)</w:t>
            </w:r>
          </w:p>
        </w:tc>
        <w:tc>
          <w:tcPr>
            <w:tcW w:w="965" w:type="pct"/>
            <w:vAlign w:val="center"/>
          </w:tcPr>
          <w:p w14:paraId="78EF0832" w14:textId="77777777" w:rsidR="002B5D18" w:rsidRPr="00490C53" w:rsidRDefault="002B5D18">
            <w:pPr>
              <w:pStyle w:val="Tabletext"/>
              <w:spacing w:before="0"/>
              <w:jc w:val="center"/>
            </w:pPr>
            <w:r w:rsidRPr="00490C53">
              <w:t>0.308</w:t>
            </w:r>
            <w:r w:rsidRPr="00490C53">
              <w:br/>
              <w:t>(0.432)</w:t>
            </w:r>
          </w:p>
        </w:tc>
      </w:tr>
      <w:tr w:rsidR="002B5D18" w:rsidRPr="00490C53" w14:paraId="6E065578" w14:textId="77777777">
        <w:tblPrEx>
          <w:tblCellMar>
            <w:left w:w="108" w:type="dxa"/>
            <w:right w:w="108" w:type="dxa"/>
          </w:tblCellMar>
        </w:tblPrEx>
        <w:trPr>
          <w:trHeight w:val="20"/>
        </w:trPr>
        <w:tc>
          <w:tcPr>
            <w:tcW w:w="3071" w:type="pct"/>
            <w:vAlign w:val="center"/>
          </w:tcPr>
          <w:p w14:paraId="623A65DB" w14:textId="77777777" w:rsidR="002B5D18" w:rsidRPr="00490C53" w:rsidRDefault="002B5D18">
            <w:pPr>
              <w:pStyle w:val="Tabletext"/>
              <w:spacing w:before="0"/>
            </w:pPr>
            <w:r w:rsidRPr="00490C53">
              <w:t>Production, Borrower, post intervention (Year 2)</w:t>
            </w:r>
          </w:p>
        </w:tc>
        <w:tc>
          <w:tcPr>
            <w:tcW w:w="964" w:type="pct"/>
            <w:vAlign w:val="center"/>
          </w:tcPr>
          <w:p w14:paraId="75627CFD" w14:textId="77777777" w:rsidR="002B5D18" w:rsidRPr="00490C53" w:rsidRDefault="002B5D18">
            <w:pPr>
              <w:pStyle w:val="Tabletext"/>
              <w:spacing w:before="0"/>
              <w:jc w:val="center"/>
            </w:pPr>
            <w:r w:rsidRPr="00490C53">
              <w:t>-0.014</w:t>
            </w:r>
            <w:r w:rsidRPr="00490C53">
              <w:br/>
              <w:t>(0.150)</w:t>
            </w:r>
          </w:p>
        </w:tc>
        <w:tc>
          <w:tcPr>
            <w:tcW w:w="965" w:type="pct"/>
            <w:vAlign w:val="center"/>
          </w:tcPr>
          <w:p w14:paraId="5E61EE78" w14:textId="77777777" w:rsidR="002B5D18" w:rsidRPr="00490C53" w:rsidRDefault="002B5D18">
            <w:pPr>
              <w:pStyle w:val="Tabletext"/>
              <w:spacing w:before="0"/>
              <w:jc w:val="center"/>
            </w:pPr>
            <w:r w:rsidRPr="00490C53">
              <w:t>0.277</w:t>
            </w:r>
            <w:r w:rsidRPr="00490C53">
              <w:br/>
              <w:t>(0.184)</w:t>
            </w:r>
          </w:p>
        </w:tc>
      </w:tr>
      <w:tr w:rsidR="002B5D18" w:rsidRPr="00490C53" w14:paraId="016248C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0409E1AC" w14:textId="77777777" w:rsidR="002B5D18" w:rsidRPr="00490C53" w:rsidRDefault="002B5D18">
            <w:pPr>
              <w:pStyle w:val="Tabletext"/>
              <w:spacing w:before="0"/>
            </w:pPr>
            <w:r w:rsidRPr="00490C53">
              <w:t>Business services, post intervention (Year 1)</w:t>
            </w:r>
          </w:p>
        </w:tc>
        <w:tc>
          <w:tcPr>
            <w:tcW w:w="964" w:type="pct"/>
            <w:vAlign w:val="center"/>
          </w:tcPr>
          <w:p w14:paraId="0A232761" w14:textId="77777777" w:rsidR="002B5D18" w:rsidRPr="00490C53" w:rsidRDefault="002B5D18">
            <w:pPr>
              <w:pStyle w:val="Tabletext"/>
              <w:spacing w:before="0"/>
              <w:jc w:val="center"/>
              <w:rPr>
                <w:rStyle w:val="Bold"/>
                <w:b w:val="0"/>
              </w:rPr>
            </w:pPr>
            <w:r w:rsidRPr="00490C53">
              <w:t>-0.087</w:t>
            </w:r>
            <w:r w:rsidRPr="00490C53">
              <w:br/>
              <w:t>(0.056)</w:t>
            </w:r>
          </w:p>
        </w:tc>
        <w:tc>
          <w:tcPr>
            <w:tcW w:w="965" w:type="pct"/>
            <w:vAlign w:val="center"/>
          </w:tcPr>
          <w:p w14:paraId="01AA67F1" w14:textId="77777777" w:rsidR="002B5D18" w:rsidRPr="00490C53" w:rsidRDefault="002B5D18">
            <w:pPr>
              <w:pStyle w:val="Tabletext"/>
              <w:spacing w:before="0"/>
              <w:jc w:val="center"/>
              <w:rPr>
                <w:rStyle w:val="Bold"/>
                <w:b w:val="0"/>
              </w:rPr>
            </w:pPr>
            <w:r w:rsidRPr="00490C53">
              <w:t>-0.151</w:t>
            </w:r>
            <w:r w:rsidRPr="00490C53">
              <w:br/>
              <w:t>(0.116)</w:t>
            </w:r>
          </w:p>
        </w:tc>
      </w:tr>
      <w:tr w:rsidR="002B5D18" w:rsidRPr="00490C53" w14:paraId="10AFF5D6" w14:textId="77777777">
        <w:tblPrEx>
          <w:tblCellMar>
            <w:left w:w="108" w:type="dxa"/>
            <w:right w:w="108" w:type="dxa"/>
          </w:tblCellMar>
        </w:tblPrEx>
        <w:trPr>
          <w:trHeight w:val="20"/>
        </w:trPr>
        <w:tc>
          <w:tcPr>
            <w:tcW w:w="3071" w:type="pct"/>
            <w:vAlign w:val="center"/>
          </w:tcPr>
          <w:p w14:paraId="328E543C" w14:textId="77777777" w:rsidR="002B5D18" w:rsidRPr="00490C53" w:rsidRDefault="002B5D18">
            <w:pPr>
              <w:pStyle w:val="Tabletext"/>
              <w:spacing w:before="0"/>
            </w:pPr>
            <w:r w:rsidRPr="00490C53">
              <w:t>Construction, post intervention (Year 1)</w:t>
            </w:r>
          </w:p>
        </w:tc>
        <w:tc>
          <w:tcPr>
            <w:tcW w:w="964" w:type="pct"/>
            <w:vAlign w:val="center"/>
          </w:tcPr>
          <w:p w14:paraId="194241C8" w14:textId="77777777" w:rsidR="002B5D18" w:rsidRPr="00490C53" w:rsidRDefault="002B5D18">
            <w:pPr>
              <w:pStyle w:val="Tabletext"/>
              <w:spacing w:before="0"/>
              <w:jc w:val="center"/>
              <w:rPr>
                <w:rStyle w:val="Bold"/>
                <w:b w:val="0"/>
              </w:rPr>
            </w:pPr>
            <w:r w:rsidRPr="00490C53">
              <w:t>-0.081</w:t>
            </w:r>
            <w:r w:rsidRPr="00490C53">
              <w:br/>
              <w:t>(0.105)</w:t>
            </w:r>
          </w:p>
        </w:tc>
        <w:tc>
          <w:tcPr>
            <w:tcW w:w="965" w:type="pct"/>
            <w:vAlign w:val="center"/>
          </w:tcPr>
          <w:p w14:paraId="1DE26100" w14:textId="77777777" w:rsidR="002B5D18" w:rsidRPr="00490C53" w:rsidRDefault="002B5D18">
            <w:pPr>
              <w:pStyle w:val="Tabletext"/>
              <w:spacing w:before="0"/>
              <w:jc w:val="center"/>
              <w:rPr>
                <w:rStyle w:val="Bold"/>
                <w:b w:val="0"/>
              </w:rPr>
            </w:pPr>
            <w:r w:rsidRPr="00490C53">
              <w:t>-0.446**</w:t>
            </w:r>
            <w:r w:rsidRPr="00490C53">
              <w:br/>
              <w:t>(0.181)</w:t>
            </w:r>
          </w:p>
        </w:tc>
      </w:tr>
      <w:tr w:rsidR="002B5D18" w:rsidRPr="00490C53" w14:paraId="1FE64F4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4976D0BF" w14:textId="77777777" w:rsidR="002B5D18" w:rsidRPr="00490C53" w:rsidDel="000A1204" w:rsidRDefault="002B5D18">
            <w:pPr>
              <w:pStyle w:val="Tabletext"/>
              <w:spacing w:before="0"/>
            </w:pPr>
            <w:r w:rsidRPr="00490C53">
              <w:t>Distribution, post intervention (Year 1)</w:t>
            </w:r>
          </w:p>
        </w:tc>
        <w:tc>
          <w:tcPr>
            <w:tcW w:w="964" w:type="pct"/>
            <w:vAlign w:val="center"/>
          </w:tcPr>
          <w:p w14:paraId="6E3301D8" w14:textId="77777777" w:rsidR="002B5D18" w:rsidRPr="00490C53" w:rsidRDefault="002B5D18">
            <w:pPr>
              <w:pStyle w:val="Tabletext"/>
              <w:spacing w:before="0"/>
              <w:jc w:val="center"/>
              <w:rPr>
                <w:rStyle w:val="Bold"/>
                <w:b w:val="0"/>
              </w:rPr>
            </w:pPr>
            <w:r w:rsidRPr="00490C53">
              <w:t>-0.109</w:t>
            </w:r>
            <w:r w:rsidRPr="00490C53">
              <w:br/>
              <w:t>(0.091)</w:t>
            </w:r>
          </w:p>
        </w:tc>
        <w:tc>
          <w:tcPr>
            <w:tcW w:w="965" w:type="pct"/>
            <w:vAlign w:val="center"/>
          </w:tcPr>
          <w:p w14:paraId="35DAA485" w14:textId="77777777" w:rsidR="002B5D18" w:rsidRPr="00490C53" w:rsidRDefault="002B5D18">
            <w:pPr>
              <w:pStyle w:val="Tabletext"/>
              <w:spacing w:before="0"/>
              <w:jc w:val="center"/>
              <w:rPr>
                <w:rStyle w:val="Bold"/>
                <w:b w:val="0"/>
              </w:rPr>
            </w:pPr>
            <w:r w:rsidRPr="00490C53">
              <w:t>-0.113</w:t>
            </w:r>
            <w:r w:rsidRPr="00490C53">
              <w:br/>
              <w:t>(0.129)</w:t>
            </w:r>
          </w:p>
        </w:tc>
      </w:tr>
      <w:tr w:rsidR="002B5D18" w:rsidRPr="00490C53" w14:paraId="3F68EFE3" w14:textId="77777777">
        <w:tblPrEx>
          <w:tblCellMar>
            <w:left w:w="108" w:type="dxa"/>
            <w:right w:w="108" w:type="dxa"/>
          </w:tblCellMar>
        </w:tblPrEx>
        <w:trPr>
          <w:trHeight w:val="20"/>
        </w:trPr>
        <w:tc>
          <w:tcPr>
            <w:tcW w:w="3071" w:type="pct"/>
            <w:vAlign w:val="center"/>
          </w:tcPr>
          <w:p w14:paraId="617BD272" w14:textId="77777777" w:rsidR="002B5D18" w:rsidRPr="00490C53" w:rsidDel="000A1204" w:rsidRDefault="002B5D18">
            <w:pPr>
              <w:pStyle w:val="Tabletext"/>
              <w:spacing w:before="0"/>
            </w:pPr>
            <w:r w:rsidRPr="00490C53">
              <w:lastRenderedPageBreak/>
              <w:t>Other Services, post intervention (Year 1)</w:t>
            </w:r>
          </w:p>
        </w:tc>
        <w:tc>
          <w:tcPr>
            <w:tcW w:w="964" w:type="pct"/>
            <w:vAlign w:val="center"/>
          </w:tcPr>
          <w:p w14:paraId="66454B16" w14:textId="77777777" w:rsidR="002B5D18" w:rsidRPr="00490C53" w:rsidRDefault="002B5D18">
            <w:pPr>
              <w:pStyle w:val="Tabletext"/>
              <w:spacing w:before="0"/>
              <w:jc w:val="center"/>
              <w:rPr>
                <w:rStyle w:val="Bold"/>
                <w:b w:val="0"/>
              </w:rPr>
            </w:pPr>
            <w:r w:rsidRPr="00490C53">
              <w:t>-0.623**</w:t>
            </w:r>
            <w:r w:rsidRPr="00490C53">
              <w:br/>
              <w:t>(0.312)</w:t>
            </w:r>
          </w:p>
        </w:tc>
        <w:tc>
          <w:tcPr>
            <w:tcW w:w="965" w:type="pct"/>
            <w:vAlign w:val="center"/>
          </w:tcPr>
          <w:p w14:paraId="0B5E6582" w14:textId="77777777" w:rsidR="002B5D18" w:rsidRPr="00490C53" w:rsidRDefault="002B5D18">
            <w:pPr>
              <w:pStyle w:val="Tabletext"/>
              <w:spacing w:before="0"/>
              <w:jc w:val="center"/>
              <w:rPr>
                <w:rStyle w:val="Bold"/>
                <w:b w:val="0"/>
              </w:rPr>
            </w:pPr>
            <w:r w:rsidRPr="00490C53">
              <w:t>-0.372</w:t>
            </w:r>
            <w:r w:rsidRPr="00490C53">
              <w:br/>
              <w:t>(0.273)</w:t>
            </w:r>
          </w:p>
        </w:tc>
      </w:tr>
      <w:tr w:rsidR="002B5D18" w:rsidRPr="00490C53" w14:paraId="5F2A145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37C7B221" w14:textId="77777777" w:rsidR="002B5D18" w:rsidRPr="00490C53" w:rsidDel="000A1204" w:rsidRDefault="002B5D18">
            <w:pPr>
              <w:pStyle w:val="Tabletext"/>
              <w:spacing w:before="0"/>
            </w:pPr>
            <w:r w:rsidRPr="00490C53">
              <w:t>Production, post intervention (Year 1)</w:t>
            </w:r>
          </w:p>
        </w:tc>
        <w:tc>
          <w:tcPr>
            <w:tcW w:w="964" w:type="pct"/>
            <w:vAlign w:val="center"/>
          </w:tcPr>
          <w:p w14:paraId="03096D97" w14:textId="77777777" w:rsidR="002B5D18" w:rsidRPr="00490C53" w:rsidRDefault="002B5D18">
            <w:pPr>
              <w:pStyle w:val="Tabletext"/>
              <w:spacing w:before="0"/>
              <w:jc w:val="center"/>
              <w:rPr>
                <w:rStyle w:val="Bold"/>
                <w:b w:val="0"/>
              </w:rPr>
            </w:pPr>
            <w:r w:rsidRPr="00490C53">
              <w:t>-0.089</w:t>
            </w:r>
            <w:r w:rsidRPr="00490C53">
              <w:br/>
              <w:t>(0.107)</w:t>
            </w:r>
          </w:p>
        </w:tc>
        <w:tc>
          <w:tcPr>
            <w:tcW w:w="965" w:type="pct"/>
            <w:vAlign w:val="center"/>
          </w:tcPr>
          <w:p w14:paraId="1BBDE5EA" w14:textId="77777777" w:rsidR="002B5D18" w:rsidRPr="00490C53" w:rsidRDefault="002B5D18">
            <w:pPr>
              <w:pStyle w:val="Tabletext"/>
              <w:spacing w:before="0"/>
              <w:jc w:val="center"/>
              <w:rPr>
                <w:rStyle w:val="Bold"/>
                <w:b w:val="0"/>
              </w:rPr>
            </w:pPr>
            <w:r w:rsidRPr="00490C53">
              <w:t>-0.366**</w:t>
            </w:r>
            <w:r w:rsidRPr="00490C53">
              <w:br/>
              <w:t>(0.172)</w:t>
            </w:r>
          </w:p>
        </w:tc>
      </w:tr>
      <w:tr w:rsidR="002B5D18" w:rsidRPr="00490C53" w14:paraId="60396735" w14:textId="77777777">
        <w:tblPrEx>
          <w:tblCellMar>
            <w:left w:w="108" w:type="dxa"/>
            <w:right w:w="108" w:type="dxa"/>
          </w:tblCellMar>
        </w:tblPrEx>
        <w:trPr>
          <w:trHeight w:val="20"/>
        </w:trPr>
        <w:tc>
          <w:tcPr>
            <w:tcW w:w="3071" w:type="pct"/>
            <w:vAlign w:val="center"/>
          </w:tcPr>
          <w:p w14:paraId="6C5BC970" w14:textId="77777777" w:rsidR="002B5D18" w:rsidRPr="00490C53" w:rsidDel="000A1204" w:rsidRDefault="002B5D18">
            <w:pPr>
              <w:pStyle w:val="Tabletext"/>
              <w:spacing w:before="0"/>
            </w:pPr>
            <w:r w:rsidRPr="00490C53">
              <w:t>Business services, Borrower, post intervention (Year 1)</w:t>
            </w:r>
          </w:p>
        </w:tc>
        <w:tc>
          <w:tcPr>
            <w:tcW w:w="964" w:type="pct"/>
            <w:vAlign w:val="center"/>
          </w:tcPr>
          <w:p w14:paraId="184BBA7C" w14:textId="77777777" w:rsidR="002B5D18" w:rsidRPr="00490C53" w:rsidRDefault="002B5D18">
            <w:pPr>
              <w:pStyle w:val="Tabletext"/>
              <w:spacing w:before="0"/>
              <w:jc w:val="center"/>
              <w:rPr>
                <w:rStyle w:val="Bold"/>
                <w:b w:val="0"/>
              </w:rPr>
            </w:pPr>
            <w:r w:rsidRPr="00490C53">
              <w:t>-0.035</w:t>
            </w:r>
            <w:r w:rsidRPr="00490C53">
              <w:br/>
              <w:t>(0.078)</w:t>
            </w:r>
          </w:p>
        </w:tc>
        <w:tc>
          <w:tcPr>
            <w:tcW w:w="965" w:type="pct"/>
            <w:vAlign w:val="center"/>
          </w:tcPr>
          <w:p w14:paraId="2C3DF6FF" w14:textId="77777777" w:rsidR="002B5D18" w:rsidRPr="00490C53" w:rsidRDefault="002B5D18">
            <w:pPr>
              <w:pStyle w:val="Tabletext"/>
              <w:spacing w:before="0"/>
              <w:jc w:val="center"/>
              <w:rPr>
                <w:rStyle w:val="Bold"/>
                <w:b w:val="0"/>
              </w:rPr>
            </w:pPr>
            <w:r w:rsidRPr="00490C53">
              <w:t>-0.159</w:t>
            </w:r>
            <w:r w:rsidRPr="00490C53">
              <w:br/>
              <w:t>(0.122)</w:t>
            </w:r>
          </w:p>
        </w:tc>
      </w:tr>
      <w:tr w:rsidR="002B5D18" w:rsidRPr="00490C53" w14:paraId="43F8FB8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15393C8A" w14:textId="77777777" w:rsidR="002B5D18" w:rsidRPr="00490C53" w:rsidDel="000A1204" w:rsidRDefault="002B5D18">
            <w:pPr>
              <w:pStyle w:val="Tabletext"/>
              <w:spacing w:before="0"/>
            </w:pPr>
            <w:r w:rsidRPr="00490C53">
              <w:t>Construction, Borrower, post intervention (Year 1)</w:t>
            </w:r>
          </w:p>
        </w:tc>
        <w:tc>
          <w:tcPr>
            <w:tcW w:w="964" w:type="pct"/>
            <w:vAlign w:val="center"/>
          </w:tcPr>
          <w:p w14:paraId="4FD43D45" w14:textId="77777777" w:rsidR="002B5D18" w:rsidRPr="00490C53" w:rsidRDefault="002B5D18">
            <w:pPr>
              <w:pStyle w:val="Tabletext"/>
              <w:spacing w:before="0"/>
              <w:jc w:val="center"/>
              <w:rPr>
                <w:rStyle w:val="Bold"/>
                <w:b w:val="0"/>
              </w:rPr>
            </w:pPr>
            <w:r w:rsidRPr="00490C53">
              <w:t>0.058</w:t>
            </w:r>
            <w:r w:rsidRPr="00490C53">
              <w:br/>
              <w:t>(0.124)</w:t>
            </w:r>
          </w:p>
        </w:tc>
        <w:tc>
          <w:tcPr>
            <w:tcW w:w="965" w:type="pct"/>
            <w:vAlign w:val="center"/>
          </w:tcPr>
          <w:p w14:paraId="1C3F5051" w14:textId="77777777" w:rsidR="002B5D18" w:rsidRPr="00490C53" w:rsidRDefault="002B5D18">
            <w:pPr>
              <w:pStyle w:val="Tabletext"/>
              <w:spacing w:before="0"/>
              <w:jc w:val="center"/>
              <w:rPr>
                <w:rStyle w:val="Bold"/>
                <w:b w:val="0"/>
              </w:rPr>
            </w:pPr>
            <w:r w:rsidRPr="00490C53">
              <w:t>0.166</w:t>
            </w:r>
            <w:r w:rsidRPr="00490C53">
              <w:br/>
              <w:t>(0.178)</w:t>
            </w:r>
          </w:p>
        </w:tc>
      </w:tr>
      <w:tr w:rsidR="002B5D18" w:rsidRPr="00490C53" w14:paraId="5A971CC3" w14:textId="77777777">
        <w:tblPrEx>
          <w:tblCellMar>
            <w:left w:w="108" w:type="dxa"/>
            <w:right w:w="108" w:type="dxa"/>
          </w:tblCellMar>
        </w:tblPrEx>
        <w:trPr>
          <w:trHeight w:val="20"/>
        </w:trPr>
        <w:tc>
          <w:tcPr>
            <w:tcW w:w="3071" w:type="pct"/>
            <w:vAlign w:val="center"/>
          </w:tcPr>
          <w:p w14:paraId="41D57A07" w14:textId="77777777" w:rsidR="002B5D18" w:rsidRPr="00490C53" w:rsidDel="000A1204" w:rsidRDefault="002B5D18">
            <w:pPr>
              <w:pStyle w:val="Tabletext"/>
              <w:spacing w:before="0"/>
            </w:pPr>
            <w:r w:rsidRPr="00490C53">
              <w:t>Distribution, Borrower, post intervention (Year 1)</w:t>
            </w:r>
          </w:p>
        </w:tc>
        <w:tc>
          <w:tcPr>
            <w:tcW w:w="964" w:type="pct"/>
            <w:vAlign w:val="center"/>
          </w:tcPr>
          <w:p w14:paraId="35B7232E" w14:textId="77777777" w:rsidR="002B5D18" w:rsidRPr="00490C53" w:rsidRDefault="002B5D18">
            <w:pPr>
              <w:pStyle w:val="Tabletext"/>
              <w:spacing w:before="0"/>
              <w:jc w:val="center"/>
              <w:rPr>
                <w:rStyle w:val="Bold"/>
                <w:b w:val="0"/>
              </w:rPr>
            </w:pPr>
            <w:r w:rsidRPr="00490C53">
              <w:t>-0.072</w:t>
            </w:r>
            <w:r w:rsidRPr="00490C53">
              <w:br/>
              <w:t>(0.089)</w:t>
            </w:r>
          </w:p>
        </w:tc>
        <w:tc>
          <w:tcPr>
            <w:tcW w:w="965" w:type="pct"/>
            <w:vAlign w:val="center"/>
          </w:tcPr>
          <w:p w14:paraId="4DCD5DDF" w14:textId="77777777" w:rsidR="002B5D18" w:rsidRPr="00490C53" w:rsidRDefault="002B5D18">
            <w:pPr>
              <w:pStyle w:val="Tabletext"/>
              <w:spacing w:before="0"/>
              <w:jc w:val="center"/>
              <w:rPr>
                <w:rStyle w:val="Bold"/>
                <w:b w:val="0"/>
              </w:rPr>
            </w:pPr>
            <w:r w:rsidRPr="00490C53">
              <w:t>-0.018</w:t>
            </w:r>
            <w:r w:rsidRPr="00490C53">
              <w:br/>
              <w:t>(0.097)</w:t>
            </w:r>
          </w:p>
        </w:tc>
      </w:tr>
      <w:tr w:rsidR="002B5D18" w:rsidRPr="00490C53" w14:paraId="1B80BE1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72373C21" w14:textId="77777777" w:rsidR="002B5D18" w:rsidRPr="00490C53" w:rsidDel="000A1204" w:rsidRDefault="002B5D18">
            <w:pPr>
              <w:pStyle w:val="Tabletext"/>
              <w:spacing w:before="0"/>
            </w:pPr>
            <w:r w:rsidRPr="00490C53">
              <w:t>Other Services, Borrower, post intervention (Year 1)</w:t>
            </w:r>
          </w:p>
        </w:tc>
        <w:tc>
          <w:tcPr>
            <w:tcW w:w="964" w:type="pct"/>
            <w:vAlign w:val="center"/>
          </w:tcPr>
          <w:p w14:paraId="4C0AAF48" w14:textId="77777777" w:rsidR="002B5D18" w:rsidRPr="00490C53" w:rsidRDefault="002B5D18">
            <w:pPr>
              <w:pStyle w:val="Tabletext"/>
              <w:spacing w:before="0"/>
              <w:jc w:val="center"/>
              <w:rPr>
                <w:rStyle w:val="Bold"/>
                <w:b w:val="0"/>
              </w:rPr>
            </w:pPr>
            <w:r w:rsidRPr="00490C53">
              <w:t>0.214</w:t>
            </w:r>
            <w:r w:rsidRPr="00490C53">
              <w:br/>
              <w:t>(0.352)</w:t>
            </w:r>
          </w:p>
        </w:tc>
        <w:tc>
          <w:tcPr>
            <w:tcW w:w="965" w:type="pct"/>
            <w:vAlign w:val="center"/>
          </w:tcPr>
          <w:p w14:paraId="50F32935" w14:textId="77777777" w:rsidR="002B5D18" w:rsidRPr="00490C53" w:rsidRDefault="002B5D18">
            <w:pPr>
              <w:pStyle w:val="Tabletext"/>
              <w:spacing w:before="0"/>
              <w:jc w:val="center"/>
              <w:rPr>
                <w:rStyle w:val="Bold"/>
                <w:b w:val="0"/>
              </w:rPr>
            </w:pPr>
            <w:r w:rsidRPr="00490C53">
              <w:t>0.047</w:t>
            </w:r>
            <w:r w:rsidRPr="00490C53">
              <w:br/>
              <w:t>(0.248)</w:t>
            </w:r>
          </w:p>
        </w:tc>
      </w:tr>
      <w:tr w:rsidR="002B5D18" w:rsidRPr="00490C53" w14:paraId="01BB0C4C" w14:textId="77777777">
        <w:tblPrEx>
          <w:tblCellMar>
            <w:left w:w="108" w:type="dxa"/>
            <w:right w:w="108" w:type="dxa"/>
          </w:tblCellMar>
        </w:tblPrEx>
        <w:trPr>
          <w:trHeight w:val="20"/>
        </w:trPr>
        <w:tc>
          <w:tcPr>
            <w:tcW w:w="3071" w:type="pct"/>
            <w:vAlign w:val="center"/>
          </w:tcPr>
          <w:p w14:paraId="3509E235" w14:textId="77777777" w:rsidR="002B5D18" w:rsidRPr="00490C53" w:rsidDel="000A1204" w:rsidRDefault="002B5D18">
            <w:pPr>
              <w:pStyle w:val="Tabletext"/>
              <w:spacing w:before="0"/>
            </w:pPr>
            <w:r w:rsidRPr="00490C53">
              <w:t>Production, Borrower, post intervention (Year 1)</w:t>
            </w:r>
          </w:p>
        </w:tc>
        <w:tc>
          <w:tcPr>
            <w:tcW w:w="964" w:type="pct"/>
            <w:vAlign w:val="center"/>
          </w:tcPr>
          <w:p w14:paraId="5737E145" w14:textId="77777777" w:rsidR="002B5D18" w:rsidRPr="00490C53" w:rsidRDefault="002B5D18">
            <w:pPr>
              <w:pStyle w:val="Tabletext"/>
              <w:spacing w:before="0"/>
              <w:jc w:val="center"/>
              <w:rPr>
                <w:rStyle w:val="Bold"/>
                <w:b w:val="0"/>
              </w:rPr>
            </w:pPr>
            <w:r w:rsidRPr="00490C53">
              <w:t>0.053</w:t>
            </w:r>
            <w:r w:rsidRPr="00490C53">
              <w:br/>
              <w:t>(0.114)</w:t>
            </w:r>
          </w:p>
        </w:tc>
        <w:tc>
          <w:tcPr>
            <w:tcW w:w="965" w:type="pct"/>
            <w:vAlign w:val="center"/>
          </w:tcPr>
          <w:p w14:paraId="15CA01FD" w14:textId="77777777" w:rsidR="002B5D18" w:rsidRPr="00490C53" w:rsidRDefault="002B5D18">
            <w:pPr>
              <w:pStyle w:val="Tabletext"/>
              <w:spacing w:before="0"/>
              <w:jc w:val="center"/>
              <w:rPr>
                <w:rStyle w:val="Bold"/>
                <w:b w:val="0"/>
              </w:rPr>
            </w:pPr>
            <w:r w:rsidRPr="00490C53">
              <w:t>0.259</w:t>
            </w:r>
            <w:r w:rsidRPr="00490C53">
              <w:br/>
              <w:t>(0.185)</w:t>
            </w:r>
          </w:p>
        </w:tc>
      </w:tr>
      <w:tr w:rsidR="002B5D18" w:rsidRPr="00490C53" w14:paraId="3E36F7F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7FD37AB9" w14:textId="77777777" w:rsidR="002B5D18" w:rsidRPr="00490C53" w:rsidRDefault="002B5D18">
            <w:pPr>
              <w:pStyle w:val="Tabletext"/>
              <w:spacing w:before="0"/>
            </w:pPr>
            <w:r w:rsidRPr="00490C53">
              <w:t>Used CJRS</w:t>
            </w:r>
          </w:p>
        </w:tc>
        <w:tc>
          <w:tcPr>
            <w:tcW w:w="964" w:type="pct"/>
            <w:vAlign w:val="center"/>
          </w:tcPr>
          <w:p w14:paraId="6F181779" w14:textId="77777777" w:rsidR="002B5D18" w:rsidRPr="00490C53" w:rsidRDefault="002B5D18">
            <w:pPr>
              <w:pStyle w:val="Tabletext"/>
              <w:spacing w:before="0"/>
              <w:jc w:val="center"/>
              <w:rPr>
                <w:rStyle w:val="Bold"/>
                <w:b w:val="0"/>
              </w:rPr>
            </w:pPr>
            <w:r w:rsidRPr="00490C53">
              <w:t>-0.126</w:t>
            </w:r>
            <w:r w:rsidRPr="00490C53">
              <w:br/>
              <w:t>(0.085)</w:t>
            </w:r>
          </w:p>
        </w:tc>
        <w:tc>
          <w:tcPr>
            <w:tcW w:w="965" w:type="pct"/>
            <w:vAlign w:val="center"/>
          </w:tcPr>
          <w:p w14:paraId="0A496F14" w14:textId="77777777" w:rsidR="002B5D18" w:rsidRPr="00490C53" w:rsidRDefault="002B5D18">
            <w:pPr>
              <w:pStyle w:val="Tabletext"/>
              <w:spacing w:before="0"/>
              <w:jc w:val="center"/>
              <w:rPr>
                <w:rStyle w:val="Bold"/>
                <w:b w:val="0"/>
              </w:rPr>
            </w:pPr>
            <w:r w:rsidRPr="00490C53">
              <w:t>-0.011</w:t>
            </w:r>
            <w:r w:rsidRPr="00490C53">
              <w:br/>
              <w:t>(0.102)</w:t>
            </w:r>
          </w:p>
        </w:tc>
      </w:tr>
      <w:tr w:rsidR="002B5D18" w:rsidRPr="00490C53" w14:paraId="31B4A4EC" w14:textId="77777777">
        <w:tblPrEx>
          <w:tblCellMar>
            <w:left w:w="108" w:type="dxa"/>
            <w:right w:w="108" w:type="dxa"/>
          </w:tblCellMar>
        </w:tblPrEx>
        <w:trPr>
          <w:trHeight w:val="20"/>
        </w:trPr>
        <w:tc>
          <w:tcPr>
            <w:tcW w:w="3071" w:type="pct"/>
            <w:vAlign w:val="center"/>
          </w:tcPr>
          <w:p w14:paraId="5DD3337D" w14:textId="77777777" w:rsidR="002B5D18" w:rsidRPr="00490C53" w:rsidRDefault="002B5D18">
            <w:pPr>
              <w:pStyle w:val="Tabletext"/>
              <w:spacing w:before="0"/>
            </w:pPr>
            <w:r w:rsidRPr="00490C53">
              <w:t>Used VAT Deferral</w:t>
            </w:r>
          </w:p>
        </w:tc>
        <w:tc>
          <w:tcPr>
            <w:tcW w:w="964" w:type="pct"/>
            <w:vAlign w:val="center"/>
          </w:tcPr>
          <w:p w14:paraId="0A6B392D" w14:textId="77777777" w:rsidR="002B5D18" w:rsidRPr="00490C53" w:rsidRDefault="002B5D18">
            <w:pPr>
              <w:pStyle w:val="Tabletext"/>
              <w:spacing w:before="0"/>
              <w:jc w:val="center"/>
              <w:rPr>
                <w:rStyle w:val="Bold"/>
                <w:b w:val="0"/>
              </w:rPr>
            </w:pPr>
            <w:r w:rsidRPr="00490C53">
              <w:t>-0.053</w:t>
            </w:r>
            <w:r w:rsidRPr="00490C53">
              <w:br/>
              <w:t>(0.057)</w:t>
            </w:r>
          </w:p>
        </w:tc>
        <w:tc>
          <w:tcPr>
            <w:tcW w:w="965" w:type="pct"/>
            <w:vAlign w:val="center"/>
          </w:tcPr>
          <w:p w14:paraId="4E7D2300" w14:textId="77777777" w:rsidR="002B5D18" w:rsidRPr="00490C53" w:rsidRDefault="002B5D18">
            <w:pPr>
              <w:pStyle w:val="Tabletext"/>
              <w:spacing w:before="0"/>
              <w:jc w:val="center"/>
              <w:rPr>
                <w:rStyle w:val="Bold"/>
                <w:b w:val="0"/>
              </w:rPr>
            </w:pPr>
            <w:r w:rsidRPr="00490C53">
              <w:t>0.020</w:t>
            </w:r>
            <w:r w:rsidRPr="00490C53">
              <w:br/>
              <w:t>(0.061)</w:t>
            </w:r>
          </w:p>
        </w:tc>
      </w:tr>
      <w:tr w:rsidR="002B5D18" w:rsidRPr="00490C53" w14:paraId="79C965F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7A27B71D" w14:textId="77777777" w:rsidR="002B5D18" w:rsidRPr="00490C53" w:rsidRDefault="002B5D18">
            <w:pPr>
              <w:pStyle w:val="Tabletext"/>
              <w:spacing w:before="0"/>
            </w:pPr>
            <w:r w:rsidRPr="00490C53">
              <w:t>Used Other Support</w:t>
            </w:r>
          </w:p>
        </w:tc>
        <w:tc>
          <w:tcPr>
            <w:tcW w:w="964" w:type="pct"/>
            <w:vAlign w:val="center"/>
          </w:tcPr>
          <w:p w14:paraId="60A8DB61" w14:textId="77777777" w:rsidR="002B5D18" w:rsidRPr="00490C53" w:rsidRDefault="002B5D18">
            <w:pPr>
              <w:pStyle w:val="Tabletext"/>
              <w:spacing w:before="0"/>
              <w:jc w:val="center"/>
              <w:rPr>
                <w:rStyle w:val="Bold"/>
                <w:b w:val="0"/>
              </w:rPr>
            </w:pPr>
            <w:r w:rsidRPr="00490C53">
              <w:t>-0.011</w:t>
            </w:r>
            <w:r w:rsidRPr="00490C53">
              <w:br/>
              <w:t>(0.071)</w:t>
            </w:r>
          </w:p>
        </w:tc>
        <w:tc>
          <w:tcPr>
            <w:tcW w:w="965" w:type="pct"/>
            <w:vAlign w:val="center"/>
          </w:tcPr>
          <w:p w14:paraId="48F4FE37" w14:textId="77777777" w:rsidR="002B5D18" w:rsidRPr="00490C53" w:rsidRDefault="002B5D18">
            <w:pPr>
              <w:pStyle w:val="Tabletext"/>
              <w:spacing w:before="0"/>
              <w:jc w:val="center"/>
              <w:rPr>
                <w:rStyle w:val="Bold"/>
                <w:b w:val="0"/>
              </w:rPr>
            </w:pPr>
            <w:r w:rsidRPr="00490C53">
              <w:t>0.048</w:t>
            </w:r>
            <w:r w:rsidRPr="00490C53">
              <w:br/>
              <w:t>(0.061)</w:t>
            </w:r>
          </w:p>
        </w:tc>
      </w:tr>
      <w:tr w:rsidR="002B5D18" w:rsidRPr="00490C53" w14:paraId="267B8242" w14:textId="77777777">
        <w:tblPrEx>
          <w:tblCellMar>
            <w:left w:w="108" w:type="dxa"/>
            <w:right w:w="108" w:type="dxa"/>
          </w:tblCellMar>
        </w:tblPrEx>
        <w:trPr>
          <w:trHeight w:val="20"/>
        </w:trPr>
        <w:tc>
          <w:tcPr>
            <w:tcW w:w="3071" w:type="pct"/>
            <w:vAlign w:val="center"/>
          </w:tcPr>
          <w:p w14:paraId="3E5A64DD" w14:textId="77777777" w:rsidR="002B5D18" w:rsidRPr="00490C53" w:rsidRDefault="002B5D18">
            <w:pPr>
              <w:pStyle w:val="Tabletext"/>
              <w:spacing w:before="0"/>
            </w:pPr>
            <w:r w:rsidRPr="00490C53">
              <w:t>Constant</w:t>
            </w:r>
          </w:p>
        </w:tc>
        <w:tc>
          <w:tcPr>
            <w:tcW w:w="964" w:type="pct"/>
            <w:vAlign w:val="center"/>
          </w:tcPr>
          <w:p w14:paraId="2CDC56EA" w14:textId="77777777" w:rsidR="002B5D18" w:rsidRPr="00490C53" w:rsidRDefault="002B5D18">
            <w:pPr>
              <w:pStyle w:val="Tabletext"/>
              <w:spacing w:before="0"/>
              <w:jc w:val="center"/>
              <w:rPr>
                <w:rStyle w:val="Bold"/>
                <w:b w:val="0"/>
              </w:rPr>
            </w:pPr>
            <w:r w:rsidRPr="00490C53">
              <w:t>12.651***</w:t>
            </w:r>
            <w:r w:rsidRPr="00490C53">
              <w:br/>
              <w:t>(0.019)</w:t>
            </w:r>
          </w:p>
        </w:tc>
        <w:tc>
          <w:tcPr>
            <w:tcW w:w="965" w:type="pct"/>
            <w:vAlign w:val="center"/>
          </w:tcPr>
          <w:p w14:paraId="1BFF26AD" w14:textId="77777777" w:rsidR="002B5D18" w:rsidRPr="00490C53" w:rsidRDefault="002B5D18">
            <w:pPr>
              <w:pStyle w:val="Tabletext"/>
              <w:spacing w:before="0"/>
              <w:jc w:val="center"/>
              <w:rPr>
                <w:rStyle w:val="Bold"/>
                <w:b w:val="0"/>
              </w:rPr>
            </w:pPr>
            <w:r w:rsidRPr="00490C53">
              <w:t>14.714***</w:t>
            </w:r>
            <w:r w:rsidRPr="00490C53">
              <w:br/>
              <w:t>(0.023)</w:t>
            </w:r>
          </w:p>
        </w:tc>
      </w:tr>
      <w:tr w:rsidR="002B5D18" w:rsidRPr="00490C53" w14:paraId="537F6D7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71" w:type="pct"/>
            <w:tcBorders>
              <w:top w:val="single" w:sz="4" w:space="0" w:color="0054BA"/>
            </w:tcBorders>
            <w:vAlign w:val="center"/>
          </w:tcPr>
          <w:p w14:paraId="6B40D56C" w14:textId="77777777" w:rsidR="002B5D18" w:rsidRPr="00490C53" w:rsidRDefault="002B5D18">
            <w:pPr>
              <w:pStyle w:val="Tabletext"/>
            </w:pPr>
            <w:r w:rsidRPr="00490C53">
              <w:t>Observations</w:t>
            </w:r>
          </w:p>
        </w:tc>
        <w:tc>
          <w:tcPr>
            <w:tcW w:w="964" w:type="pct"/>
            <w:tcBorders>
              <w:top w:val="single" w:sz="4" w:space="0" w:color="0054BA"/>
            </w:tcBorders>
            <w:vAlign w:val="center"/>
          </w:tcPr>
          <w:p w14:paraId="314879F6" w14:textId="77777777" w:rsidR="002B5D18" w:rsidRPr="00490C53" w:rsidRDefault="002B5D18">
            <w:pPr>
              <w:pStyle w:val="Tabletext"/>
              <w:spacing w:before="0" w:line="240" w:lineRule="auto"/>
              <w:jc w:val="center"/>
              <w:rPr>
                <w:rStyle w:val="Bold"/>
                <w:rFonts w:cstheme="minorHAnsi"/>
                <w:sz w:val="22"/>
              </w:rPr>
            </w:pPr>
            <w:r w:rsidRPr="00490C53">
              <w:t>2,157</w:t>
            </w:r>
          </w:p>
        </w:tc>
        <w:tc>
          <w:tcPr>
            <w:tcW w:w="965" w:type="pct"/>
            <w:tcBorders>
              <w:top w:val="single" w:sz="4" w:space="0" w:color="0054BA"/>
            </w:tcBorders>
            <w:vAlign w:val="center"/>
          </w:tcPr>
          <w:p w14:paraId="447B913B" w14:textId="77777777" w:rsidR="002B5D18" w:rsidRPr="00490C53" w:rsidRDefault="002B5D18">
            <w:pPr>
              <w:pStyle w:val="Tabletext"/>
              <w:spacing w:before="0" w:line="240" w:lineRule="auto"/>
              <w:jc w:val="center"/>
              <w:rPr>
                <w:rStyle w:val="Bold"/>
                <w:rFonts w:cstheme="minorHAnsi"/>
                <w:sz w:val="22"/>
              </w:rPr>
            </w:pPr>
            <w:r w:rsidRPr="00490C53">
              <w:t>1,505</w:t>
            </w:r>
          </w:p>
        </w:tc>
      </w:tr>
      <w:tr w:rsidR="002B5D18" w:rsidRPr="00490C53" w14:paraId="478937C1" w14:textId="77777777">
        <w:tblPrEx>
          <w:tblCellMar>
            <w:left w:w="108" w:type="dxa"/>
            <w:right w:w="108" w:type="dxa"/>
          </w:tblCellMar>
        </w:tblPrEx>
        <w:tc>
          <w:tcPr>
            <w:tcW w:w="3071" w:type="pct"/>
            <w:vAlign w:val="center"/>
          </w:tcPr>
          <w:p w14:paraId="5A97FAD9" w14:textId="77777777" w:rsidR="002B5D18" w:rsidRPr="00490C53" w:rsidRDefault="002B5D18">
            <w:pPr>
              <w:pStyle w:val="Tabletext"/>
            </w:pPr>
            <w:r w:rsidRPr="00490C53">
              <w:t>R-squared</w:t>
            </w:r>
          </w:p>
        </w:tc>
        <w:tc>
          <w:tcPr>
            <w:tcW w:w="964" w:type="pct"/>
            <w:vAlign w:val="center"/>
          </w:tcPr>
          <w:p w14:paraId="137F37A4" w14:textId="77777777" w:rsidR="002B5D18" w:rsidRPr="00490C53" w:rsidRDefault="002B5D18">
            <w:pPr>
              <w:pStyle w:val="Tabletext"/>
              <w:spacing w:before="0" w:line="240" w:lineRule="auto"/>
              <w:jc w:val="center"/>
              <w:rPr>
                <w:rStyle w:val="Bold"/>
                <w:rFonts w:cstheme="minorHAnsi"/>
                <w:sz w:val="22"/>
              </w:rPr>
            </w:pPr>
            <w:r w:rsidRPr="00490C53">
              <w:t>0.130</w:t>
            </w:r>
          </w:p>
        </w:tc>
        <w:tc>
          <w:tcPr>
            <w:tcW w:w="965" w:type="pct"/>
            <w:vAlign w:val="center"/>
          </w:tcPr>
          <w:p w14:paraId="12865C22" w14:textId="77777777" w:rsidR="002B5D18" w:rsidRPr="00490C53" w:rsidRDefault="002B5D18">
            <w:pPr>
              <w:pStyle w:val="Tabletext"/>
              <w:spacing w:before="0" w:line="240" w:lineRule="auto"/>
              <w:jc w:val="center"/>
              <w:rPr>
                <w:rStyle w:val="Bold"/>
                <w:rFonts w:cstheme="minorHAnsi"/>
                <w:sz w:val="22"/>
              </w:rPr>
            </w:pPr>
            <w:r w:rsidRPr="00490C53">
              <w:t>0.089</w:t>
            </w:r>
          </w:p>
        </w:tc>
      </w:tr>
      <w:tr w:rsidR="002B5D18" w:rsidRPr="00490C53" w14:paraId="7AB0576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71" w:type="pct"/>
            <w:tcBorders>
              <w:bottom w:val="single" w:sz="4" w:space="0" w:color="0054BA" w:themeColor="accent2"/>
            </w:tcBorders>
            <w:vAlign w:val="center"/>
          </w:tcPr>
          <w:p w14:paraId="762CB1D0" w14:textId="77777777" w:rsidR="002B5D18" w:rsidRPr="00490C53" w:rsidRDefault="002B5D18">
            <w:pPr>
              <w:pStyle w:val="Tabletext"/>
            </w:pPr>
            <w:r w:rsidRPr="00490C53">
              <w:t>Business fixed effects</w:t>
            </w:r>
          </w:p>
        </w:tc>
        <w:tc>
          <w:tcPr>
            <w:tcW w:w="964" w:type="pct"/>
            <w:tcBorders>
              <w:bottom w:val="single" w:sz="4" w:space="0" w:color="0054BA" w:themeColor="accent2"/>
            </w:tcBorders>
            <w:vAlign w:val="center"/>
          </w:tcPr>
          <w:p w14:paraId="2BAE7C70" w14:textId="77777777" w:rsidR="002B5D18" w:rsidRPr="00490C53" w:rsidRDefault="002B5D18">
            <w:pPr>
              <w:pStyle w:val="Tabletext"/>
              <w:spacing w:before="0" w:line="240" w:lineRule="auto"/>
              <w:jc w:val="center"/>
              <w:rPr>
                <w:rStyle w:val="Bold"/>
                <w:rFonts w:cstheme="minorHAnsi"/>
                <w:b w:val="0"/>
                <w:bCs/>
                <w:sz w:val="22"/>
              </w:rPr>
            </w:pPr>
            <w:r w:rsidRPr="00490C53">
              <w:rPr>
                <w:rStyle w:val="Bold"/>
                <w:rFonts w:cstheme="minorHAnsi"/>
                <w:b w:val="0"/>
                <w:bCs/>
                <w:sz w:val="22"/>
              </w:rPr>
              <w:t>Yes</w:t>
            </w:r>
          </w:p>
        </w:tc>
        <w:tc>
          <w:tcPr>
            <w:tcW w:w="965" w:type="pct"/>
            <w:tcBorders>
              <w:bottom w:val="single" w:sz="4" w:space="0" w:color="0054BA" w:themeColor="accent2"/>
            </w:tcBorders>
            <w:vAlign w:val="center"/>
          </w:tcPr>
          <w:p w14:paraId="5FE8A289" w14:textId="77777777" w:rsidR="002B5D18" w:rsidRPr="00490C53" w:rsidRDefault="002B5D18">
            <w:pPr>
              <w:pStyle w:val="Tabletext"/>
              <w:spacing w:before="0" w:line="240" w:lineRule="auto"/>
              <w:jc w:val="center"/>
              <w:rPr>
                <w:rStyle w:val="Bold"/>
                <w:rFonts w:cstheme="minorHAnsi"/>
                <w:b w:val="0"/>
                <w:bCs/>
                <w:sz w:val="22"/>
              </w:rPr>
            </w:pPr>
            <w:r w:rsidRPr="00490C53">
              <w:rPr>
                <w:rStyle w:val="Bold"/>
                <w:rFonts w:cstheme="minorHAnsi"/>
                <w:b w:val="0"/>
                <w:bCs/>
                <w:sz w:val="22"/>
              </w:rPr>
              <w:t>Yes</w:t>
            </w:r>
          </w:p>
        </w:tc>
      </w:tr>
    </w:tbl>
    <w:p w14:paraId="5A16115D" w14:textId="0198D156" w:rsidR="002B5D18" w:rsidRPr="00490C53" w:rsidRDefault="00DA466B" w:rsidP="002B5D18">
      <w:pPr>
        <w:pStyle w:val="Caption"/>
      </w:pPr>
      <w:r>
        <w:t xml:space="preserve">Note: </w:t>
      </w:r>
      <w:r w:rsidR="002B5D18" w:rsidRPr="00490C53">
        <w:t>Standard errors clustered at the sector level in parentheses. *** p-value&lt;0.01, ** p-value&lt;0.05, * p-value&lt;0.1. Source: London Economics’ analysis of survey data.</w:t>
      </w:r>
    </w:p>
    <w:p w14:paraId="1BA4FBDF" w14:textId="77777777" w:rsidR="002B5D18" w:rsidRPr="00490C53" w:rsidRDefault="002B5D18" w:rsidP="002B5D18"/>
    <w:p w14:paraId="235F60BF" w14:textId="64C6334B" w:rsidR="002B5D18" w:rsidRPr="00490C53" w:rsidRDefault="002B5D18" w:rsidP="002B5D18">
      <w:pPr>
        <w:pStyle w:val="Heading5"/>
      </w:pPr>
      <w:bookmarkStart w:id="276" w:name="_Ref124159750"/>
      <w:r w:rsidRPr="00490C53">
        <w:lastRenderedPageBreak/>
        <w:t xml:space="preserve">Table </w:t>
      </w:r>
      <w:r w:rsidRPr="00490C53">
        <w:fldChar w:fldCharType="begin"/>
      </w:r>
      <w:r w:rsidRPr="00490C53">
        <w:instrText>SEQ Table \* ARABIC</w:instrText>
      </w:r>
      <w:r w:rsidRPr="00490C53">
        <w:fldChar w:fldCharType="separate"/>
      </w:r>
      <w:r w:rsidR="00397D49">
        <w:rPr>
          <w:noProof/>
        </w:rPr>
        <w:t>32</w:t>
      </w:r>
      <w:r w:rsidRPr="00490C53">
        <w:fldChar w:fldCharType="end"/>
      </w:r>
      <w:bookmarkEnd w:id="276"/>
      <w:r w:rsidRPr="00490C53">
        <w:t xml:space="preserve">: Estimated impact of the Covid-19 Loan Guarantee Schemes on employment – by sector </w:t>
      </w:r>
    </w:p>
    <w:tbl>
      <w:tblPr>
        <w:tblStyle w:val="TableGrid"/>
        <w:tblW w:w="5000" w:type="pct"/>
        <w:tblLook w:val="04A0" w:firstRow="1" w:lastRow="0" w:firstColumn="1" w:lastColumn="0" w:noHBand="0" w:noVBand="1"/>
      </w:tblPr>
      <w:tblGrid>
        <w:gridCol w:w="6236"/>
        <w:gridCol w:w="1958"/>
        <w:gridCol w:w="1960"/>
      </w:tblGrid>
      <w:tr w:rsidR="002B5D18" w:rsidRPr="00490C53" w14:paraId="26E812A8" w14:textId="77777777">
        <w:trPr>
          <w:cnfStyle w:val="100000000000" w:firstRow="1" w:lastRow="0" w:firstColumn="0" w:lastColumn="0" w:oddVBand="0" w:evenVBand="0" w:oddHBand="0" w:evenHBand="0" w:firstRowFirstColumn="0" w:firstRowLastColumn="0" w:lastRowFirstColumn="0" w:lastRowLastColumn="0"/>
          <w:tblHeader/>
        </w:trPr>
        <w:tc>
          <w:tcPr>
            <w:tcW w:w="3071" w:type="pct"/>
          </w:tcPr>
          <w:p w14:paraId="1D0F44D9" w14:textId="77777777" w:rsidR="002B5D18" w:rsidRPr="00490C53" w:rsidRDefault="002B5D18">
            <w:pPr>
              <w:pStyle w:val="Tablecolumnheading-inkblue"/>
              <w:rPr>
                <w:b w:val="0"/>
                <w:color w:val="FFFFFF" w:themeColor="background1"/>
                <w:sz w:val="22"/>
                <w:szCs w:val="20"/>
              </w:rPr>
            </w:pPr>
            <w:r w:rsidRPr="00490C53">
              <w:rPr>
                <w:color w:val="FFFFFF" w:themeColor="background1"/>
                <w:sz w:val="22"/>
                <w:szCs w:val="20"/>
              </w:rPr>
              <w:t>Variable</w:t>
            </w:r>
          </w:p>
        </w:tc>
        <w:tc>
          <w:tcPr>
            <w:tcW w:w="964" w:type="pct"/>
          </w:tcPr>
          <w:p w14:paraId="6DD0FAEB"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BBLS</w:t>
            </w:r>
          </w:p>
        </w:tc>
        <w:tc>
          <w:tcPr>
            <w:tcW w:w="965" w:type="pct"/>
          </w:tcPr>
          <w:p w14:paraId="0536EB28"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CBILS/CLBILS</w:t>
            </w:r>
          </w:p>
        </w:tc>
      </w:tr>
      <w:tr w:rsidR="002B5D18" w:rsidRPr="00490C53" w14:paraId="25B4819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3020888E" w14:textId="77777777" w:rsidR="002B5D18" w:rsidRPr="00490C53" w:rsidRDefault="002B5D18">
            <w:pPr>
              <w:pStyle w:val="Tabletext"/>
              <w:spacing w:before="0"/>
            </w:pPr>
            <w:r w:rsidRPr="00490C53">
              <w:t>Business services, post intervention (Year 2)</w:t>
            </w:r>
          </w:p>
        </w:tc>
        <w:tc>
          <w:tcPr>
            <w:tcW w:w="964" w:type="pct"/>
            <w:vAlign w:val="center"/>
          </w:tcPr>
          <w:p w14:paraId="6B237B09" w14:textId="77777777" w:rsidR="002B5D18" w:rsidRPr="00490C53" w:rsidRDefault="002B5D18">
            <w:pPr>
              <w:pStyle w:val="Tabletext"/>
              <w:spacing w:before="0"/>
              <w:jc w:val="center"/>
            </w:pPr>
            <w:r w:rsidRPr="00490C53">
              <w:t>0.024</w:t>
            </w:r>
            <w:r w:rsidRPr="00490C53">
              <w:br/>
              <w:t>(0.042)</w:t>
            </w:r>
          </w:p>
        </w:tc>
        <w:tc>
          <w:tcPr>
            <w:tcW w:w="965" w:type="pct"/>
            <w:vAlign w:val="center"/>
          </w:tcPr>
          <w:p w14:paraId="4B34051A" w14:textId="77777777" w:rsidR="002B5D18" w:rsidRPr="00490C53" w:rsidRDefault="002B5D18">
            <w:pPr>
              <w:pStyle w:val="Tabletext"/>
              <w:spacing w:before="0"/>
              <w:jc w:val="center"/>
            </w:pPr>
            <w:r w:rsidRPr="00490C53">
              <w:t>0.078</w:t>
            </w:r>
            <w:r w:rsidRPr="00490C53">
              <w:br/>
              <w:t>(0.092)</w:t>
            </w:r>
          </w:p>
        </w:tc>
      </w:tr>
      <w:tr w:rsidR="002B5D18" w:rsidRPr="00490C53" w14:paraId="014694FA" w14:textId="77777777">
        <w:tblPrEx>
          <w:tblCellMar>
            <w:left w:w="108" w:type="dxa"/>
            <w:right w:w="108" w:type="dxa"/>
          </w:tblCellMar>
        </w:tblPrEx>
        <w:trPr>
          <w:trHeight w:val="20"/>
        </w:trPr>
        <w:tc>
          <w:tcPr>
            <w:tcW w:w="3071" w:type="pct"/>
            <w:vAlign w:val="center"/>
          </w:tcPr>
          <w:p w14:paraId="18DCAB8B" w14:textId="77777777" w:rsidR="002B5D18" w:rsidRPr="00490C53" w:rsidRDefault="002B5D18">
            <w:pPr>
              <w:pStyle w:val="Tabletext"/>
              <w:spacing w:before="0"/>
            </w:pPr>
            <w:r w:rsidRPr="00490C53">
              <w:t>Construction, post intervention (Year 2)</w:t>
            </w:r>
          </w:p>
        </w:tc>
        <w:tc>
          <w:tcPr>
            <w:tcW w:w="964" w:type="pct"/>
            <w:vAlign w:val="center"/>
          </w:tcPr>
          <w:p w14:paraId="64ADA89E" w14:textId="77777777" w:rsidR="002B5D18" w:rsidRPr="00490C53" w:rsidRDefault="002B5D18">
            <w:pPr>
              <w:pStyle w:val="Tabletext"/>
              <w:spacing w:before="0"/>
              <w:jc w:val="center"/>
            </w:pPr>
            <w:r w:rsidRPr="00490C53">
              <w:t>0.140**</w:t>
            </w:r>
            <w:r w:rsidRPr="00490C53">
              <w:br/>
              <w:t>(0.067)</w:t>
            </w:r>
          </w:p>
        </w:tc>
        <w:tc>
          <w:tcPr>
            <w:tcW w:w="965" w:type="pct"/>
            <w:vAlign w:val="center"/>
          </w:tcPr>
          <w:p w14:paraId="752AAD48" w14:textId="77777777" w:rsidR="002B5D18" w:rsidRPr="00490C53" w:rsidRDefault="002B5D18">
            <w:pPr>
              <w:pStyle w:val="Tabletext"/>
              <w:spacing w:before="0"/>
              <w:jc w:val="center"/>
            </w:pPr>
            <w:r w:rsidRPr="00490C53">
              <w:t>0.344**</w:t>
            </w:r>
            <w:r w:rsidRPr="00490C53">
              <w:br/>
              <w:t>(0.147)</w:t>
            </w:r>
          </w:p>
        </w:tc>
      </w:tr>
      <w:tr w:rsidR="002B5D18" w:rsidRPr="00490C53" w14:paraId="5C9DB66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0BCDEB01" w14:textId="77777777" w:rsidR="002B5D18" w:rsidRPr="00490C53" w:rsidRDefault="002B5D18">
            <w:pPr>
              <w:pStyle w:val="Tabletext"/>
              <w:spacing w:before="0"/>
            </w:pPr>
            <w:r w:rsidRPr="00490C53">
              <w:t>Distribution, post intervention (Year 2)</w:t>
            </w:r>
          </w:p>
        </w:tc>
        <w:tc>
          <w:tcPr>
            <w:tcW w:w="964" w:type="pct"/>
            <w:vAlign w:val="center"/>
          </w:tcPr>
          <w:p w14:paraId="75BD30F8" w14:textId="77777777" w:rsidR="002B5D18" w:rsidRPr="00490C53" w:rsidRDefault="002B5D18">
            <w:pPr>
              <w:pStyle w:val="Tabletext"/>
              <w:spacing w:before="0"/>
              <w:jc w:val="center"/>
            </w:pPr>
            <w:r w:rsidRPr="00490C53">
              <w:t>-0.005</w:t>
            </w:r>
            <w:r w:rsidRPr="00490C53">
              <w:br/>
              <w:t>(0.112)</w:t>
            </w:r>
          </w:p>
        </w:tc>
        <w:tc>
          <w:tcPr>
            <w:tcW w:w="965" w:type="pct"/>
            <w:vAlign w:val="center"/>
          </w:tcPr>
          <w:p w14:paraId="760C9ADB" w14:textId="77777777" w:rsidR="002B5D18" w:rsidRPr="00490C53" w:rsidRDefault="002B5D18">
            <w:pPr>
              <w:pStyle w:val="Tabletext"/>
              <w:spacing w:before="0"/>
              <w:jc w:val="center"/>
            </w:pPr>
            <w:r w:rsidRPr="00490C53">
              <w:t>0.544</w:t>
            </w:r>
            <w:r w:rsidRPr="00490C53">
              <w:br/>
              <w:t>(0.515)</w:t>
            </w:r>
          </w:p>
        </w:tc>
      </w:tr>
      <w:tr w:rsidR="002B5D18" w:rsidRPr="00490C53" w14:paraId="403B266B" w14:textId="77777777">
        <w:tblPrEx>
          <w:tblCellMar>
            <w:left w:w="108" w:type="dxa"/>
            <w:right w:w="108" w:type="dxa"/>
          </w:tblCellMar>
        </w:tblPrEx>
        <w:trPr>
          <w:trHeight w:val="20"/>
        </w:trPr>
        <w:tc>
          <w:tcPr>
            <w:tcW w:w="3071" w:type="pct"/>
            <w:vAlign w:val="center"/>
          </w:tcPr>
          <w:p w14:paraId="296C389C" w14:textId="77777777" w:rsidR="002B5D18" w:rsidRPr="00490C53" w:rsidRDefault="002B5D18">
            <w:pPr>
              <w:pStyle w:val="Tabletext"/>
              <w:spacing w:before="0"/>
            </w:pPr>
            <w:r w:rsidRPr="00490C53">
              <w:t>Other Services, post intervention (Year 2)</w:t>
            </w:r>
          </w:p>
        </w:tc>
        <w:tc>
          <w:tcPr>
            <w:tcW w:w="964" w:type="pct"/>
            <w:vAlign w:val="center"/>
          </w:tcPr>
          <w:p w14:paraId="37C47750" w14:textId="77777777" w:rsidR="002B5D18" w:rsidRPr="00490C53" w:rsidRDefault="002B5D18">
            <w:pPr>
              <w:pStyle w:val="Tabletext"/>
              <w:spacing w:before="0"/>
              <w:jc w:val="center"/>
            </w:pPr>
            <w:r w:rsidRPr="00490C53">
              <w:t>0.097</w:t>
            </w:r>
            <w:r w:rsidRPr="00490C53">
              <w:br/>
              <w:t>(0.167)</w:t>
            </w:r>
          </w:p>
        </w:tc>
        <w:tc>
          <w:tcPr>
            <w:tcW w:w="965" w:type="pct"/>
            <w:vAlign w:val="center"/>
          </w:tcPr>
          <w:p w14:paraId="07220C36" w14:textId="77777777" w:rsidR="002B5D18" w:rsidRPr="00490C53" w:rsidRDefault="002B5D18">
            <w:pPr>
              <w:pStyle w:val="Tabletext"/>
              <w:spacing w:before="0"/>
              <w:jc w:val="center"/>
            </w:pPr>
            <w:r w:rsidRPr="00490C53">
              <w:t>0.169*</w:t>
            </w:r>
            <w:r w:rsidRPr="00490C53">
              <w:br/>
              <w:t>(0.097)</w:t>
            </w:r>
          </w:p>
        </w:tc>
      </w:tr>
      <w:tr w:rsidR="002B5D18" w:rsidRPr="00490C53" w14:paraId="50B24EF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383DB68E" w14:textId="77777777" w:rsidR="002B5D18" w:rsidRPr="00490C53" w:rsidRDefault="002B5D18">
            <w:pPr>
              <w:pStyle w:val="Tabletext"/>
              <w:spacing w:before="0"/>
            </w:pPr>
            <w:r w:rsidRPr="00490C53">
              <w:t>Production, post intervention (Year 2)</w:t>
            </w:r>
          </w:p>
        </w:tc>
        <w:tc>
          <w:tcPr>
            <w:tcW w:w="964" w:type="pct"/>
            <w:vAlign w:val="center"/>
          </w:tcPr>
          <w:p w14:paraId="32913DB4" w14:textId="77777777" w:rsidR="002B5D18" w:rsidRPr="00490C53" w:rsidRDefault="002B5D18">
            <w:pPr>
              <w:pStyle w:val="Tabletext"/>
              <w:spacing w:before="0"/>
              <w:jc w:val="center"/>
            </w:pPr>
            <w:r w:rsidRPr="00490C53">
              <w:t>0.033</w:t>
            </w:r>
            <w:r w:rsidRPr="00490C53">
              <w:br/>
              <w:t>(0.088)</w:t>
            </w:r>
          </w:p>
        </w:tc>
        <w:tc>
          <w:tcPr>
            <w:tcW w:w="965" w:type="pct"/>
            <w:vAlign w:val="center"/>
          </w:tcPr>
          <w:p w14:paraId="08F8ED3F" w14:textId="77777777" w:rsidR="002B5D18" w:rsidRPr="00490C53" w:rsidRDefault="002B5D18">
            <w:pPr>
              <w:pStyle w:val="Tabletext"/>
              <w:spacing w:before="0"/>
              <w:jc w:val="center"/>
            </w:pPr>
            <w:r w:rsidRPr="00490C53">
              <w:t>-0.053</w:t>
            </w:r>
            <w:r w:rsidRPr="00490C53">
              <w:br/>
              <w:t>(0.121)</w:t>
            </w:r>
          </w:p>
        </w:tc>
      </w:tr>
      <w:tr w:rsidR="002B5D18" w:rsidRPr="00490C53" w14:paraId="604E8656" w14:textId="77777777">
        <w:tblPrEx>
          <w:tblCellMar>
            <w:left w:w="108" w:type="dxa"/>
            <w:right w:w="108" w:type="dxa"/>
          </w:tblCellMar>
        </w:tblPrEx>
        <w:trPr>
          <w:trHeight w:val="20"/>
        </w:trPr>
        <w:tc>
          <w:tcPr>
            <w:tcW w:w="3071" w:type="pct"/>
            <w:vAlign w:val="center"/>
          </w:tcPr>
          <w:p w14:paraId="638C6C10" w14:textId="77777777" w:rsidR="002B5D18" w:rsidRPr="00490C53" w:rsidRDefault="002B5D18">
            <w:pPr>
              <w:pStyle w:val="Tabletext"/>
              <w:spacing w:before="0"/>
            </w:pPr>
            <w:r w:rsidRPr="00490C53">
              <w:t>Business services, Borrower, post intervention (Year 2)</w:t>
            </w:r>
          </w:p>
        </w:tc>
        <w:tc>
          <w:tcPr>
            <w:tcW w:w="964" w:type="pct"/>
            <w:vAlign w:val="center"/>
          </w:tcPr>
          <w:p w14:paraId="1D1A9834" w14:textId="77777777" w:rsidR="002B5D18" w:rsidRPr="00490C53" w:rsidRDefault="002B5D18">
            <w:pPr>
              <w:pStyle w:val="Tabletext"/>
              <w:spacing w:before="0"/>
              <w:jc w:val="center"/>
            </w:pPr>
            <w:r w:rsidRPr="00490C53">
              <w:t>0.003</w:t>
            </w:r>
            <w:r w:rsidRPr="00490C53">
              <w:br/>
              <w:t>(0.061)</w:t>
            </w:r>
          </w:p>
        </w:tc>
        <w:tc>
          <w:tcPr>
            <w:tcW w:w="965" w:type="pct"/>
            <w:vAlign w:val="center"/>
          </w:tcPr>
          <w:p w14:paraId="204DB612" w14:textId="77777777" w:rsidR="002B5D18" w:rsidRPr="00490C53" w:rsidRDefault="002B5D18">
            <w:pPr>
              <w:pStyle w:val="Tabletext"/>
              <w:spacing w:before="0"/>
              <w:jc w:val="center"/>
            </w:pPr>
            <w:r w:rsidRPr="00490C53">
              <w:t>-0.109</w:t>
            </w:r>
            <w:r w:rsidRPr="00490C53">
              <w:br/>
              <w:t>(0.130)</w:t>
            </w:r>
          </w:p>
        </w:tc>
      </w:tr>
      <w:tr w:rsidR="002B5D18" w:rsidRPr="00490C53" w14:paraId="0785C66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3F847B1E" w14:textId="77777777" w:rsidR="002B5D18" w:rsidRPr="00490C53" w:rsidRDefault="002B5D18">
            <w:pPr>
              <w:pStyle w:val="Tabletext"/>
              <w:spacing w:before="0"/>
            </w:pPr>
            <w:r w:rsidRPr="00490C53">
              <w:t>Construction, Borrower, post intervention (Year 2)</w:t>
            </w:r>
          </w:p>
        </w:tc>
        <w:tc>
          <w:tcPr>
            <w:tcW w:w="964" w:type="pct"/>
            <w:vAlign w:val="center"/>
          </w:tcPr>
          <w:p w14:paraId="5873FAA0" w14:textId="77777777" w:rsidR="002B5D18" w:rsidRPr="00490C53" w:rsidRDefault="002B5D18">
            <w:pPr>
              <w:pStyle w:val="Tabletext"/>
              <w:spacing w:before="0"/>
              <w:jc w:val="center"/>
            </w:pPr>
            <w:r w:rsidRPr="00490C53">
              <w:t>-0.196</w:t>
            </w:r>
            <w:r w:rsidRPr="00490C53">
              <w:br/>
              <w:t>(0.168)</w:t>
            </w:r>
          </w:p>
        </w:tc>
        <w:tc>
          <w:tcPr>
            <w:tcW w:w="965" w:type="pct"/>
            <w:vAlign w:val="center"/>
          </w:tcPr>
          <w:p w14:paraId="7462A5F6" w14:textId="77777777" w:rsidR="002B5D18" w:rsidRPr="00490C53" w:rsidRDefault="002B5D18">
            <w:pPr>
              <w:pStyle w:val="Tabletext"/>
              <w:spacing w:before="0"/>
              <w:jc w:val="center"/>
            </w:pPr>
            <w:r w:rsidRPr="00490C53">
              <w:t>-0.510</w:t>
            </w:r>
            <w:r w:rsidRPr="00490C53">
              <w:br/>
              <w:t>(0.344)</w:t>
            </w:r>
          </w:p>
        </w:tc>
      </w:tr>
      <w:tr w:rsidR="002B5D18" w:rsidRPr="00490C53" w14:paraId="1A0B9F15" w14:textId="77777777">
        <w:tblPrEx>
          <w:tblCellMar>
            <w:left w:w="108" w:type="dxa"/>
            <w:right w:w="108" w:type="dxa"/>
          </w:tblCellMar>
        </w:tblPrEx>
        <w:trPr>
          <w:trHeight w:val="20"/>
        </w:trPr>
        <w:tc>
          <w:tcPr>
            <w:tcW w:w="3071" w:type="pct"/>
            <w:vAlign w:val="center"/>
          </w:tcPr>
          <w:p w14:paraId="321936F5" w14:textId="77777777" w:rsidR="002B5D18" w:rsidRPr="00490C53" w:rsidRDefault="002B5D18">
            <w:pPr>
              <w:pStyle w:val="Tabletext"/>
              <w:spacing w:before="0"/>
            </w:pPr>
            <w:r w:rsidRPr="00490C53">
              <w:t>Distribution, Borrower, post intervention (Year 2)</w:t>
            </w:r>
          </w:p>
        </w:tc>
        <w:tc>
          <w:tcPr>
            <w:tcW w:w="964" w:type="pct"/>
            <w:vAlign w:val="center"/>
          </w:tcPr>
          <w:p w14:paraId="0C5E312B" w14:textId="77777777" w:rsidR="002B5D18" w:rsidRPr="00490C53" w:rsidRDefault="002B5D18">
            <w:pPr>
              <w:pStyle w:val="Tabletext"/>
              <w:spacing w:before="0"/>
              <w:jc w:val="center"/>
            </w:pPr>
            <w:r w:rsidRPr="00490C53">
              <w:t>-0.017</w:t>
            </w:r>
            <w:r w:rsidRPr="00490C53">
              <w:br/>
              <w:t>(0.129)</w:t>
            </w:r>
          </w:p>
        </w:tc>
        <w:tc>
          <w:tcPr>
            <w:tcW w:w="965" w:type="pct"/>
            <w:vAlign w:val="center"/>
          </w:tcPr>
          <w:p w14:paraId="14910222" w14:textId="77777777" w:rsidR="002B5D18" w:rsidRPr="00490C53" w:rsidRDefault="002B5D18">
            <w:pPr>
              <w:pStyle w:val="Tabletext"/>
              <w:spacing w:before="0"/>
              <w:jc w:val="center"/>
            </w:pPr>
            <w:r w:rsidRPr="00490C53">
              <w:t>-0.440</w:t>
            </w:r>
            <w:r w:rsidRPr="00490C53">
              <w:br/>
              <w:t>(0.427)</w:t>
            </w:r>
          </w:p>
        </w:tc>
      </w:tr>
      <w:tr w:rsidR="002B5D18" w:rsidRPr="00490C53" w14:paraId="44D0603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4AE29C1B" w14:textId="77777777" w:rsidR="002B5D18" w:rsidRPr="00490C53" w:rsidRDefault="002B5D18">
            <w:pPr>
              <w:pStyle w:val="Tabletext"/>
              <w:spacing w:before="0"/>
            </w:pPr>
            <w:r w:rsidRPr="00490C53">
              <w:t>Other Services, Borrower, post intervention (Year 2)</w:t>
            </w:r>
          </w:p>
        </w:tc>
        <w:tc>
          <w:tcPr>
            <w:tcW w:w="964" w:type="pct"/>
            <w:vAlign w:val="center"/>
          </w:tcPr>
          <w:p w14:paraId="728B897A" w14:textId="77777777" w:rsidR="002B5D18" w:rsidRPr="00490C53" w:rsidRDefault="002B5D18">
            <w:pPr>
              <w:pStyle w:val="Tabletext"/>
              <w:spacing w:before="0"/>
              <w:jc w:val="center"/>
            </w:pPr>
            <w:r w:rsidRPr="00490C53">
              <w:t>-0.136</w:t>
            </w:r>
            <w:r w:rsidRPr="00490C53">
              <w:br/>
              <w:t>(0.176)</w:t>
            </w:r>
          </w:p>
        </w:tc>
        <w:tc>
          <w:tcPr>
            <w:tcW w:w="965" w:type="pct"/>
            <w:vAlign w:val="center"/>
          </w:tcPr>
          <w:p w14:paraId="6E260D12" w14:textId="77777777" w:rsidR="002B5D18" w:rsidRPr="00490C53" w:rsidRDefault="002B5D18">
            <w:pPr>
              <w:pStyle w:val="Tabletext"/>
              <w:spacing w:before="0"/>
              <w:jc w:val="center"/>
            </w:pPr>
            <w:r w:rsidRPr="00490C53">
              <w:t>0.018</w:t>
            </w:r>
            <w:r w:rsidRPr="00490C53">
              <w:br/>
              <w:t>(0.115)</w:t>
            </w:r>
          </w:p>
        </w:tc>
      </w:tr>
      <w:tr w:rsidR="002B5D18" w:rsidRPr="00490C53" w14:paraId="57207844" w14:textId="77777777">
        <w:tblPrEx>
          <w:tblCellMar>
            <w:left w:w="108" w:type="dxa"/>
            <w:right w:w="108" w:type="dxa"/>
          </w:tblCellMar>
        </w:tblPrEx>
        <w:trPr>
          <w:trHeight w:val="20"/>
        </w:trPr>
        <w:tc>
          <w:tcPr>
            <w:tcW w:w="3071" w:type="pct"/>
            <w:vAlign w:val="center"/>
          </w:tcPr>
          <w:p w14:paraId="09077DB1" w14:textId="77777777" w:rsidR="002B5D18" w:rsidRPr="00490C53" w:rsidRDefault="002B5D18">
            <w:pPr>
              <w:pStyle w:val="Tabletext"/>
              <w:spacing w:before="0"/>
            </w:pPr>
            <w:r w:rsidRPr="00490C53">
              <w:t>Production, Borrower, post intervention (Year 2)</w:t>
            </w:r>
          </w:p>
        </w:tc>
        <w:tc>
          <w:tcPr>
            <w:tcW w:w="964" w:type="pct"/>
            <w:vAlign w:val="center"/>
          </w:tcPr>
          <w:p w14:paraId="7F6D97C2" w14:textId="77777777" w:rsidR="002B5D18" w:rsidRPr="00490C53" w:rsidRDefault="002B5D18">
            <w:pPr>
              <w:pStyle w:val="Tabletext"/>
              <w:spacing w:before="0"/>
              <w:jc w:val="center"/>
            </w:pPr>
            <w:r w:rsidRPr="00490C53">
              <w:t>0.116</w:t>
            </w:r>
            <w:r w:rsidRPr="00490C53">
              <w:br/>
              <w:t>(0.123)</w:t>
            </w:r>
          </w:p>
        </w:tc>
        <w:tc>
          <w:tcPr>
            <w:tcW w:w="965" w:type="pct"/>
            <w:vAlign w:val="center"/>
          </w:tcPr>
          <w:p w14:paraId="2A63F0FA" w14:textId="77777777" w:rsidR="002B5D18" w:rsidRPr="00490C53" w:rsidRDefault="002B5D18">
            <w:pPr>
              <w:pStyle w:val="Tabletext"/>
              <w:spacing w:before="0"/>
              <w:jc w:val="center"/>
            </w:pPr>
            <w:r w:rsidRPr="00490C53">
              <w:t>0.198</w:t>
            </w:r>
            <w:r w:rsidRPr="00490C53">
              <w:br/>
              <w:t>(0.127)</w:t>
            </w:r>
          </w:p>
        </w:tc>
      </w:tr>
      <w:tr w:rsidR="002B5D18" w:rsidRPr="00490C53" w14:paraId="30E31E5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13B2B38E" w14:textId="77777777" w:rsidR="002B5D18" w:rsidRPr="00490C53" w:rsidRDefault="002B5D18">
            <w:pPr>
              <w:pStyle w:val="Tabletext"/>
              <w:spacing w:before="0"/>
            </w:pPr>
            <w:r w:rsidRPr="00490C53">
              <w:t>Business services, post intervention (Year 1)</w:t>
            </w:r>
          </w:p>
        </w:tc>
        <w:tc>
          <w:tcPr>
            <w:tcW w:w="964" w:type="pct"/>
            <w:vAlign w:val="center"/>
          </w:tcPr>
          <w:p w14:paraId="499F02D0" w14:textId="77777777" w:rsidR="002B5D18" w:rsidRPr="00490C53" w:rsidRDefault="002B5D18">
            <w:pPr>
              <w:pStyle w:val="Tabletext"/>
              <w:spacing w:before="0"/>
              <w:jc w:val="center"/>
              <w:rPr>
                <w:rStyle w:val="Bold"/>
                <w:b w:val="0"/>
              </w:rPr>
            </w:pPr>
            <w:r w:rsidRPr="00490C53">
              <w:t>0.039*</w:t>
            </w:r>
            <w:r w:rsidRPr="00490C53">
              <w:br/>
              <w:t>(0.021)</w:t>
            </w:r>
          </w:p>
        </w:tc>
        <w:tc>
          <w:tcPr>
            <w:tcW w:w="965" w:type="pct"/>
            <w:vAlign w:val="center"/>
          </w:tcPr>
          <w:p w14:paraId="743BB030" w14:textId="77777777" w:rsidR="002B5D18" w:rsidRPr="00490C53" w:rsidRDefault="002B5D18">
            <w:pPr>
              <w:pStyle w:val="Tabletext"/>
              <w:spacing w:before="0"/>
              <w:jc w:val="center"/>
              <w:rPr>
                <w:rStyle w:val="Bold"/>
                <w:b w:val="0"/>
              </w:rPr>
            </w:pPr>
            <w:r w:rsidRPr="00490C53">
              <w:t>0.035</w:t>
            </w:r>
            <w:r w:rsidRPr="00490C53">
              <w:br/>
              <w:t>(0.079)</w:t>
            </w:r>
          </w:p>
        </w:tc>
      </w:tr>
      <w:tr w:rsidR="002B5D18" w:rsidRPr="00490C53" w14:paraId="32730D8E" w14:textId="77777777">
        <w:tblPrEx>
          <w:tblCellMar>
            <w:left w:w="108" w:type="dxa"/>
            <w:right w:w="108" w:type="dxa"/>
          </w:tblCellMar>
        </w:tblPrEx>
        <w:trPr>
          <w:trHeight w:val="20"/>
        </w:trPr>
        <w:tc>
          <w:tcPr>
            <w:tcW w:w="3071" w:type="pct"/>
            <w:vAlign w:val="center"/>
          </w:tcPr>
          <w:p w14:paraId="140FE805" w14:textId="77777777" w:rsidR="002B5D18" w:rsidRPr="00490C53" w:rsidRDefault="002B5D18">
            <w:pPr>
              <w:pStyle w:val="Tabletext"/>
              <w:spacing w:before="0"/>
            </w:pPr>
            <w:r w:rsidRPr="00490C53">
              <w:t>Construction, post intervention (Year 1)</w:t>
            </w:r>
          </w:p>
        </w:tc>
        <w:tc>
          <w:tcPr>
            <w:tcW w:w="964" w:type="pct"/>
            <w:vAlign w:val="center"/>
          </w:tcPr>
          <w:p w14:paraId="4144B752" w14:textId="77777777" w:rsidR="002B5D18" w:rsidRPr="00490C53" w:rsidRDefault="002B5D18">
            <w:pPr>
              <w:pStyle w:val="Tabletext"/>
              <w:spacing w:before="0"/>
              <w:jc w:val="center"/>
              <w:rPr>
                <w:rStyle w:val="Bold"/>
                <w:b w:val="0"/>
              </w:rPr>
            </w:pPr>
            <w:r w:rsidRPr="00490C53">
              <w:t>0.016</w:t>
            </w:r>
            <w:r w:rsidRPr="00490C53">
              <w:br/>
              <w:t>(0.046)</w:t>
            </w:r>
          </w:p>
        </w:tc>
        <w:tc>
          <w:tcPr>
            <w:tcW w:w="965" w:type="pct"/>
            <w:vAlign w:val="center"/>
          </w:tcPr>
          <w:p w14:paraId="0439A4C7" w14:textId="77777777" w:rsidR="002B5D18" w:rsidRPr="00490C53" w:rsidRDefault="002B5D18">
            <w:pPr>
              <w:pStyle w:val="Tabletext"/>
              <w:spacing w:before="0"/>
              <w:jc w:val="center"/>
              <w:rPr>
                <w:rStyle w:val="Bold"/>
                <w:b w:val="0"/>
              </w:rPr>
            </w:pPr>
            <w:r w:rsidRPr="00490C53">
              <w:t>0.117</w:t>
            </w:r>
            <w:r w:rsidRPr="00490C53">
              <w:br/>
              <w:t>(0.103)</w:t>
            </w:r>
          </w:p>
        </w:tc>
      </w:tr>
      <w:tr w:rsidR="002B5D18" w:rsidRPr="00490C53" w14:paraId="7A61916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02DBE153" w14:textId="77777777" w:rsidR="002B5D18" w:rsidRPr="00490C53" w:rsidDel="000A1204" w:rsidRDefault="002B5D18">
            <w:pPr>
              <w:pStyle w:val="Tabletext"/>
              <w:spacing w:before="0"/>
            </w:pPr>
            <w:r w:rsidRPr="00490C53">
              <w:t>Distribution, post intervention (Year 1)</w:t>
            </w:r>
          </w:p>
        </w:tc>
        <w:tc>
          <w:tcPr>
            <w:tcW w:w="964" w:type="pct"/>
            <w:vAlign w:val="center"/>
          </w:tcPr>
          <w:p w14:paraId="485FCD5F" w14:textId="77777777" w:rsidR="002B5D18" w:rsidRPr="00490C53" w:rsidRDefault="002B5D18">
            <w:pPr>
              <w:pStyle w:val="Tabletext"/>
              <w:spacing w:before="0"/>
              <w:jc w:val="center"/>
              <w:rPr>
                <w:rStyle w:val="Bold"/>
                <w:b w:val="0"/>
              </w:rPr>
            </w:pPr>
            <w:r w:rsidRPr="00490C53">
              <w:t>-0.036</w:t>
            </w:r>
            <w:r w:rsidRPr="00490C53">
              <w:br/>
              <w:t>(0.048)</w:t>
            </w:r>
          </w:p>
        </w:tc>
        <w:tc>
          <w:tcPr>
            <w:tcW w:w="965" w:type="pct"/>
            <w:vAlign w:val="center"/>
          </w:tcPr>
          <w:p w14:paraId="1E569367" w14:textId="77777777" w:rsidR="002B5D18" w:rsidRPr="00490C53" w:rsidRDefault="002B5D18">
            <w:pPr>
              <w:pStyle w:val="Tabletext"/>
              <w:spacing w:before="0"/>
              <w:jc w:val="center"/>
              <w:rPr>
                <w:rStyle w:val="Bold"/>
                <w:b w:val="0"/>
              </w:rPr>
            </w:pPr>
            <w:r w:rsidRPr="00490C53">
              <w:t>0.105</w:t>
            </w:r>
            <w:r w:rsidRPr="00490C53">
              <w:br/>
              <w:t>(0.087)</w:t>
            </w:r>
          </w:p>
        </w:tc>
      </w:tr>
      <w:tr w:rsidR="002B5D18" w:rsidRPr="00490C53" w14:paraId="62F1FA55" w14:textId="77777777">
        <w:tblPrEx>
          <w:tblCellMar>
            <w:left w:w="108" w:type="dxa"/>
            <w:right w:w="108" w:type="dxa"/>
          </w:tblCellMar>
        </w:tblPrEx>
        <w:trPr>
          <w:trHeight w:val="20"/>
        </w:trPr>
        <w:tc>
          <w:tcPr>
            <w:tcW w:w="3071" w:type="pct"/>
            <w:vAlign w:val="center"/>
          </w:tcPr>
          <w:p w14:paraId="0C135AEF" w14:textId="77777777" w:rsidR="002B5D18" w:rsidRPr="00490C53" w:rsidDel="000A1204" w:rsidRDefault="002B5D18">
            <w:pPr>
              <w:pStyle w:val="Tabletext"/>
              <w:spacing w:before="0"/>
            </w:pPr>
            <w:r w:rsidRPr="00490C53">
              <w:t>Other Services, post intervention (Year 1)</w:t>
            </w:r>
          </w:p>
        </w:tc>
        <w:tc>
          <w:tcPr>
            <w:tcW w:w="964" w:type="pct"/>
            <w:vAlign w:val="center"/>
          </w:tcPr>
          <w:p w14:paraId="5D943FE4" w14:textId="77777777" w:rsidR="002B5D18" w:rsidRPr="00490C53" w:rsidRDefault="002B5D18">
            <w:pPr>
              <w:pStyle w:val="Tabletext"/>
              <w:spacing w:before="0"/>
              <w:jc w:val="center"/>
              <w:rPr>
                <w:rStyle w:val="Bold"/>
                <w:b w:val="0"/>
              </w:rPr>
            </w:pPr>
            <w:r w:rsidRPr="00490C53">
              <w:t>-0.086**</w:t>
            </w:r>
            <w:r w:rsidRPr="00490C53">
              <w:br/>
              <w:t>(0.043)</w:t>
            </w:r>
          </w:p>
        </w:tc>
        <w:tc>
          <w:tcPr>
            <w:tcW w:w="965" w:type="pct"/>
            <w:vAlign w:val="center"/>
          </w:tcPr>
          <w:p w14:paraId="1B63E918" w14:textId="77777777" w:rsidR="002B5D18" w:rsidRPr="00490C53" w:rsidRDefault="002B5D18">
            <w:pPr>
              <w:pStyle w:val="Tabletext"/>
              <w:spacing w:before="0"/>
              <w:jc w:val="center"/>
              <w:rPr>
                <w:rStyle w:val="Bold"/>
                <w:b w:val="0"/>
              </w:rPr>
            </w:pPr>
            <w:r w:rsidRPr="00490C53">
              <w:t>0.001</w:t>
            </w:r>
            <w:r w:rsidRPr="00490C53">
              <w:br/>
              <w:t>(0.085)</w:t>
            </w:r>
          </w:p>
        </w:tc>
      </w:tr>
      <w:tr w:rsidR="002B5D18" w:rsidRPr="00490C53" w14:paraId="57CED96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781D8D0E" w14:textId="77777777" w:rsidR="002B5D18" w:rsidRPr="00490C53" w:rsidDel="000A1204" w:rsidRDefault="002B5D18">
            <w:pPr>
              <w:pStyle w:val="Tabletext"/>
              <w:spacing w:before="0"/>
            </w:pPr>
            <w:r w:rsidRPr="00490C53">
              <w:lastRenderedPageBreak/>
              <w:t>Production, post intervention (Year 1)</w:t>
            </w:r>
          </w:p>
        </w:tc>
        <w:tc>
          <w:tcPr>
            <w:tcW w:w="964" w:type="pct"/>
            <w:vAlign w:val="center"/>
          </w:tcPr>
          <w:p w14:paraId="20B94DCB" w14:textId="77777777" w:rsidR="002B5D18" w:rsidRPr="00490C53" w:rsidRDefault="002B5D18">
            <w:pPr>
              <w:pStyle w:val="Tabletext"/>
              <w:spacing w:before="0"/>
              <w:jc w:val="center"/>
              <w:rPr>
                <w:rStyle w:val="Bold"/>
                <w:b w:val="0"/>
              </w:rPr>
            </w:pPr>
            <w:r w:rsidRPr="00490C53">
              <w:t>0.019</w:t>
            </w:r>
            <w:r w:rsidRPr="00490C53">
              <w:br/>
              <w:t>(0.031)</w:t>
            </w:r>
          </w:p>
        </w:tc>
        <w:tc>
          <w:tcPr>
            <w:tcW w:w="965" w:type="pct"/>
            <w:vAlign w:val="center"/>
          </w:tcPr>
          <w:p w14:paraId="7FEA3A63" w14:textId="77777777" w:rsidR="002B5D18" w:rsidRPr="00490C53" w:rsidRDefault="002B5D18">
            <w:pPr>
              <w:pStyle w:val="Tabletext"/>
              <w:spacing w:before="0"/>
              <w:jc w:val="center"/>
              <w:rPr>
                <w:rStyle w:val="Bold"/>
                <w:b w:val="0"/>
              </w:rPr>
            </w:pPr>
            <w:r w:rsidRPr="00490C53">
              <w:t>0.084</w:t>
            </w:r>
            <w:r w:rsidRPr="00490C53">
              <w:br/>
              <w:t>(0.093)</w:t>
            </w:r>
          </w:p>
        </w:tc>
      </w:tr>
      <w:tr w:rsidR="002B5D18" w:rsidRPr="00490C53" w14:paraId="1F5C0B85" w14:textId="77777777">
        <w:tblPrEx>
          <w:tblCellMar>
            <w:left w:w="108" w:type="dxa"/>
            <w:right w:w="108" w:type="dxa"/>
          </w:tblCellMar>
        </w:tblPrEx>
        <w:trPr>
          <w:trHeight w:val="20"/>
        </w:trPr>
        <w:tc>
          <w:tcPr>
            <w:tcW w:w="3071" w:type="pct"/>
            <w:vAlign w:val="center"/>
          </w:tcPr>
          <w:p w14:paraId="357744EC" w14:textId="77777777" w:rsidR="002B5D18" w:rsidRPr="00490C53" w:rsidDel="000A1204" w:rsidRDefault="002B5D18">
            <w:pPr>
              <w:pStyle w:val="Tabletext"/>
              <w:spacing w:before="0"/>
            </w:pPr>
            <w:r w:rsidRPr="00490C53">
              <w:t>Business services, Borrower, post intervention (Year 1)</w:t>
            </w:r>
          </w:p>
        </w:tc>
        <w:tc>
          <w:tcPr>
            <w:tcW w:w="964" w:type="pct"/>
            <w:vAlign w:val="center"/>
          </w:tcPr>
          <w:p w14:paraId="3B9BD8EB" w14:textId="77777777" w:rsidR="002B5D18" w:rsidRPr="00490C53" w:rsidRDefault="002B5D18">
            <w:pPr>
              <w:pStyle w:val="Tabletext"/>
              <w:spacing w:before="0"/>
              <w:jc w:val="center"/>
              <w:rPr>
                <w:rStyle w:val="Bold"/>
                <w:b w:val="0"/>
              </w:rPr>
            </w:pPr>
            <w:r w:rsidRPr="00490C53">
              <w:t>-0.069**</w:t>
            </w:r>
            <w:r w:rsidRPr="00490C53">
              <w:br/>
              <w:t>(0.032)</w:t>
            </w:r>
          </w:p>
        </w:tc>
        <w:tc>
          <w:tcPr>
            <w:tcW w:w="965" w:type="pct"/>
            <w:vAlign w:val="center"/>
          </w:tcPr>
          <w:p w14:paraId="64DD7846" w14:textId="77777777" w:rsidR="002B5D18" w:rsidRPr="00490C53" w:rsidRDefault="002B5D18">
            <w:pPr>
              <w:pStyle w:val="Tabletext"/>
              <w:spacing w:before="0"/>
              <w:jc w:val="center"/>
              <w:rPr>
                <w:rStyle w:val="Bold"/>
                <w:b w:val="0"/>
              </w:rPr>
            </w:pPr>
            <w:r w:rsidRPr="00490C53">
              <w:t>0.037</w:t>
            </w:r>
            <w:r w:rsidRPr="00490C53">
              <w:br/>
              <w:t>(0.060)</w:t>
            </w:r>
          </w:p>
        </w:tc>
      </w:tr>
      <w:tr w:rsidR="002B5D18" w:rsidRPr="00490C53" w14:paraId="7DA4932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2932AAFC" w14:textId="77777777" w:rsidR="002B5D18" w:rsidRPr="00490C53" w:rsidDel="000A1204" w:rsidRDefault="002B5D18">
            <w:pPr>
              <w:pStyle w:val="Tabletext"/>
              <w:spacing w:before="0"/>
            </w:pPr>
            <w:r w:rsidRPr="00490C53">
              <w:t>Construction, Borrower, post intervention (Year 1)</w:t>
            </w:r>
          </w:p>
        </w:tc>
        <w:tc>
          <w:tcPr>
            <w:tcW w:w="964" w:type="pct"/>
            <w:vAlign w:val="center"/>
          </w:tcPr>
          <w:p w14:paraId="17D64BD5" w14:textId="77777777" w:rsidR="002B5D18" w:rsidRPr="00490C53" w:rsidRDefault="002B5D18">
            <w:pPr>
              <w:pStyle w:val="Tabletext"/>
              <w:spacing w:before="0"/>
              <w:jc w:val="center"/>
              <w:rPr>
                <w:rStyle w:val="Bold"/>
                <w:b w:val="0"/>
              </w:rPr>
            </w:pPr>
            <w:r w:rsidRPr="00490C53">
              <w:t>-0.000</w:t>
            </w:r>
            <w:r w:rsidRPr="00490C53">
              <w:br/>
              <w:t>(0.060)</w:t>
            </w:r>
          </w:p>
        </w:tc>
        <w:tc>
          <w:tcPr>
            <w:tcW w:w="965" w:type="pct"/>
            <w:vAlign w:val="center"/>
          </w:tcPr>
          <w:p w14:paraId="1327EC65" w14:textId="77777777" w:rsidR="002B5D18" w:rsidRPr="00490C53" w:rsidRDefault="002B5D18">
            <w:pPr>
              <w:pStyle w:val="Tabletext"/>
              <w:spacing w:before="0"/>
              <w:jc w:val="center"/>
              <w:rPr>
                <w:rStyle w:val="Bold"/>
                <w:b w:val="0"/>
              </w:rPr>
            </w:pPr>
            <w:r w:rsidRPr="00490C53">
              <w:t>0.027</w:t>
            </w:r>
            <w:r w:rsidRPr="00490C53">
              <w:br/>
              <w:t>(0.047)</w:t>
            </w:r>
          </w:p>
        </w:tc>
      </w:tr>
      <w:tr w:rsidR="002B5D18" w:rsidRPr="00490C53" w14:paraId="11D04AA5" w14:textId="77777777">
        <w:tblPrEx>
          <w:tblCellMar>
            <w:left w:w="108" w:type="dxa"/>
            <w:right w:w="108" w:type="dxa"/>
          </w:tblCellMar>
        </w:tblPrEx>
        <w:trPr>
          <w:trHeight w:val="20"/>
        </w:trPr>
        <w:tc>
          <w:tcPr>
            <w:tcW w:w="3071" w:type="pct"/>
            <w:vAlign w:val="center"/>
          </w:tcPr>
          <w:p w14:paraId="2DADAB9D" w14:textId="77777777" w:rsidR="002B5D18" w:rsidRPr="00490C53" w:rsidDel="000A1204" w:rsidRDefault="002B5D18">
            <w:pPr>
              <w:pStyle w:val="Tabletext"/>
              <w:spacing w:before="0"/>
            </w:pPr>
            <w:r w:rsidRPr="00490C53">
              <w:t>Distribution, Borrower, post intervention (Year 1)</w:t>
            </w:r>
          </w:p>
        </w:tc>
        <w:tc>
          <w:tcPr>
            <w:tcW w:w="964" w:type="pct"/>
            <w:vAlign w:val="center"/>
          </w:tcPr>
          <w:p w14:paraId="7A9D7049" w14:textId="77777777" w:rsidR="002B5D18" w:rsidRPr="00490C53" w:rsidRDefault="002B5D18">
            <w:pPr>
              <w:pStyle w:val="Tabletext"/>
              <w:spacing w:before="0"/>
              <w:jc w:val="center"/>
              <w:rPr>
                <w:rStyle w:val="Bold"/>
                <w:b w:val="0"/>
              </w:rPr>
            </w:pPr>
            <w:r w:rsidRPr="00490C53">
              <w:t>0.005</w:t>
            </w:r>
            <w:r w:rsidRPr="00490C53">
              <w:br/>
              <w:t>(0.051)</w:t>
            </w:r>
          </w:p>
        </w:tc>
        <w:tc>
          <w:tcPr>
            <w:tcW w:w="965" w:type="pct"/>
            <w:vAlign w:val="center"/>
          </w:tcPr>
          <w:p w14:paraId="04E9A0F3" w14:textId="77777777" w:rsidR="002B5D18" w:rsidRPr="00490C53" w:rsidRDefault="002B5D18">
            <w:pPr>
              <w:pStyle w:val="Tabletext"/>
              <w:spacing w:before="0"/>
              <w:jc w:val="center"/>
              <w:rPr>
                <w:rStyle w:val="Bold"/>
                <w:b w:val="0"/>
              </w:rPr>
            </w:pPr>
            <w:r w:rsidRPr="00490C53">
              <w:t>-0.020</w:t>
            </w:r>
            <w:r w:rsidRPr="00490C53">
              <w:br/>
              <w:t>(0.036)</w:t>
            </w:r>
          </w:p>
        </w:tc>
      </w:tr>
      <w:tr w:rsidR="002B5D18" w:rsidRPr="00490C53" w14:paraId="18E2F3A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7ECC508A" w14:textId="77777777" w:rsidR="002B5D18" w:rsidRPr="00490C53" w:rsidDel="000A1204" w:rsidRDefault="002B5D18">
            <w:pPr>
              <w:pStyle w:val="Tabletext"/>
              <w:spacing w:before="0"/>
            </w:pPr>
            <w:r w:rsidRPr="00490C53">
              <w:t>Other Services, Borrower, post intervention (Year 1)</w:t>
            </w:r>
          </w:p>
        </w:tc>
        <w:tc>
          <w:tcPr>
            <w:tcW w:w="964" w:type="pct"/>
            <w:vAlign w:val="center"/>
          </w:tcPr>
          <w:p w14:paraId="7F3AAB99" w14:textId="77777777" w:rsidR="002B5D18" w:rsidRPr="00490C53" w:rsidRDefault="002B5D18">
            <w:pPr>
              <w:pStyle w:val="Tabletext"/>
              <w:spacing w:before="0"/>
              <w:jc w:val="center"/>
              <w:rPr>
                <w:rStyle w:val="Bold"/>
                <w:b w:val="0"/>
              </w:rPr>
            </w:pPr>
            <w:r w:rsidRPr="00490C53">
              <w:t>0.037</w:t>
            </w:r>
            <w:r w:rsidRPr="00490C53">
              <w:br/>
              <w:t>(0.058)</w:t>
            </w:r>
          </w:p>
        </w:tc>
        <w:tc>
          <w:tcPr>
            <w:tcW w:w="965" w:type="pct"/>
            <w:vAlign w:val="center"/>
          </w:tcPr>
          <w:p w14:paraId="08D61B53" w14:textId="77777777" w:rsidR="002B5D18" w:rsidRPr="00490C53" w:rsidRDefault="002B5D18">
            <w:pPr>
              <w:pStyle w:val="Tabletext"/>
              <w:spacing w:before="0"/>
              <w:jc w:val="center"/>
              <w:rPr>
                <w:rStyle w:val="Bold"/>
                <w:b w:val="0"/>
              </w:rPr>
            </w:pPr>
            <w:r w:rsidRPr="00490C53">
              <w:t>0.144*</w:t>
            </w:r>
            <w:r w:rsidRPr="00490C53">
              <w:br/>
              <w:t>(0.081)</w:t>
            </w:r>
          </w:p>
        </w:tc>
      </w:tr>
      <w:tr w:rsidR="002B5D18" w:rsidRPr="00490C53" w14:paraId="5AA6F24E" w14:textId="77777777">
        <w:tblPrEx>
          <w:tblCellMar>
            <w:left w:w="108" w:type="dxa"/>
            <w:right w:w="108" w:type="dxa"/>
          </w:tblCellMar>
        </w:tblPrEx>
        <w:trPr>
          <w:trHeight w:val="20"/>
        </w:trPr>
        <w:tc>
          <w:tcPr>
            <w:tcW w:w="3071" w:type="pct"/>
            <w:vAlign w:val="center"/>
          </w:tcPr>
          <w:p w14:paraId="55AB1A59" w14:textId="77777777" w:rsidR="002B5D18" w:rsidRPr="00490C53" w:rsidDel="000A1204" w:rsidRDefault="002B5D18">
            <w:pPr>
              <w:pStyle w:val="Tabletext"/>
              <w:spacing w:before="0"/>
            </w:pPr>
            <w:r w:rsidRPr="00490C53">
              <w:t>Production, Borrower, post intervention (Year 1)</w:t>
            </w:r>
          </w:p>
        </w:tc>
        <w:tc>
          <w:tcPr>
            <w:tcW w:w="964" w:type="pct"/>
            <w:vAlign w:val="center"/>
          </w:tcPr>
          <w:p w14:paraId="201EB4C1" w14:textId="77777777" w:rsidR="002B5D18" w:rsidRPr="00490C53" w:rsidRDefault="002B5D18">
            <w:pPr>
              <w:pStyle w:val="Tabletext"/>
              <w:spacing w:before="0"/>
              <w:jc w:val="center"/>
              <w:rPr>
                <w:rStyle w:val="Bold"/>
                <w:b w:val="0"/>
              </w:rPr>
            </w:pPr>
            <w:r w:rsidRPr="00490C53">
              <w:t>0.035</w:t>
            </w:r>
            <w:r w:rsidRPr="00490C53">
              <w:br/>
              <w:t>(0.034)</w:t>
            </w:r>
          </w:p>
        </w:tc>
        <w:tc>
          <w:tcPr>
            <w:tcW w:w="965" w:type="pct"/>
            <w:vAlign w:val="center"/>
          </w:tcPr>
          <w:p w14:paraId="55092395" w14:textId="77777777" w:rsidR="002B5D18" w:rsidRPr="00490C53" w:rsidRDefault="002B5D18">
            <w:pPr>
              <w:pStyle w:val="Tabletext"/>
              <w:spacing w:before="0"/>
              <w:jc w:val="center"/>
              <w:rPr>
                <w:rStyle w:val="Bold"/>
                <w:b w:val="0"/>
              </w:rPr>
            </w:pPr>
            <w:r w:rsidRPr="00490C53">
              <w:t>0.043</w:t>
            </w:r>
            <w:r w:rsidRPr="00490C53">
              <w:br/>
              <w:t>(0.066)</w:t>
            </w:r>
          </w:p>
        </w:tc>
      </w:tr>
      <w:tr w:rsidR="002B5D18" w:rsidRPr="00490C53" w14:paraId="3F8AC4D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51AA78BF" w14:textId="77777777" w:rsidR="002B5D18" w:rsidRPr="00490C53" w:rsidRDefault="002B5D18">
            <w:pPr>
              <w:pStyle w:val="Tabletext"/>
              <w:spacing w:before="0"/>
            </w:pPr>
            <w:r w:rsidRPr="00490C53">
              <w:t>Used CJRS</w:t>
            </w:r>
          </w:p>
        </w:tc>
        <w:tc>
          <w:tcPr>
            <w:tcW w:w="964" w:type="pct"/>
            <w:vAlign w:val="center"/>
          </w:tcPr>
          <w:p w14:paraId="13E70C22" w14:textId="77777777" w:rsidR="002B5D18" w:rsidRPr="00490C53" w:rsidRDefault="002B5D18">
            <w:pPr>
              <w:pStyle w:val="Tabletext"/>
              <w:spacing w:before="0"/>
              <w:jc w:val="center"/>
              <w:rPr>
                <w:rStyle w:val="Bold"/>
                <w:b w:val="0"/>
              </w:rPr>
            </w:pPr>
            <w:r w:rsidRPr="00490C53">
              <w:t>-0.061***</w:t>
            </w:r>
            <w:r w:rsidRPr="00490C53">
              <w:br/>
              <w:t>(0.024)</w:t>
            </w:r>
          </w:p>
        </w:tc>
        <w:tc>
          <w:tcPr>
            <w:tcW w:w="965" w:type="pct"/>
            <w:vAlign w:val="center"/>
          </w:tcPr>
          <w:p w14:paraId="21C9388A" w14:textId="77777777" w:rsidR="002B5D18" w:rsidRPr="00490C53" w:rsidRDefault="002B5D18">
            <w:pPr>
              <w:pStyle w:val="Tabletext"/>
              <w:spacing w:before="0"/>
              <w:jc w:val="center"/>
              <w:rPr>
                <w:rStyle w:val="Bold"/>
                <w:b w:val="0"/>
              </w:rPr>
            </w:pPr>
            <w:r w:rsidRPr="00490C53">
              <w:t>-0.137</w:t>
            </w:r>
            <w:r w:rsidRPr="00490C53">
              <w:br/>
              <w:t>(0.088)</w:t>
            </w:r>
          </w:p>
        </w:tc>
      </w:tr>
      <w:tr w:rsidR="002B5D18" w:rsidRPr="00490C53" w14:paraId="5501CC68" w14:textId="77777777">
        <w:tblPrEx>
          <w:tblCellMar>
            <w:left w:w="108" w:type="dxa"/>
            <w:right w:w="108" w:type="dxa"/>
          </w:tblCellMar>
        </w:tblPrEx>
        <w:trPr>
          <w:trHeight w:val="20"/>
        </w:trPr>
        <w:tc>
          <w:tcPr>
            <w:tcW w:w="3071" w:type="pct"/>
            <w:vAlign w:val="center"/>
          </w:tcPr>
          <w:p w14:paraId="49AE93F2" w14:textId="77777777" w:rsidR="002B5D18" w:rsidRPr="00490C53" w:rsidRDefault="002B5D18">
            <w:pPr>
              <w:pStyle w:val="Tabletext"/>
              <w:spacing w:before="0"/>
            </w:pPr>
            <w:r w:rsidRPr="00490C53">
              <w:t>Used VAT Deferral</w:t>
            </w:r>
          </w:p>
        </w:tc>
        <w:tc>
          <w:tcPr>
            <w:tcW w:w="964" w:type="pct"/>
            <w:vAlign w:val="center"/>
          </w:tcPr>
          <w:p w14:paraId="496E7FF5" w14:textId="77777777" w:rsidR="002B5D18" w:rsidRPr="00490C53" w:rsidRDefault="002B5D18">
            <w:pPr>
              <w:pStyle w:val="Tabletext"/>
              <w:spacing w:before="0"/>
              <w:jc w:val="center"/>
              <w:rPr>
                <w:rStyle w:val="Bold"/>
                <w:b w:val="0"/>
              </w:rPr>
            </w:pPr>
            <w:r w:rsidRPr="00490C53">
              <w:t>-0.007</w:t>
            </w:r>
            <w:r w:rsidRPr="00490C53">
              <w:br/>
              <w:t>(0.024)</w:t>
            </w:r>
          </w:p>
        </w:tc>
        <w:tc>
          <w:tcPr>
            <w:tcW w:w="965" w:type="pct"/>
            <w:vAlign w:val="center"/>
          </w:tcPr>
          <w:p w14:paraId="2F2FBA10" w14:textId="77777777" w:rsidR="002B5D18" w:rsidRPr="00490C53" w:rsidRDefault="002B5D18">
            <w:pPr>
              <w:pStyle w:val="Tabletext"/>
              <w:spacing w:before="0"/>
              <w:jc w:val="center"/>
              <w:rPr>
                <w:rStyle w:val="Bold"/>
                <w:b w:val="0"/>
              </w:rPr>
            </w:pPr>
            <w:r w:rsidRPr="00490C53">
              <w:t>-0.049</w:t>
            </w:r>
            <w:r w:rsidRPr="00490C53">
              <w:br/>
              <w:t>(0.035)</w:t>
            </w:r>
          </w:p>
        </w:tc>
      </w:tr>
      <w:tr w:rsidR="002B5D18" w:rsidRPr="00490C53" w14:paraId="228FC55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71" w:type="pct"/>
            <w:vAlign w:val="center"/>
          </w:tcPr>
          <w:p w14:paraId="410B8E65" w14:textId="77777777" w:rsidR="002B5D18" w:rsidRPr="00490C53" w:rsidRDefault="002B5D18">
            <w:pPr>
              <w:pStyle w:val="Tabletext"/>
              <w:spacing w:before="0"/>
            </w:pPr>
            <w:r w:rsidRPr="00490C53">
              <w:t>Used Other Support</w:t>
            </w:r>
          </w:p>
        </w:tc>
        <w:tc>
          <w:tcPr>
            <w:tcW w:w="964" w:type="pct"/>
            <w:vAlign w:val="center"/>
          </w:tcPr>
          <w:p w14:paraId="73627FA5" w14:textId="77777777" w:rsidR="002B5D18" w:rsidRPr="00490C53" w:rsidRDefault="002B5D18">
            <w:pPr>
              <w:pStyle w:val="Tabletext"/>
              <w:spacing w:before="0"/>
              <w:jc w:val="center"/>
              <w:rPr>
                <w:rStyle w:val="Bold"/>
                <w:b w:val="0"/>
              </w:rPr>
            </w:pPr>
            <w:r w:rsidRPr="00490C53">
              <w:t>-0.019</w:t>
            </w:r>
            <w:r w:rsidRPr="00490C53">
              <w:br/>
              <w:t>(0.022)</w:t>
            </w:r>
          </w:p>
        </w:tc>
        <w:tc>
          <w:tcPr>
            <w:tcW w:w="965" w:type="pct"/>
            <w:vAlign w:val="center"/>
          </w:tcPr>
          <w:p w14:paraId="24C7DDAC" w14:textId="77777777" w:rsidR="002B5D18" w:rsidRPr="00490C53" w:rsidRDefault="002B5D18">
            <w:pPr>
              <w:pStyle w:val="Tabletext"/>
              <w:spacing w:before="0"/>
              <w:jc w:val="center"/>
              <w:rPr>
                <w:rStyle w:val="Bold"/>
                <w:b w:val="0"/>
              </w:rPr>
            </w:pPr>
            <w:r w:rsidRPr="00490C53">
              <w:t>-0.047</w:t>
            </w:r>
            <w:r w:rsidRPr="00490C53">
              <w:br/>
              <w:t>(0.038)</w:t>
            </w:r>
          </w:p>
        </w:tc>
      </w:tr>
      <w:tr w:rsidR="002B5D18" w:rsidRPr="00490C53" w14:paraId="6CFE6AD7" w14:textId="77777777">
        <w:tblPrEx>
          <w:tblCellMar>
            <w:left w:w="108" w:type="dxa"/>
            <w:right w:w="108" w:type="dxa"/>
          </w:tblCellMar>
        </w:tblPrEx>
        <w:trPr>
          <w:trHeight w:val="20"/>
        </w:trPr>
        <w:tc>
          <w:tcPr>
            <w:tcW w:w="3071" w:type="pct"/>
            <w:vAlign w:val="center"/>
          </w:tcPr>
          <w:p w14:paraId="009324E8" w14:textId="77777777" w:rsidR="002B5D18" w:rsidRPr="00490C53" w:rsidRDefault="002B5D18">
            <w:pPr>
              <w:pStyle w:val="Tabletext"/>
              <w:spacing w:before="0"/>
            </w:pPr>
            <w:r w:rsidRPr="00490C53">
              <w:t>Constant</w:t>
            </w:r>
          </w:p>
        </w:tc>
        <w:tc>
          <w:tcPr>
            <w:tcW w:w="964" w:type="pct"/>
            <w:vAlign w:val="center"/>
          </w:tcPr>
          <w:p w14:paraId="27FB7A86" w14:textId="77777777" w:rsidR="002B5D18" w:rsidRPr="00490C53" w:rsidRDefault="002B5D18">
            <w:pPr>
              <w:pStyle w:val="Tabletext"/>
              <w:spacing w:before="0"/>
              <w:jc w:val="center"/>
              <w:rPr>
                <w:rStyle w:val="Bold"/>
                <w:b w:val="0"/>
              </w:rPr>
            </w:pPr>
            <w:r w:rsidRPr="00490C53">
              <w:t>1.538***</w:t>
            </w:r>
            <w:r w:rsidRPr="00490C53">
              <w:br/>
              <w:t>(0.006)</w:t>
            </w:r>
          </w:p>
        </w:tc>
        <w:tc>
          <w:tcPr>
            <w:tcW w:w="965" w:type="pct"/>
            <w:vAlign w:val="center"/>
          </w:tcPr>
          <w:p w14:paraId="759840E4" w14:textId="77777777" w:rsidR="002B5D18" w:rsidRPr="00490C53" w:rsidRDefault="002B5D18">
            <w:pPr>
              <w:pStyle w:val="Tabletext"/>
              <w:spacing w:before="0"/>
              <w:jc w:val="center"/>
              <w:rPr>
                <w:rStyle w:val="Bold"/>
                <w:b w:val="0"/>
              </w:rPr>
            </w:pPr>
            <w:r w:rsidRPr="00490C53">
              <w:t>2.845***</w:t>
            </w:r>
            <w:r w:rsidRPr="00490C53">
              <w:br/>
              <w:t>(0.015)</w:t>
            </w:r>
          </w:p>
        </w:tc>
      </w:tr>
      <w:tr w:rsidR="002B5D18" w:rsidRPr="00490C53" w14:paraId="40C38FD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71" w:type="pct"/>
            <w:tcBorders>
              <w:top w:val="single" w:sz="4" w:space="0" w:color="0054BA"/>
            </w:tcBorders>
            <w:vAlign w:val="center"/>
          </w:tcPr>
          <w:p w14:paraId="7755B403" w14:textId="77777777" w:rsidR="002B5D18" w:rsidRPr="00490C53" w:rsidRDefault="002B5D18">
            <w:pPr>
              <w:pStyle w:val="Tabletext"/>
            </w:pPr>
            <w:r w:rsidRPr="00490C53">
              <w:t>Observations</w:t>
            </w:r>
          </w:p>
        </w:tc>
        <w:tc>
          <w:tcPr>
            <w:tcW w:w="964" w:type="pct"/>
            <w:tcBorders>
              <w:top w:val="single" w:sz="4" w:space="0" w:color="0054BA"/>
            </w:tcBorders>
            <w:vAlign w:val="center"/>
          </w:tcPr>
          <w:p w14:paraId="2DE7C550" w14:textId="77777777" w:rsidR="002B5D18" w:rsidRPr="00490C53" w:rsidRDefault="002B5D18">
            <w:pPr>
              <w:pStyle w:val="Tabletext"/>
              <w:jc w:val="center"/>
              <w:rPr>
                <w:rStyle w:val="Bold"/>
                <w:b w:val="0"/>
              </w:rPr>
            </w:pPr>
            <w:r w:rsidRPr="00490C53">
              <w:t>2,183</w:t>
            </w:r>
          </w:p>
        </w:tc>
        <w:tc>
          <w:tcPr>
            <w:tcW w:w="965" w:type="pct"/>
            <w:tcBorders>
              <w:top w:val="single" w:sz="4" w:space="0" w:color="0054BA"/>
            </w:tcBorders>
            <w:vAlign w:val="center"/>
          </w:tcPr>
          <w:p w14:paraId="2F894908" w14:textId="77777777" w:rsidR="002B5D18" w:rsidRPr="00490C53" w:rsidRDefault="002B5D18">
            <w:pPr>
              <w:pStyle w:val="Tabletext"/>
              <w:jc w:val="center"/>
              <w:rPr>
                <w:rStyle w:val="Bold"/>
                <w:b w:val="0"/>
              </w:rPr>
            </w:pPr>
            <w:r w:rsidRPr="00490C53">
              <w:t>1,511</w:t>
            </w:r>
          </w:p>
        </w:tc>
      </w:tr>
      <w:tr w:rsidR="002B5D18" w:rsidRPr="00490C53" w14:paraId="094D1C69" w14:textId="77777777">
        <w:tblPrEx>
          <w:tblCellMar>
            <w:left w:w="108" w:type="dxa"/>
            <w:right w:w="108" w:type="dxa"/>
          </w:tblCellMar>
        </w:tblPrEx>
        <w:tc>
          <w:tcPr>
            <w:tcW w:w="3071" w:type="pct"/>
            <w:vAlign w:val="center"/>
          </w:tcPr>
          <w:p w14:paraId="2973414B" w14:textId="77777777" w:rsidR="002B5D18" w:rsidRPr="00490C53" w:rsidRDefault="002B5D18">
            <w:pPr>
              <w:pStyle w:val="Tabletext"/>
            </w:pPr>
            <w:r w:rsidRPr="00490C53">
              <w:t>R-squared</w:t>
            </w:r>
          </w:p>
        </w:tc>
        <w:tc>
          <w:tcPr>
            <w:tcW w:w="964" w:type="pct"/>
            <w:vAlign w:val="center"/>
          </w:tcPr>
          <w:p w14:paraId="459CA792" w14:textId="77777777" w:rsidR="002B5D18" w:rsidRPr="00490C53" w:rsidRDefault="002B5D18">
            <w:pPr>
              <w:pStyle w:val="Tabletext"/>
              <w:jc w:val="center"/>
              <w:rPr>
                <w:rStyle w:val="Bold"/>
                <w:b w:val="0"/>
              </w:rPr>
            </w:pPr>
            <w:r w:rsidRPr="00490C53">
              <w:t>0.050</w:t>
            </w:r>
          </w:p>
        </w:tc>
        <w:tc>
          <w:tcPr>
            <w:tcW w:w="965" w:type="pct"/>
            <w:vAlign w:val="center"/>
          </w:tcPr>
          <w:p w14:paraId="25D57743" w14:textId="77777777" w:rsidR="002B5D18" w:rsidRPr="00490C53" w:rsidRDefault="002B5D18">
            <w:pPr>
              <w:pStyle w:val="Tabletext"/>
              <w:jc w:val="center"/>
              <w:rPr>
                <w:rStyle w:val="Bold"/>
                <w:b w:val="0"/>
              </w:rPr>
            </w:pPr>
            <w:r w:rsidRPr="00490C53">
              <w:t>0.066</w:t>
            </w:r>
          </w:p>
        </w:tc>
      </w:tr>
      <w:tr w:rsidR="002B5D18" w:rsidRPr="00490C53" w14:paraId="1757249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71" w:type="pct"/>
            <w:tcBorders>
              <w:bottom w:val="single" w:sz="4" w:space="0" w:color="0054BA" w:themeColor="accent2"/>
            </w:tcBorders>
            <w:vAlign w:val="center"/>
          </w:tcPr>
          <w:p w14:paraId="6E479E2A" w14:textId="77777777" w:rsidR="002B5D18" w:rsidRPr="00490C53" w:rsidRDefault="002B5D18">
            <w:pPr>
              <w:pStyle w:val="Tabletext"/>
            </w:pPr>
            <w:r w:rsidRPr="00490C53">
              <w:t>Business fixed effects</w:t>
            </w:r>
          </w:p>
        </w:tc>
        <w:tc>
          <w:tcPr>
            <w:tcW w:w="964" w:type="pct"/>
            <w:tcBorders>
              <w:bottom w:val="single" w:sz="4" w:space="0" w:color="0054BA" w:themeColor="accent2"/>
            </w:tcBorders>
            <w:vAlign w:val="center"/>
          </w:tcPr>
          <w:p w14:paraId="4C8BB009" w14:textId="77777777" w:rsidR="002B5D18" w:rsidRPr="00490C53" w:rsidRDefault="002B5D18">
            <w:pPr>
              <w:pStyle w:val="Tabletext"/>
              <w:spacing w:before="0" w:line="240" w:lineRule="auto"/>
              <w:jc w:val="center"/>
              <w:rPr>
                <w:rStyle w:val="Bold"/>
                <w:rFonts w:cstheme="minorHAnsi"/>
                <w:b w:val="0"/>
                <w:bCs/>
                <w:sz w:val="22"/>
              </w:rPr>
            </w:pPr>
            <w:r w:rsidRPr="00490C53">
              <w:rPr>
                <w:rStyle w:val="Bold"/>
                <w:rFonts w:cstheme="minorHAnsi"/>
                <w:b w:val="0"/>
                <w:bCs/>
                <w:sz w:val="22"/>
              </w:rPr>
              <w:t>Yes</w:t>
            </w:r>
          </w:p>
        </w:tc>
        <w:tc>
          <w:tcPr>
            <w:tcW w:w="965" w:type="pct"/>
            <w:tcBorders>
              <w:bottom w:val="single" w:sz="4" w:space="0" w:color="0054BA" w:themeColor="accent2"/>
            </w:tcBorders>
            <w:vAlign w:val="center"/>
          </w:tcPr>
          <w:p w14:paraId="25ED3000" w14:textId="77777777" w:rsidR="002B5D18" w:rsidRPr="00490C53" w:rsidRDefault="002B5D18">
            <w:pPr>
              <w:pStyle w:val="Tabletext"/>
              <w:spacing w:before="0" w:line="240" w:lineRule="auto"/>
              <w:jc w:val="center"/>
              <w:rPr>
                <w:rStyle w:val="Bold"/>
                <w:rFonts w:cstheme="minorHAnsi"/>
                <w:b w:val="0"/>
                <w:bCs/>
                <w:sz w:val="22"/>
              </w:rPr>
            </w:pPr>
            <w:r w:rsidRPr="00490C53">
              <w:rPr>
                <w:rStyle w:val="Bold"/>
                <w:rFonts w:cstheme="minorHAnsi"/>
                <w:b w:val="0"/>
                <w:bCs/>
                <w:sz w:val="22"/>
              </w:rPr>
              <w:t>Yes</w:t>
            </w:r>
          </w:p>
        </w:tc>
      </w:tr>
    </w:tbl>
    <w:p w14:paraId="0523EF0E" w14:textId="50A3929F" w:rsidR="002B5D18" w:rsidRPr="00490C53" w:rsidRDefault="00DA466B" w:rsidP="002B5D18">
      <w:pPr>
        <w:pStyle w:val="Caption"/>
      </w:pPr>
      <w:r>
        <w:t xml:space="preserve">Note: </w:t>
      </w:r>
      <w:r w:rsidR="002B5D18" w:rsidRPr="00490C53">
        <w:t>Standard errors clustered at the sector level in parentheses. *** p-value&lt;0.01, ** p-value&lt;0.05, * p-value&lt;0.1. Source: London Economics’ analysis of survey data.</w:t>
      </w:r>
    </w:p>
    <w:p w14:paraId="4E96AE06" w14:textId="77777777" w:rsidR="002B5D18" w:rsidRPr="00490C53" w:rsidRDefault="002B5D18" w:rsidP="002B5D18"/>
    <w:p w14:paraId="059EF007" w14:textId="1F0F73DD" w:rsidR="002B5D18" w:rsidRPr="00490C53" w:rsidRDefault="002B5D18" w:rsidP="002B5D18">
      <w:pPr>
        <w:pStyle w:val="Heading5"/>
      </w:pPr>
      <w:bookmarkStart w:id="277" w:name="_Ref90974634"/>
      <w:r w:rsidRPr="00490C53">
        <w:lastRenderedPageBreak/>
        <w:t xml:space="preserve">Table </w:t>
      </w:r>
      <w:r w:rsidRPr="00490C53">
        <w:fldChar w:fldCharType="begin"/>
      </w:r>
      <w:r w:rsidRPr="00490C53">
        <w:instrText>SEQ Table \* ARABIC</w:instrText>
      </w:r>
      <w:r w:rsidRPr="00490C53">
        <w:fldChar w:fldCharType="separate"/>
      </w:r>
      <w:r w:rsidR="00397D49">
        <w:rPr>
          <w:noProof/>
        </w:rPr>
        <w:t>33</w:t>
      </w:r>
      <w:r w:rsidRPr="00490C53">
        <w:fldChar w:fldCharType="end"/>
      </w:r>
      <w:bookmarkEnd w:id="277"/>
      <w:r w:rsidRPr="00490C53">
        <w:t>: Estimated impact of the Covid-19 Loan Guarantee Schemes on turnover – by region</w:t>
      </w:r>
    </w:p>
    <w:tbl>
      <w:tblPr>
        <w:tblStyle w:val="TableGrid"/>
        <w:tblW w:w="5000" w:type="pct"/>
        <w:tblLook w:val="04A0" w:firstRow="1" w:lastRow="0" w:firstColumn="1" w:lastColumn="0" w:noHBand="0" w:noVBand="1"/>
      </w:tblPr>
      <w:tblGrid>
        <w:gridCol w:w="6096"/>
        <w:gridCol w:w="2029"/>
        <w:gridCol w:w="2029"/>
      </w:tblGrid>
      <w:tr w:rsidR="002B5D18" w:rsidRPr="00490C53" w14:paraId="54F3DE42" w14:textId="77777777">
        <w:trPr>
          <w:cnfStyle w:val="100000000000" w:firstRow="1" w:lastRow="0" w:firstColumn="0" w:lastColumn="0" w:oddVBand="0" w:evenVBand="0" w:oddHBand="0" w:evenHBand="0" w:firstRowFirstColumn="0" w:firstRowLastColumn="0" w:lastRowFirstColumn="0" w:lastRowLastColumn="0"/>
          <w:tblHeader/>
        </w:trPr>
        <w:tc>
          <w:tcPr>
            <w:tcW w:w="3002" w:type="pct"/>
          </w:tcPr>
          <w:p w14:paraId="3D6AF9D6" w14:textId="77777777" w:rsidR="002B5D18" w:rsidRPr="00490C53" w:rsidRDefault="002B5D18">
            <w:pPr>
              <w:pStyle w:val="Tablecolumnheading-inkblue"/>
              <w:rPr>
                <w:b w:val="0"/>
                <w:color w:val="FFFFFF" w:themeColor="background1"/>
                <w:sz w:val="22"/>
                <w:szCs w:val="20"/>
              </w:rPr>
            </w:pPr>
            <w:r w:rsidRPr="00490C53">
              <w:rPr>
                <w:color w:val="FFFFFF" w:themeColor="background1"/>
                <w:sz w:val="22"/>
                <w:szCs w:val="20"/>
              </w:rPr>
              <w:t>Variable</w:t>
            </w:r>
          </w:p>
        </w:tc>
        <w:tc>
          <w:tcPr>
            <w:tcW w:w="999" w:type="pct"/>
          </w:tcPr>
          <w:p w14:paraId="4BFF508C"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BBLS</w:t>
            </w:r>
          </w:p>
        </w:tc>
        <w:tc>
          <w:tcPr>
            <w:tcW w:w="999" w:type="pct"/>
          </w:tcPr>
          <w:p w14:paraId="1CC1E17B"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CBILS/CLBILS</w:t>
            </w:r>
          </w:p>
        </w:tc>
      </w:tr>
      <w:tr w:rsidR="002B5D18" w:rsidRPr="00490C53" w14:paraId="1C4CE5B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2AA27B1F" w14:textId="77777777" w:rsidR="002B5D18" w:rsidRPr="00490C53" w:rsidRDefault="002B5D18">
            <w:pPr>
              <w:pStyle w:val="Tabletext"/>
            </w:pPr>
            <w:r w:rsidRPr="00490C53">
              <w:t>East / Midlands, post intervention (Year 2)</w:t>
            </w:r>
          </w:p>
        </w:tc>
        <w:tc>
          <w:tcPr>
            <w:tcW w:w="999" w:type="pct"/>
            <w:vAlign w:val="center"/>
          </w:tcPr>
          <w:p w14:paraId="365A1261" w14:textId="77777777" w:rsidR="002B5D18" w:rsidRPr="00490C53" w:rsidRDefault="002B5D18">
            <w:pPr>
              <w:pStyle w:val="Tabletext"/>
              <w:spacing w:before="0"/>
              <w:jc w:val="center"/>
              <w:rPr>
                <w:rStyle w:val="Bold"/>
                <w:b w:val="0"/>
              </w:rPr>
            </w:pPr>
            <w:r w:rsidRPr="00490C53">
              <w:t>-0.068</w:t>
            </w:r>
            <w:r w:rsidRPr="00490C53">
              <w:br/>
              <w:t>(0.045)</w:t>
            </w:r>
          </w:p>
        </w:tc>
        <w:tc>
          <w:tcPr>
            <w:tcW w:w="999" w:type="pct"/>
            <w:vAlign w:val="center"/>
          </w:tcPr>
          <w:p w14:paraId="387FDCF8" w14:textId="77777777" w:rsidR="002B5D18" w:rsidRPr="00490C53" w:rsidRDefault="002B5D18">
            <w:pPr>
              <w:pStyle w:val="Tabletext"/>
              <w:spacing w:before="0"/>
              <w:jc w:val="center"/>
              <w:rPr>
                <w:rStyle w:val="Bold"/>
                <w:b w:val="0"/>
              </w:rPr>
            </w:pPr>
            <w:r w:rsidRPr="00490C53">
              <w:t>-0.471</w:t>
            </w:r>
            <w:r w:rsidRPr="00490C53">
              <w:br/>
              <w:t>(0.338)</w:t>
            </w:r>
          </w:p>
        </w:tc>
      </w:tr>
      <w:tr w:rsidR="002B5D18" w:rsidRPr="00490C53" w14:paraId="079AEFA4" w14:textId="77777777">
        <w:tblPrEx>
          <w:tblCellMar>
            <w:left w:w="108" w:type="dxa"/>
            <w:right w:w="108" w:type="dxa"/>
          </w:tblCellMar>
        </w:tblPrEx>
        <w:tc>
          <w:tcPr>
            <w:tcW w:w="3002" w:type="pct"/>
            <w:vAlign w:val="center"/>
          </w:tcPr>
          <w:p w14:paraId="4D168715" w14:textId="77777777" w:rsidR="002B5D18" w:rsidRPr="00490C53" w:rsidRDefault="002B5D18">
            <w:pPr>
              <w:pStyle w:val="Tabletext"/>
            </w:pPr>
            <w:r w:rsidRPr="00490C53">
              <w:t>London, post intervention (Year 2)</w:t>
            </w:r>
          </w:p>
        </w:tc>
        <w:tc>
          <w:tcPr>
            <w:tcW w:w="999" w:type="pct"/>
            <w:vAlign w:val="center"/>
          </w:tcPr>
          <w:p w14:paraId="74492165" w14:textId="77777777" w:rsidR="002B5D18" w:rsidRPr="00490C53" w:rsidRDefault="002B5D18">
            <w:pPr>
              <w:pStyle w:val="Tabletext"/>
              <w:spacing w:before="0"/>
              <w:jc w:val="center"/>
              <w:rPr>
                <w:rStyle w:val="Bold"/>
                <w:b w:val="0"/>
              </w:rPr>
            </w:pPr>
            <w:r w:rsidRPr="00490C53">
              <w:t>-0.153</w:t>
            </w:r>
            <w:r w:rsidRPr="00490C53">
              <w:br/>
              <w:t>(0.247)</w:t>
            </w:r>
          </w:p>
        </w:tc>
        <w:tc>
          <w:tcPr>
            <w:tcW w:w="999" w:type="pct"/>
            <w:vAlign w:val="center"/>
          </w:tcPr>
          <w:p w14:paraId="349307B1" w14:textId="77777777" w:rsidR="002B5D18" w:rsidRPr="00490C53" w:rsidRDefault="002B5D18">
            <w:pPr>
              <w:pStyle w:val="Tabletext"/>
              <w:spacing w:before="0"/>
              <w:jc w:val="center"/>
              <w:rPr>
                <w:rStyle w:val="Bold"/>
                <w:b w:val="0"/>
              </w:rPr>
            </w:pPr>
            <w:r w:rsidRPr="00490C53">
              <w:t>0.236</w:t>
            </w:r>
            <w:r w:rsidRPr="00490C53">
              <w:br/>
              <w:t>(0.244)</w:t>
            </w:r>
          </w:p>
        </w:tc>
      </w:tr>
      <w:tr w:rsidR="002B5D18" w:rsidRPr="00490C53" w14:paraId="0E9C3D3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5DE80DFD" w14:textId="77777777" w:rsidR="002B5D18" w:rsidRPr="00490C53" w:rsidRDefault="002B5D18">
            <w:pPr>
              <w:pStyle w:val="Tabletext"/>
            </w:pPr>
            <w:r w:rsidRPr="00490C53">
              <w:t>North / Yorkshire, post intervention (Year 2)</w:t>
            </w:r>
          </w:p>
        </w:tc>
        <w:tc>
          <w:tcPr>
            <w:tcW w:w="999" w:type="pct"/>
            <w:vAlign w:val="center"/>
          </w:tcPr>
          <w:p w14:paraId="2A6D9195" w14:textId="77777777" w:rsidR="002B5D18" w:rsidRPr="00490C53" w:rsidRDefault="002B5D18">
            <w:pPr>
              <w:pStyle w:val="Tabletext"/>
              <w:spacing w:before="0"/>
              <w:jc w:val="center"/>
              <w:rPr>
                <w:rStyle w:val="Bold"/>
                <w:b w:val="0"/>
              </w:rPr>
            </w:pPr>
            <w:r w:rsidRPr="00490C53">
              <w:t>0.076</w:t>
            </w:r>
            <w:r w:rsidRPr="00490C53">
              <w:br/>
              <w:t>(0.120)</w:t>
            </w:r>
          </w:p>
        </w:tc>
        <w:tc>
          <w:tcPr>
            <w:tcW w:w="999" w:type="pct"/>
            <w:vAlign w:val="center"/>
          </w:tcPr>
          <w:p w14:paraId="4876BF78" w14:textId="77777777" w:rsidR="002B5D18" w:rsidRPr="00490C53" w:rsidRDefault="002B5D18">
            <w:pPr>
              <w:pStyle w:val="Tabletext"/>
              <w:spacing w:before="0"/>
              <w:jc w:val="center"/>
              <w:rPr>
                <w:rStyle w:val="Bold"/>
                <w:b w:val="0"/>
              </w:rPr>
            </w:pPr>
            <w:r w:rsidRPr="00490C53">
              <w:t>-0.124</w:t>
            </w:r>
            <w:r w:rsidRPr="00490C53">
              <w:br/>
              <w:t>(0.217)</w:t>
            </w:r>
          </w:p>
        </w:tc>
      </w:tr>
      <w:tr w:rsidR="002B5D18" w:rsidRPr="00490C53" w14:paraId="3E28E1EF" w14:textId="77777777">
        <w:tblPrEx>
          <w:tblCellMar>
            <w:left w:w="108" w:type="dxa"/>
            <w:right w:w="108" w:type="dxa"/>
          </w:tblCellMar>
        </w:tblPrEx>
        <w:tc>
          <w:tcPr>
            <w:tcW w:w="3002" w:type="pct"/>
            <w:vAlign w:val="center"/>
          </w:tcPr>
          <w:p w14:paraId="1AE5C3B9" w14:textId="77777777" w:rsidR="002B5D18" w:rsidRPr="00490C53" w:rsidRDefault="002B5D18">
            <w:pPr>
              <w:pStyle w:val="Tabletext"/>
            </w:pPr>
            <w:r w:rsidRPr="00490C53">
              <w:t>Northern Ireland, post intervention (Year 2)</w:t>
            </w:r>
          </w:p>
        </w:tc>
        <w:tc>
          <w:tcPr>
            <w:tcW w:w="999" w:type="pct"/>
            <w:vAlign w:val="center"/>
          </w:tcPr>
          <w:p w14:paraId="7B924806" w14:textId="77777777" w:rsidR="002B5D18" w:rsidRPr="00490C53" w:rsidRDefault="002B5D18">
            <w:pPr>
              <w:pStyle w:val="Tabletext"/>
              <w:spacing w:before="0"/>
              <w:jc w:val="center"/>
              <w:rPr>
                <w:rStyle w:val="Bold"/>
                <w:b w:val="0"/>
              </w:rPr>
            </w:pPr>
            <w:r w:rsidRPr="00490C53">
              <w:t>-0.168</w:t>
            </w:r>
            <w:r w:rsidRPr="00490C53">
              <w:br/>
              <w:t>(0.169)</w:t>
            </w:r>
          </w:p>
        </w:tc>
        <w:tc>
          <w:tcPr>
            <w:tcW w:w="999" w:type="pct"/>
            <w:vAlign w:val="center"/>
          </w:tcPr>
          <w:p w14:paraId="35E21ABF" w14:textId="77777777" w:rsidR="002B5D18" w:rsidRPr="00490C53" w:rsidRDefault="002B5D18">
            <w:pPr>
              <w:pStyle w:val="Tabletext"/>
              <w:spacing w:before="0"/>
              <w:jc w:val="center"/>
              <w:rPr>
                <w:rStyle w:val="Bold"/>
                <w:b w:val="0"/>
              </w:rPr>
            </w:pPr>
            <w:r w:rsidRPr="00490C53">
              <w:t>-0.335**</w:t>
            </w:r>
            <w:r w:rsidRPr="00490C53">
              <w:br/>
              <w:t>(0.075)</w:t>
            </w:r>
          </w:p>
        </w:tc>
      </w:tr>
      <w:tr w:rsidR="002B5D18" w:rsidRPr="00490C53" w14:paraId="14B85D4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417071C7" w14:textId="77777777" w:rsidR="002B5D18" w:rsidRPr="00490C53" w:rsidRDefault="002B5D18">
            <w:pPr>
              <w:pStyle w:val="Tabletext"/>
            </w:pPr>
            <w:r w:rsidRPr="00490C53">
              <w:t>Scotland, post intervention (Year 2)</w:t>
            </w:r>
          </w:p>
        </w:tc>
        <w:tc>
          <w:tcPr>
            <w:tcW w:w="999" w:type="pct"/>
            <w:vAlign w:val="center"/>
          </w:tcPr>
          <w:p w14:paraId="11C9C4F9" w14:textId="77777777" w:rsidR="002B5D18" w:rsidRPr="00490C53" w:rsidRDefault="002B5D18">
            <w:pPr>
              <w:pStyle w:val="Tabletext"/>
              <w:spacing w:before="0"/>
              <w:jc w:val="center"/>
              <w:rPr>
                <w:rStyle w:val="Bold"/>
                <w:b w:val="0"/>
              </w:rPr>
            </w:pPr>
            <w:r w:rsidRPr="00490C53">
              <w:t>-0.305**</w:t>
            </w:r>
            <w:r w:rsidRPr="00490C53">
              <w:br/>
              <w:t>(0.072)</w:t>
            </w:r>
          </w:p>
        </w:tc>
        <w:tc>
          <w:tcPr>
            <w:tcW w:w="999" w:type="pct"/>
            <w:vAlign w:val="center"/>
          </w:tcPr>
          <w:p w14:paraId="04964A98" w14:textId="77777777" w:rsidR="002B5D18" w:rsidRPr="00490C53" w:rsidRDefault="002B5D18">
            <w:pPr>
              <w:pStyle w:val="Tabletext"/>
              <w:spacing w:before="0"/>
              <w:jc w:val="center"/>
              <w:rPr>
                <w:rStyle w:val="Bold"/>
                <w:b w:val="0"/>
              </w:rPr>
            </w:pPr>
            <w:r w:rsidRPr="00490C53">
              <w:t>0.318***</w:t>
            </w:r>
            <w:r w:rsidRPr="00490C53">
              <w:br/>
              <w:t>(0.066)</w:t>
            </w:r>
          </w:p>
        </w:tc>
      </w:tr>
      <w:tr w:rsidR="002B5D18" w:rsidRPr="00490C53" w14:paraId="0C6D34D8" w14:textId="77777777">
        <w:tblPrEx>
          <w:tblCellMar>
            <w:left w:w="108" w:type="dxa"/>
            <w:right w:w="108" w:type="dxa"/>
          </w:tblCellMar>
        </w:tblPrEx>
        <w:tc>
          <w:tcPr>
            <w:tcW w:w="3002" w:type="pct"/>
            <w:vAlign w:val="center"/>
          </w:tcPr>
          <w:p w14:paraId="7FDFE94C" w14:textId="77777777" w:rsidR="002B5D18" w:rsidRPr="00490C53" w:rsidRDefault="002B5D18">
            <w:pPr>
              <w:pStyle w:val="Tabletext"/>
            </w:pPr>
            <w:r w:rsidRPr="00490C53">
              <w:t>South, post intervention (Year 2)</w:t>
            </w:r>
          </w:p>
        </w:tc>
        <w:tc>
          <w:tcPr>
            <w:tcW w:w="999" w:type="pct"/>
            <w:vAlign w:val="center"/>
          </w:tcPr>
          <w:p w14:paraId="4C060DC2" w14:textId="77777777" w:rsidR="002B5D18" w:rsidRPr="00490C53" w:rsidRDefault="002B5D18">
            <w:pPr>
              <w:pStyle w:val="Tabletext"/>
              <w:spacing w:before="0"/>
              <w:jc w:val="center"/>
              <w:rPr>
                <w:rStyle w:val="Bold"/>
                <w:b w:val="0"/>
              </w:rPr>
            </w:pPr>
            <w:r w:rsidRPr="00490C53">
              <w:t>0.097</w:t>
            </w:r>
            <w:r w:rsidRPr="00490C53">
              <w:br/>
              <w:t>(0.088)</w:t>
            </w:r>
          </w:p>
        </w:tc>
        <w:tc>
          <w:tcPr>
            <w:tcW w:w="999" w:type="pct"/>
            <w:vAlign w:val="center"/>
          </w:tcPr>
          <w:p w14:paraId="1F4A9CC7" w14:textId="77777777" w:rsidR="002B5D18" w:rsidRPr="00490C53" w:rsidRDefault="002B5D18">
            <w:pPr>
              <w:pStyle w:val="Tabletext"/>
              <w:spacing w:before="0"/>
              <w:jc w:val="center"/>
              <w:rPr>
                <w:rStyle w:val="Bold"/>
                <w:b w:val="0"/>
              </w:rPr>
            </w:pPr>
            <w:r w:rsidRPr="00490C53">
              <w:t>-0.308</w:t>
            </w:r>
            <w:r w:rsidRPr="00490C53">
              <w:br/>
              <w:t>(0.277)</w:t>
            </w:r>
          </w:p>
        </w:tc>
      </w:tr>
      <w:tr w:rsidR="002B5D18" w:rsidRPr="00490C53" w14:paraId="5762B1A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5490FEEF" w14:textId="77777777" w:rsidR="002B5D18" w:rsidRPr="00490C53" w:rsidRDefault="002B5D18">
            <w:pPr>
              <w:pStyle w:val="Tabletext"/>
            </w:pPr>
            <w:r w:rsidRPr="00490C53">
              <w:t>Wales, post intervention (Year 2)</w:t>
            </w:r>
          </w:p>
        </w:tc>
        <w:tc>
          <w:tcPr>
            <w:tcW w:w="999" w:type="pct"/>
            <w:vAlign w:val="center"/>
          </w:tcPr>
          <w:p w14:paraId="59910711" w14:textId="77777777" w:rsidR="002B5D18" w:rsidRPr="00490C53" w:rsidRDefault="002B5D18">
            <w:pPr>
              <w:pStyle w:val="Tabletext"/>
              <w:spacing w:before="0"/>
              <w:jc w:val="center"/>
              <w:rPr>
                <w:rStyle w:val="Bold"/>
                <w:b w:val="0"/>
              </w:rPr>
            </w:pPr>
            <w:r w:rsidRPr="00490C53">
              <w:t>-0.213</w:t>
            </w:r>
            <w:r w:rsidRPr="00490C53">
              <w:br/>
              <w:t>(0.259)</w:t>
            </w:r>
          </w:p>
        </w:tc>
        <w:tc>
          <w:tcPr>
            <w:tcW w:w="999" w:type="pct"/>
            <w:vAlign w:val="center"/>
          </w:tcPr>
          <w:p w14:paraId="2BC8F4C3" w14:textId="77777777" w:rsidR="002B5D18" w:rsidRPr="00490C53" w:rsidRDefault="002B5D18">
            <w:pPr>
              <w:pStyle w:val="Tabletext"/>
              <w:spacing w:before="0"/>
              <w:jc w:val="center"/>
              <w:rPr>
                <w:rStyle w:val="Bold"/>
                <w:b w:val="0"/>
              </w:rPr>
            </w:pPr>
            <w:r w:rsidRPr="00490C53">
              <w:t>-0.514***</w:t>
            </w:r>
            <w:r w:rsidRPr="00490C53">
              <w:br/>
              <w:t>(0.057)</w:t>
            </w:r>
          </w:p>
        </w:tc>
      </w:tr>
      <w:tr w:rsidR="002B5D18" w:rsidRPr="00490C53" w14:paraId="7013256A" w14:textId="77777777">
        <w:tblPrEx>
          <w:tblCellMar>
            <w:left w:w="108" w:type="dxa"/>
            <w:right w:w="108" w:type="dxa"/>
          </w:tblCellMar>
        </w:tblPrEx>
        <w:tc>
          <w:tcPr>
            <w:tcW w:w="3002" w:type="pct"/>
            <w:vAlign w:val="center"/>
          </w:tcPr>
          <w:p w14:paraId="00466B8D" w14:textId="77777777" w:rsidR="002B5D18" w:rsidRPr="00490C53" w:rsidRDefault="002B5D18">
            <w:pPr>
              <w:pStyle w:val="Tabletext"/>
            </w:pPr>
            <w:r w:rsidRPr="00490C53">
              <w:t>East / Midlands, Borrower, post intervention (Year 2)</w:t>
            </w:r>
          </w:p>
        </w:tc>
        <w:tc>
          <w:tcPr>
            <w:tcW w:w="999" w:type="pct"/>
            <w:vAlign w:val="center"/>
          </w:tcPr>
          <w:p w14:paraId="2898BAD1" w14:textId="77777777" w:rsidR="002B5D18" w:rsidRPr="00490C53" w:rsidRDefault="002B5D18">
            <w:pPr>
              <w:pStyle w:val="Tabletext"/>
              <w:spacing w:before="0"/>
              <w:jc w:val="center"/>
              <w:rPr>
                <w:rStyle w:val="Bold"/>
                <w:b w:val="0"/>
              </w:rPr>
            </w:pPr>
            <w:r w:rsidRPr="00490C53">
              <w:t>0.123</w:t>
            </w:r>
            <w:r w:rsidRPr="00490C53">
              <w:br/>
              <w:t>(0.128)</w:t>
            </w:r>
          </w:p>
        </w:tc>
        <w:tc>
          <w:tcPr>
            <w:tcW w:w="999" w:type="pct"/>
            <w:vAlign w:val="center"/>
          </w:tcPr>
          <w:p w14:paraId="0643BF6B" w14:textId="77777777" w:rsidR="002B5D18" w:rsidRPr="00490C53" w:rsidRDefault="002B5D18">
            <w:pPr>
              <w:pStyle w:val="Tabletext"/>
              <w:spacing w:before="0"/>
              <w:jc w:val="center"/>
              <w:rPr>
                <w:rStyle w:val="Bold"/>
                <w:b w:val="0"/>
              </w:rPr>
            </w:pPr>
            <w:r w:rsidRPr="00490C53">
              <w:t>0.325**</w:t>
            </w:r>
            <w:r w:rsidRPr="00490C53">
              <w:br/>
              <w:t>(0.097)</w:t>
            </w:r>
          </w:p>
        </w:tc>
      </w:tr>
      <w:tr w:rsidR="002B5D18" w:rsidRPr="00490C53" w14:paraId="4858444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298F4088" w14:textId="77777777" w:rsidR="002B5D18" w:rsidRPr="00490C53" w:rsidRDefault="002B5D18">
            <w:pPr>
              <w:pStyle w:val="Tabletext"/>
            </w:pPr>
            <w:r w:rsidRPr="00490C53">
              <w:t>London, Borrower, post intervention (Year 2)</w:t>
            </w:r>
          </w:p>
        </w:tc>
        <w:tc>
          <w:tcPr>
            <w:tcW w:w="999" w:type="pct"/>
            <w:vAlign w:val="center"/>
          </w:tcPr>
          <w:p w14:paraId="77AB5FF8" w14:textId="77777777" w:rsidR="002B5D18" w:rsidRPr="00490C53" w:rsidRDefault="002B5D18">
            <w:pPr>
              <w:pStyle w:val="Tabletext"/>
              <w:spacing w:before="0"/>
              <w:jc w:val="center"/>
              <w:rPr>
                <w:rStyle w:val="Bold"/>
                <w:b w:val="0"/>
              </w:rPr>
            </w:pPr>
            <w:r w:rsidRPr="00490C53">
              <w:t>-0.065</w:t>
            </w:r>
            <w:r w:rsidRPr="00490C53">
              <w:br/>
              <w:t>(0.246)</w:t>
            </w:r>
          </w:p>
        </w:tc>
        <w:tc>
          <w:tcPr>
            <w:tcW w:w="999" w:type="pct"/>
            <w:vAlign w:val="center"/>
          </w:tcPr>
          <w:p w14:paraId="048DA0A3" w14:textId="77777777" w:rsidR="002B5D18" w:rsidRPr="00490C53" w:rsidRDefault="002B5D18">
            <w:pPr>
              <w:pStyle w:val="Tabletext"/>
              <w:spacing w:before="0"/>
              <w:jc w:val="center"/>
              <w:rPr>
                <w:rStyle w:val="Bold"/>
                <w:b w:val="0"/>
              </w:rPr>
            </w:pPr>
            <w:r w:rsidRPr="00490C53">
              <w:t>-0.369**</w:t>
            </w:r>
            <w:r w:rsidRPr="00490C53">
              <w:br/>
              <w:t>(0.103)</w:t>
            </w:r>
          </w:p>
        </w:tc>
      </w:tr>
      <w:tr w:rsidR="002B5D18" w:rsidRPr="00490C53" w14:paraId="773397C8" w14:textId="77777777">
        <w:tblPrEx>
          <w:tblCellMar>
            <w:left w:w="108" w:type="dxa"/>
            <w:right w:w="108" w:type="dxa"/>
          </w:tblCellMar>
        </w:tblPrEx>
        <w:tc>
          <w:tcPr>
            <w:tcW w:w="3002" w:type="pct"/>
            <w:vAlign w:val="center"/>
          </w:tcPr>
          <w:p w14:paraId="7D4091C3" w14:textId="77777777" w:rsidR="002B5D18" w:rsidRPr="00490C53" w:rsidRDefault="002B5D18">
            <w:pPr>
              <w:pStyle w:val="Tabletext"/>
            </w:pPr>
            <w:r w:rsidRPr="00490C53">
              <w:t>North / Yorkshire, Borrower, post intervention (Year 2)</w:t>
            </w:r>
          </w:p>
        </w:tc>
        <w:tc>
          <w:tcPr>
            <w:tcW w:w="999" w:type="pct"/>
            <w:vAlign w:val="center"/>
          </w:tcPr>
          <w:p w14:paraId="3124DF99" w14:textId="77777777" w:rsidR="002B5D18" w:rsidRPr="00490C53" w:rsidRDefault="002B5D18">
            <w:pPr>
              <w:pStyle w:val="Tabletext"/>
              <w:spacing w:before="0"/>
              <w:jc w:val="center"/>
              <w:rPr>
                <w:rStyle w:val="Bold"/>
                <w:b w:val="0"/>
              </w:rPr>
            </w:pPr>
            <w:r w:rsidRPr="00490C53">
              <w:t>-0.176</w:t>
            </w:r>
            <w:r w:rsidRPr="00490C53">
              <w:br/>
              <w:t>(0.084)</w:t>
            </w:r>
          </w:p>
        </w:tc>
        <w:tc>
          <w:tcPr>
            <w:tcW w:w="999" w:type="pct"/>
            <w:vAlign w:val="center"/>
          </w:tcPr>
          <w:p w14:paraId="6EA2D0DD" w14:textId="77777777" w:rsidR="002B5D18" w:rsidRPr="00490C53" w:rsidRDefault="002B5D18">
            <w:pPr>
              <w:pStyle w:val="Tabletext"/>
              <w:spacing w:before="0"/>
              <w:jc w:val="center"/>
              <w:rPr>
                <w:rStyle w:val="Bold"/>
                <w:b w:val="0"/>
              </w:rPr>
            </w:pPr>
            <w:r w:rsidRPr="00490C53">
              <w:t>0.010</w:t>
            </w:r>
            <w:r w:rsidRPr="00490C53">
              <w:br/>
              <w:t>(0.367)</w:t>
            </w:r>
          </w:p>
        </w:tc>
      </w:tr>
      <w:tr w:rsidR="002B5D18" w:rsidRPr="00490C53" w14:paraId="18C18ED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1152CA45" w14:textId="77777777" w:rsidR="002B5D18" w:rsidRPr="00490C53" w:rsidRDefault="002B5D18">
            <w:pPr>
              <w:pStyle w:val="Tabletext"/>
            </w:pPr>
            <w:r w:rsidRPr="00490C53">
              <w:t>Northern Ireland, Borrower, post intervention (Year 2)</w:t>
            </w:r>
          </w:p>
        </w:tc>
        <w:tc>
          <w:tcPr>
            <w:tcW w:w="999" w:type="pct"/>
            <w:vAlign w:val="center"/>
          </w:tcPr>
          <w:p w14:paraId="30268139" w14:textId="77777777" w:rsidR="002B5D18" w:rsidRPr="00490C53" w:rsidRDefault="002B5D18">
            <w:pPr>
              <w:pStyle w:val="Tabletext"/>
              <w:spacing w:before="0"/>
              <w:jc w:val="center"/>
              <w:rPr>
                <w:rStyle w:val="Bold"/>
                <w:b w:val="0"/>
              </w:rPr>
            </w:pPr>
            <w:r w:rsidRPr="00490C53">
              <w:t>0.364</w:t>
            </w:r>
            <w:r w:rsidRPr="00490C53">
              <w:br/>
              <w:t>(0.332)</w:t>
            </w:r>
          </w:p>
        </w:tc>
        <w:tc>
          <w:tcPr>
            <w:tcW w:w="999" w:type="pct"/>
            <w:vAlign w:val="center"/>
          </w:tcPr>
          <w:p w14:paraId="50383E79" w14:textId="77777777" w:rsidR="002B5D18" w:rsidRPr="00490C53" w:rsidRDefault="002B5D18">
            <w:pPr>
              <w:pStyle w:val="Tabletext"/>
              <w:spacing w:before="0"/>
              <w:jc w:val="center"/>
              <w:rPr>
                <w:rStyle w:val="Bold"/>
                <w:b w:val="0"/>
              </w:rPr>
            </w:pPr>
            <w:r w:rsidRPr="00490C53">
              <w:t>1.398***</w:t>
            </w:r>
            <w:r w:rsidRPr="00490C53">
              <w:br/>
              <w:t>(0.184)</w:t>
            </w:r>
          </w:p>
        </w:tc>
      </w:tr>
      <w:tr w:rsidR="002B5D18" w:rsidRPr="00490C53" w14:paraId="725ABC72" w14:textId="77777777">
        <w:tblPrEx>
          <w:tblCellMar>
            <w:left w:w="108" w:type="dxa"/>
            <w:right w:w="108" w:type="dxa"/>
          </w:tblCellMar>
        </w:tblPrEx>
        <w:tc>
          <w:tcPr>
            <w:tcW w:w="3002" w:type="pct"/>
            <w:vAlign w:val="center"/>
          </w:tcPr>
          <w:p w14:paraId="54916A47" w14:textId="77777777" w:rsidR="002B5D18" w:rsidRPr="00490C53" w:rsidRDefault="002B5D18">
            <w:pPr>
              <w:pStyle w:val="Tabletext"/>
            </w:pPr>
            <w:r w:rsidRPr="00490C53">
              <w:t>Scotland, Borrower, post intervention (Year 2)</w:t>
            </w:r>
          </w:p>
        </w:tc>
        <w:tc>
          <w:tcPr>
            <w:tcW w:w="999" w:type="pct"/>
            <w:vAlign w:val="center"/>
          </w:tcPr>
          <w:p w14:paraId="69A70B05" w14:textId="77777777" w:rsidR="002B5D18" w:rsidRPr="00490C53" w:rsidRDefault="002B5D18">
            <w:pPr>
              <w:pStyle w:val="Tabletext"/>
              <w:spacing w:before="0"/>
              <w:jc w:val="center"/>
              <w:rPr>
                <w:rStyle w:val="Bold"/>
                <w:b w:val="0"/>
              </w:rPr>
            </w:pPr>
            <w:r w:rsidRPr="00490C53">
              <w:t>0.533*</w:t>
            </w:r>
            <w:r w:rsidRPr="00490C53">
              <w:br/>
              <w:t>(0.209)</w:t>
            </w:r>
          </w:p>
        </w:tc>
        <w:tc>
          <w:tcPr>
            <w:tcW w:w="999" w:type="pct"/>
            <w:vAlign w:val="center"/>
          </w:tcPr>
          <w:p w14:paraId="485EA7DE" w14:textId="77777777" w:rsidR="002B5D18" w:rsidRPr="00490C53" w:rsidRDefault="002B5D18">
            <w:pPr>
              <w:pStyle w:val="Tabletext"/>
              <w:spacing w:before="0"/>
              <w:jc w:val="center"/>
              <w:rPr>
                <w:rStyle w:val="Bold"/>
                <w:b w:val="0"/>
              </w:rPr>
            </w:pPr>
            <w:r w:rsidRPr="00490C53">
              <w:t>-0.558**</w:t>
            </w:r>
            <w:r w:rsidRPr="00490C53">
              <w:br/>
              <w:t>(0.177)</w:t>
            </w:r>
          </w:p>
        </w:tc>
      </w:tr>
      <w:tr w:rsidR="002B5D18" w:rsidRPr="00490C53" w14:paraId="2851B6B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1DFC6896" w14:textId="77777777" w:rsidR="002B5D18" w:rsidRPr="00490C53" w:rsidRDefault="002B5D18">
            <w:pPr>
              <w:pStyle w:val="Tabletext"/>
            </w:pPr>
            <w:r w:rsidRPr="00490C53">
              <w:t>South, Borrower, post intervention (Year 2)</w:t>
            </w:r>
          </w:p>
        </w:tc>
        <w:tc>
          <w:tcPr>
            <w:tcW w:w="999" w:type="pct"/>
            <w:vAlign w:val="center"/>
          </w:tcPr>
          <w:p w14:paraId="7745100A" w14:textId="77777777" w:rsidR="002B5D18" w:rsidRPr="00490C53" w:rsidRDefault="002B5D18">
            <w:pPr>
              <w:pStyle w:val="Tabletext"/>
              <w:spacing w:before="0"/>
              <w:jc w:val="center"/>
              <w:rPr>
                <w:rStyle w:val="Bold"/>
                <w:b w:val="0"/>
              </w:rPr>
            </w:pPr>
            <w:r w:rsidRPr="00490C53">
              <w:t>-0.250</w:t>
            </w:r>
            <w:r w:rsidRPr="00490C53">
              <w:br/>
              <w:t>(0.146)</w:t>
            </w:r>
          </w:p>
        </w:tc>
        <w:tc>
          <w:tcPr>
            <w:tcW w:w="999" w:type="pct"/>
            <w:vAlign w:val="center"/>
          </w:tcPr>
          <w:p w14:paraId="2F854FC3" w14:textId="77777777" w:rsidR="002B5D18" w:rsidRPr="00490C53" w:rsidRDefault="002B5D18">
            <w:pPr>
              <w:pStyle w:val="Tabletext"/>
              <w:spacing w:before="0"/>
              <w:jc w:val="center"/>
              <w:rPr>
                <w:rStyle w:val="Bold"/>
                <w:b w:val="0"/>
              </w:rPr>
            </w:pPr>
            <w:r w:rsidRPr="00490C53">
              <w:t>0.448</w:t>
            </w:r>
            <w:r w:rsidRPr="00490C53">
              <w:br/>
              <w:t>(0.269)</w:t>
            </w:r>
          </w:p>
        </w:tc>
      </w:tr>
      <w:tr w:rsidR="002B5D18" w:rsidRPr="00490C53" w14:paraId="20B771F5" w14:textId="77777777">
        <w:tblPrEx>
          <w:tblCellMar>
            <w:left w:w="108" w:type="dxa"/>
            <w:right w:w="108" w:type="dxa"/>
          </w:tblCellMar>
        </w:tblPrEx>
        <w:tc>
          <w:tcPr>
            <w:tcW w:w="3002" w:type="pct"/>
            <w:vAlign w:val="center"/>
          </w:tcPr>
          <w:p w14:paraId="61DA8FBF" w14:textId="77777777" w:rsidR="002B5D18" w:rsidRPr="00490C53" w:rsidRDefault="002B5D18">
            <w:pPr>
              <w:pStyle w:val="Tabletext"/>
            </w:pPr>
            <w:r w:rsidRPr="00490C53">
              <w:t>Wales, Borrower, post intervention (Year 2)</w:t>
            </w:r>
          </w:p>
        </w:tc>
        <w:tc>
          <w:tcPr>
            <w:tcW w:w="999" w:type="pct"/>
            <w:vAlign w:val="center"/>
          </w:tcPr>
          <w:p w14:paraId="18C97E5C" w14:textId="77777777" w:rsidR="002B5D18" w:rsidRPr="00490C53" w:rsidRDefault="002B5D18">
            <w:pPr>
              <w:pStyle w:val="Tabletext"/>
              <w:spacing w:before="0"/>
              <w:jc w:val="center"/>
              <w:rPr>
                <w:rStyle w:val="Bold"/>
                <w:b w:val="0"/>
              </w:rPr>
            </w:pPr>
            <w:r w:rsidRPr="00490C53">
              <w:t>0.314</w:t>
            </w:r>
            <w:r w:rsidRPr="00490C53">
              <w:br/>
              <w:t>(0.262)</w:t>
            </w:r>
          </w:p>
        </w:tc>
        <w:tc>
          <w:tcPr>
            <w:tcW w:w="999" w:type="pct"/>
            <w:vAlign w:val="center"/>
          </w:tcPr>
          <w:p w14:paraId="05015F73" w14:textId="77777777" w:rsidR="002B5D18" w:rsidRPr="00490C53" w:rsidRDefault="002B5D18">
            <w:pPr>
              <w:pStyle w:val="Tabletext"/>
              <w:spacing w:before="0"/>
              <w:jc w:val="center"/>
              <w:rPr>
                <w:rStyle w:val="Bold"/>
                <w:b w:val="0"/>
              </w:rPr>
            </w:pPr>
            <w:r w:rsidRPr="00490C53">
              <w:t>0.088</w:t>
            </w:r>
            <w:r w:rsidRPr="00490C53">
              <w:br/>
              <w:t>(0.144)</w:t>
            </w:r>
          </w:p>
        </w:tc>
      </w:tr>
      <w:tr w:rsidR="002B5D18" w:rsidRPr="00490C53" w14:paraId="0B2D5F4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389B79CE" w14:textId="77777777" w:rsidR="002B5D18" w:rsidRPr="00490C53" w:rsidRDefault="002B5D18">
            <w:pPr>
              <w:pStyle w:val="Tabletext"/>
            </w:pPr>
            <w:r w:rsidRPr="00490C53">
              <w:lastRenderedPageBreak/>
              <w:t>East / Midlands, post intervention (Year 1)</w:t>
            </w:r>
          </w:p>
        </w:tc>
        <w:tc>
          <w:tcPr>
            <w:tcW w:w="999" w:type="pct"/>
            <w:vAlign w:val="center"/>
          </w:tcPr>
          <w:p w14:paraId="3F9C9759" w14:textId="77777777" w:rsidR="002B5D18" w:rsidRPr="00490C53" w:rsidRDefault="002B5D18">
            <w:pPr>
              <w:pStyle w:val="Tabletext"/>
              <w:spacing w:before="0"/>
              <w:jc w:val="center"/>
              <w:rPr>
                <w:rStyle w:val="Bold"/>
                <w:b w:val="0"/>
              </w:rPr>
            </w:pPr>
            <w:r w:rsidRPr="00490C53">
              <w:t>-0.060</w:t>
            </w:r>
            <w:r w:rsidRPr="00490C53">
              <w:br/>
              <w:t>(0.040)</w:t>
            </w:r>
          </w:p>
        </w:tc>
        <w:tc>
          <w:tcPr>
            <w:tcW w:w="999" w:type="pct"/>
            <w:vAlign w:val="center"/>
          </w:tcPr>
          <w:p w14:paraId="7566FE0E" w14:textId="77777777" w:rsidR="002B5D18" w:rsidRPr="00490C53" w:rsidRDefault="002B5D18">
            <w:pPr>
              <w:pStyle w:val="Tabletext"/>
              <w:spacing w:before="0"/>
              <w:jc w:val="center"/>
              <w:rPr>
                <w:rStyle w:val="Bold"/>
                <w:b w:val="0"/>
              </w:rPr>
            </w:pPr>
            <w:r w:rsidRPr="00490C53">
              <w:t>-0.343</w:t>
            </w:r>
            <w:r w:rsidRPr="00490C53">
              <w:br/>
              <w:t>(0.197)</w:t>
            </w:r>
          </w:p>
        </w:tc>
      </w:tr>
      <w:tr w:rsidR="002B5D18" w:rsidRPr="00490C53" w14:paraId="03423052" w14:textId="77777777">
        <w:tblPrEx>
          <w:tblCellMar>
            <w:left w:w="108" w:type="dxa"/>
            <w:right w:w="108" w:type="dxa"/>
          </w:tblCellMar>
        </w:tblPrEx>
        <w:tc>
          <w:tcPr>
            <w:tcW w:w="3002" w:type="pct"/>
            <w:vAlign w:val="center"/>
          </w:tcPr>
          <w:p w14:paraId="66AD6BA1" w14:textId="77777777" w:rsidR="002B5D18" w:rsidRPr="00490C53" w:rsidRDefault="002B5D18">
            <w:pPr>
              <w:pStyle w:val="Tabletext"/>
            </w:pPr>
            <w:r w:rsidRPr="00490C53">
              <w:t>London, post intervention (Year 1)</w:t>
            </w:r>
          </w:p>
        </w:tc>
        <w:tc>
          <w:tcPr>
            <w:tcW w:w="999" w:type="pct"/>
            <w:vAlign w:val="center"/>
          </w:tcPr>
          <w:p w14:paraId="2606DFD9" w14:textId="77777777" w:rsidR="002B5D18" w:rsidRPr="00490C53" w:rsidRDefault="002B5D18">
            <w:pPr>
              <w:pStyle w:val="Tabletext"/>
              <w:spacing w:before="0"/>
              <w:jc w:val="center"/>
              <w:rPr>
                <w:rStyle w:val="Bold"/>
                <w:b w:val="0"/>
              </w:rPr>
            </w:pPr>
            <w:r w:rsidRPr="00490C53">
              <w:t>-0.626</w:t>
            </w:r>
            <w:r w:rsidRPr="00490C53">
              <w:br/>
              <w:t>(0.480)</w:t>
            </w:r>
          </w:p>
        </w:tc>
        <w:tc>
          <w:tcPr>
            <w:tcW w:w="999" w:type="pct"/>
            <w:vAlign w:val="center"/>
          </w:tcPr>
          <w:p w14:paraId="70C651EF" w14:textId="77777777" w:rsidR="002B5D18" w:rsidRPr="00490C53" w:rsidRDefault="002B5D18">
            <w:pPr>
              <w:pStyle w:val="Tabletext"/>
              <w:spacing w:before="0"/>
              <w:jc w:val="center"/>
              <w:rPr>
                <w:rStyle w:val="Bold"/>
                <w:b w:val="0"/>
              </w:rPr>
            </w:pPr>
            <w:r w:rsidRPr="00490C53">
              <w:t>-0.023</w:t>
            </w:r>
            <w:r w:rsidRPr="00490C53">
              <w:br/>
              <w:t>(0.150)</w:t>
            </w:r>
          </w:p>
        </w:tc>
      </w:tr>
      <w:tr w:rsidR="002B5D18" w:rsidRPr="00490C53" w14:paraId="2336472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1D445BE2" w14:textId="77777777" w:rsidR="002B5D18" w:rsidRPr="00490C53" w:rsidRDefault="002B5D18">
            <w:pPr>
              <w:pStyle w:val="Tabletext"/>
            </w:pPr>
            <w:r w:rsidRPr="00490C53">
              <w:t>North / Yorkshire, post intervention (Year 1)</w:t>
            </w:r>
          </w:p>
        </w:tc>
        <w:tc>
          <w:tcPr>
            <w:tcW w:w="999" w:type="pct"/>
            <w:vAlign w:val="center"/>
          </w:tcPr>
          <w:p w14:paraId="6285B961" w14:textId="77777777" w:rsidR="002B5D18" w:rsidRPr="00490C53" w:rsidRDefault="002B5D18">
            <w:pPr>
              <w:pStyle w:val="Tabletext"/>
              <w:spacing w:before="0"/>
              <w:jc w:val="center"/>
              <w:rPr>
                <w:rStyle w:val="Bold"/>
                <w:b w:val="0"/>
              </w:rPr>
            </w:pPr>
            <w:r w:rsidRPr="00490C53">
              <w:t>-0.082</w:t>
            </w:r>
            <w:r w:rsidRPr="00490C53">
              <w:br/>
              <w:t>(0.117)</w:t>
            </w:r>
          </w:p>
        </w:tc>
        <w:tc>
          <w:tcPr>
            <w:tcW w:w="999" w:type="pct"/>
            <w:vAlign w:val="center"/>
          </w:tcPr>
          <w:p w14:paraId="3F25ABA2" w14:textId="77777777" w:rsidR="002B5D18" w:rsidRPr="00490C53" w:rsidRDefault="002B5D18">
            <w:pPr>
              <w:pStyle w:val="Tabletext"/>
              <w:spacing w:before="0"/>
              <w:jc w:val="center"/>
              <w:rPr>
                <w:rStyle w:val="Bold"/>
                <w:b w:val="0"/>
              </w:rPr>
            </w:pPr>
            <w:r w:rsidRPr="00490C53">
              <w:t>-0.520**</w:t>
            </w:r>
            <w:r w:rsidRPr="00490C53">
              <w:br/>
              <w:t>(0.145)</w:t>
            </w:r>
          </w:p>
        </w:tc>
      </w:tr>
      <w:tr w:rsidR="002B5D18" w:rsidRPr="00490C53" w14:paraId="30B585F9" w14:textId="77777777">
        <w:tblPrEx>
          <w:tblCellMar>
            <w:left w:w="108" w:type="dxa"/>
            <w:right w:w="108" w:type="dxa"/>
          </w:tblCellMar>
        </w:tblPrEx>
        <w:tc>
          <w:tcPr>
            <w:tcW w:w="3002" w:type="pct"/>
            <w:vAlign w:val="center"/>
          </w:tcPr>
          <w:p w14:paraId="7455AE0A" w14:textId="77777777" w:rsidR="002B5D18" w:rsidRPr="00490C53" w:rsidRDefault="002B5D18">
            <w:pPr>
              <w:pStyle w:val="Tabletext"/>
            </w:pPr>
            <w:r w:rsidRPr="00490C53">
              <w:t>Northern Ireland, post intervention (Year 1)</w:t>
            </w:r>
          </w:p>
        </w:tc>
        <w:tc>
          <w:tcPr>
            <w:tcW w:w="999" w:type="pct"/>
            <w:vAlign w:val="center"/>
          </w:tcPr>
          <w:p w14:paraId="160298EA" w14:textId="77777777" w:rsidR="002B5D18" w:rsidRPr="00490C53" w:rsidRDefault="002B5D18">
            <w:pPr>
              <w:pStyle w:val="Tabletext"/>
              <w:spacing w:before="0"/>
              <w:jc w:val="center"/>
              <w:rPr>
                <w:rStyle w:val="Bold"/>
                <w:b w:val="0"/>
              </w:rPr>
            </w:pPr>
            <w:r w:rsidRPr="00490C53">
              <w:t>-0.120</w:t>
            </w:r>
            <w:r w:rsidRPr="00490C53">
              <w:br/>
              <w:t>(0.126)</w:t>
            </w:r>
          </w:p>
        </w:tc>
        <w:tc>
          <w:tcPr>
            <w:tcW w:w="999" w:type="pct"/>
            <w:vAlign w:val="center"/>
          </w:tcPr>
          <w:p w14:paraId="7CB11668" w14:textId="77777777" w:rsidR="002B5D18" w:rsidRPr="00490C53" w:rsidRDefault="002B5D18">
            <w:pPr>
              <w:pStyle w:val="Tabletext"/>
              <w:spacing w:before="0"/>
              <w:jc w:val="center"/>
              <w:rPr>
                <w:rStyle w:val="Bold"/>
                <w:b w:val="0"/>
              </w:rPr>
            </w:pPr>
            <w:r w:rsidRPr="00490C53">
              <w:t>-0.336</w:t>
            </w:r>
            <w:r w:rsidRPr="00490C53">
              <w:br/>
              <w:t>(0.158)</w:t>
            </w:r>
          </w:p>
        </w:tc>
      </w:tr>
      <w:tr w:rsidR="002B5D18" w:rsidRPr="00490C53" w14:paraId="391F316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3EE17467" w14:textId="77777777" w:rsidR="002B5D18" w:rsidRPr="00490C53" w:rsidRDefault="002B5D18">
            <w:pPr>
              <w:pStyle w:val="Tabletext"/>
            </w:pPr>
            <w:r w:rsidRPr="00490C53">
              <w:t>Scotland, post intervention (Year 1)</w:t>
            </w:r>
          </w:p>
        </w:tc>
        <w:tc>
          <w:tcPr>
            <w:tcW w:w="999" w:type="pct"/>
            <w:vAlign w:val="center"/>
          </w:tcPr>
          <w:p w14:paraId="6A3B702D" w14:textId="77777777" w:rsidR="002B5D18" w:rsidRPr="00490C53" w:rsidRDefault="002B5D18">
            <w:pPr>
              <w:pStyle w:val="Tabletext"/>
              <w:spacing w:before="0"/>
              <w:jc w:val="center"/>
              <w:rPr>
                <w:rStyle w:val="Bold"/>
                <w:b w:val="0"/>
              </w:rPr>
            </w:pPr>
            <w:r w:rsidRPr="00490C53">
              <w:t>-0.433*</w:t>
            </w:r>
            <w:r w:rsidRPr="00490C53">
              <w:br/>
              <w:t>(0.195)</w:t>
            </w:r>
          </w:p>
        </w:tc>
        <w:tc>
          <w:tcPr>
            <w:tcW w:w="999" w:type="pct"/>
            <w:vAlign w:val="center"/>
          </w:tcPr>
          <w:p w14:paraId="054B699C" w14:textId="77777777" w:rsidR="002B5D18" w:rsidRPr="00490C53" w:rsidRDefault="002B5D18">
            <w:pPr>
              <w:pStyle w:val="Tabletext"/>
              <w:spacing w:before="0"/>
              <w:jc w:val="center"/>
              <w:rPr>
                <w:rStyle w:val="Bold"/>
                <w:b w:val="0"/>
              </w:rPr>
            </w:pPr>
            <w:r w:rsidRPr="00490C53">
              <w:t>-0.224*</w:t>
            </w:r>
            <w:r w:rsidRPr="00490C53">
              <w:br/>
              <w:t>(0.100)</w:t>
            </w:r>
          </w:p>
        </w:tc>
      </w:tr>
      <w:tr w:rsidR="002B5D18" w:rsidRPr="00490C53" w14:paraId="6FDF5974" w14:textId="77777777">
        <w:tblPrEx>
          <w:tblCellMar>
            <w:left w:w="108" w:type="dxa"/>
            <w:right w:w="108" w:type="dxa"/>
          </w:tblCellMar>
        </w:tblPrEx>
        <w:tc>
          <w:tcPr>
            <w:tcW w:w="3002" w:type="pct"/>
            <w:vAlign w:val="center"/>
          </w:tcPr>
          <w:p w14:paraId="7CB825CB" w14:textId="77777777" w:rsidR="002B5D18" w:rsidRPr="00490C53" w:rsidRDefault="002B5D18">
            <w:pPr>
              <w:pStyle w:val="Tabletext"/>
            </w:pPr>
            <w:r w:rsidRPr="00490C53">
              <w:t>South, post intervention (Year 1)</w:t>
            </w:r>
          </w:p>
        </w:tc>
        <w:tc>
          <w:tcPr>
            <w:tcW w:w="999" w:type="pct"/>
            <w:vAlign w:val="center"/>
          </w:tcPr>
          <w:p w14:paraId="3F8EDEF9" w14:textId="77777777" w:rsidR="002B5D18" w:rsidRPr="00490C53" w:rsidRDefault="002B5D18">
            <w:pPr>
              <w:pStyle w:val="Tabletext"/>
              <w:spacing w:before="0"/>
              <w:jc w:val="center"/>
              <w:rPr>
                <w:rStyle w:val="Bold"/>
                <w:b w:val="0"/>
              </w:rPr>
            </w:pPr>
            <w:r w:rsidRPr="00490C53">
              <w:t>-0.193*</w:t>
            </w:r>
            <w:r w:rsidRPr="00490C53">
              <w:br/>
              <w:t>(0.074)</w:t>
            </w:r>
          </w:p>
        </w:tc>
        <w:tc>
          <w:tcPr>
            <w:tcW w:w="999" w:type="pct"/>
            <w:vAlign w:val="center"/>
          </w:tcPr>
          <w:p w14:paraId="670CC49B" w14:textId="77777777" w:rsidR="002B5D18" w:rsidRPr="00490C53" w:rsidRDefault="002B5D18">
            <w:pPr>
              <w:pStyle w:val="Tabletext"/>
              <w:spacing w:before="0"/>
              <w:jc w:val="center"/>
              <w:rPr>
                <w:rStyle w:val="Bold"/>
                <w:b w:val="0"/>
              </w:rPr>
            </w:pPr>
            <w:r w:rsidRPr="00490C53">
              <w:t>-0.274***</w:t>
            </w:r>
            <w:r w:rsidRPr="00490C53">
              <w:br/>
              <w:t>(0.050)</w:t>
            </w:r>
          </w:p>
        </w:tc>
      </w:tr>
      <w:tr w:rsidR="002B5D18" w:rsidRPr="00490C53" w14:paraId="5CCE3FD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6677AD9A" w14:textId="77777777" w:rsidR="002B5D18" w:rsidRPr="00490C53" w:rsidRDefault="002B5D18">
            <w:pPr>
              <w:pStyle w:val="Tabletext"/>
            </w:pPr>
            <w:r w:rsidRPr="00490C53">
              <w:t>Wales, post intervention (Year 1)</w:t>
            </w:r>
          </w:p>
        </w:tc>
        <w:tc>
          <w:tcPr>
            <w:tcW w:w="999" w:type="pct"/>
            <w:vAlign w:val="center"/>
          </w:tcPr>
          <w:p w14:paraId="184BCD88" w14:textId="77777777" w:rsidR="002B5D18" w:rsidRPr="00490C53" w:rsidRDefault="002B5D18">
            <w:pPr>
              <w:pStyle w:val="Tabletext"/>
              <w:spacing w:before="0"/>
              <w:jc w:val="center"/>
              <w:rPr>
                <w:rStyle w:val="Bold"/>
                <w:b w:val="0"/>
              </w:rPr>
            </w:pPr>
            <w:r w:rsidRPr="00490C53">
              <w:t>0.145</w:t>
            </w:r>
            <w:r w:rsidRPr="00490C53">
              <w:br/>
              <w:t>(0.081)</w:t>
            </w:r>
          </w:p>
        </w:tc>
        <w:tc>
          <w:tcPr>
            <w:tcW w:w="999" w:type="pct"/>
            <w:vAlign w:val="center"/>
          </w:tcPr>
          <w:p w14:paraId="2F18930E" w14:textId="77777777" w:rsidR="002B5D18" w:rsidRPr="00490C53" w:rsidRDefault="002B5D18">
            <w:pPr>
              <w:pStyle w:val="Tabletext"/>
              <w:spacing w:before="0"/>
              <w:jc w:val="center"/>
              <w:rPr>
                <w:rStyle w:val="Bold"/>
                <w:b w:val="0"/>
              </w:rPr>
            </w:pPr>
            <w:r w:rsidRPr="00490C53">
              <w:t>-0.217</w:t>
            </w:r>
            <w:r w:rsidRPr="00490C53">
              <w:br/>
              <w:t>(0.157)</w:t>
            </w:r>
          </w:p>
        </w:tc>
      </w:tr>
      <w:tr w:rsidR="002B5D18" w:rsidRPr="00490C53" w14:paraId="54782FA5" w14:textId="77777777">
        <w:tblPrEx>
          <w:tblCellMar>
            <w:left w:w="108" w:type="dxa"/>
            <w:right w:w="108" w:type="dxa"/>
          </w:tblCellMar>
        </w:tblPrEx>
        <w:tc>
          <w:tcPr>
            <w:tcW w:w="3002" w:type="pct"/>
            <w:vAlign w:val="center"/>
          </w:tcPr>
          <w:p w14:paraId="6F7457C6" w14:textId="77777777" w:rsidR="002B5D18" w:rsidRPr="00490C53" w:rsidRDefault="002B5D18">
            <w:pPr>
              <w:pStyle w:val="Tabletext"/>
            </w:pPr>
            <w:r w:rsidRPr="00490C53">
              <w:t>East / Midlands, Borrower, post intervention (Year 1)</w:t>
            </w:r>
          </w:p>
        </w:tc>
        <w:tc>
          <w:tcPr>
            <w:tcW w:w="999" w:type="pct"/>
            <w:vAlign w:val="center"/>
          </w:tcPr>
          <w:p w14:paraId="5D582F01" w14:textId="77777777" w:rsidR="002B5D18" w:rsidRPr="00490C53" w:rsidRDefault="002B5D18">
            <w:pPr>
              <w:pStyle w:val="Tabletext"/>
              <w:spacing w:before="0"/>
              <w:jc w:val="center"/>
              <w:rPr>
                <w:rStyle w:val="Bold"/>
                <w:b w:val="0"/>
              </w:rPr>
            </w:pPr>
            <w:r w:rsidRPr="00490C53">
              <w:t>-0.011</w:t>
            </w:r>
            <w:r w:rsidRPr="00490C53">
              <w:br/>
              <w:t>(0.094)</w:t>
            </w:r>
          </w:p>
        </w:tc>
        <w:tc>
          <w:tcPr>
            <w:tcW w:w="999" w:type="pct"/>
            <w:vAlign w:val="center"/>
          </w:tcPr>
          <w:p w14:paraId="1B101EBE" w14:textId="77777777" w:rsidR="002B5D18" w:rsidRPr="00490C53" w:rsidRDefault="002B5D18">
            <w:pPr>
              <w:pStyle w:val="Tabletext"/>
              <w:spacing w:before="0"/>
              <w:jc w:val="center"/>
              <w:rPr>
                <w:rStyle w:val="Bold"/>
                <w:b w:val="0"/>
              </w:rPr>
            </w:pPr>
            <w:r w:rsidRPr="00490C53">
              <w:t>0.014</w:t>
            </w:r>
            <w:r w:rsidRPr="00490C53">
              <w:br/>
              <w:t>(0.085)</w:t>
            </w:r>
          </w:p>
        </w:tc>
      </w:tr>
      <w:tr w:rsidR="002B5D18" w:rsidRPr="00490C53" w14:paraId="08342BB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21C8B7DE" w14:textId="77777777" w:rsidR="002B5D18" w:rsidRPr="00490C53" w:rsidRDefault="002B5D18">
            <w:pPr>
              <w:pStyle w:val="Tabletext"/>
            </w:pPr>
            <w:r w:rsidRPr="00490C53">
              <w:t>London, Borrower, post intervention (Year 1)</w:t>
            </w:r>
          </w:p>
        </w:tc>
        <w:tc>
          <w:tcPr>
            <w:tcW w:w="999" w:type="pct"/>
            <w:vAlign w:val="center"/>
          </w:tcPr>
          <w:p w14:paraId="2C427AD8" w14:textId="77777777" w:rsidR="002B5D18" w:rsidRPr="00490C53" w:rsidRDefault="002B5D18">
            <w:pPr>
              <w:pStyle w:val="Tabletext"/>
              <w:spacing w:before="0"/>
              <w:jc w:val="center"/>
              <w:rPr>
                <w:rStyle w:val="Bold"/>
                <w:b w:val="0"/>
              </w:rPr>
            </w:pPr>
            <w:r w:rsidRPr="00490C53">
              <w:t>0.328</w:t>
            </w:r>
            <w:r w:rsidRPr="00490C53">
              <w:br/>
              <w:t>(0.364)</w:t>
            </w:r>
          </w:p>
        </w:tc>
        <w:tc>
          <w:tcPr>
            <w:tcW w:w="999" w:type="pct"/>
            <w:vAlign w:val="center"/>
          </w:tcPr>
          <w:p w14:paraId="0D6F76FB" w14:textId="77777777" w:rsidR="002B5D18" w:rsidRPr="00490C53" w:rsidRDefault="002B5D18">
            <w:pPr>
              <w:pStyle w:val="Tabletext"/>
              <w:spacing w:before="0"/>
              <w:jc w:val="center"/>
              <w:rPr>
                <w:rStyle w:val="Bold"/>
                <w:b w:val="0"/>
              </w:rPr>
            </w:pPr>
            <w:r w:rsidRPr="00490C53">
              <w:t>-0.438**</w:t>
            </w:r>
            <w:r w:rsidRPr="00490C53">
              <w:br/>
              <w:t>(0.102)</w:t>
            </w:r>
          </w:p>
        </w:tc>
      </w:tr>
      <w:tr w:rsidR="002B5D18" w:rsidRPr="00490C53" w14:paraId="50D39647" w14:textId="77777777">
        <w:tblPrEx>
          <w:tblCellMar>
            <w:left w:w="108" w:type="dxa"/>
            <w:right w:w="108" w:type="dxa"/>
          </w:tblCellMar>
        </w:tblPrEx>
        <w:tc>
          <w:tcPr>
            <w:tcW w:w="3002" w:type="pct"/>
            <w:vAlign w:val="center"/>
          </w:tcPr>
          <w:p w14:paraId="547EC01C" w14:textId="77777777" w:rsidR="002B5D18" w:rsidRPr="00490C53" w:rsidRDefault="002B5D18">
            <w:pPr>
              <w:pStyle w:val="Tabletext"/>
            </w:pPr>
            <w:r w:rsidRPr="00490C53">
              <w:t>North / Yorkshire, Borrower, post intervention (Year 1)</w:t>
            </w:r>
          </w:p>
        </w:tc>
        <w:tc>
          <w:tcPr>
            <w:tcW w:w="999" w:type="pct"/>
            <w:vAlign w:val="center"/>
          </w:tcPr>
          <w:p w14:paraId="1D9CD2D5" w14:textId="77777777" w:rsidR="002B5D18" w:rsidRPr="00490C53" w:rsidRDefault="002B5D18">
            <w:pPr>
              <w:pStyle w:val="Tabletext"/>
              <w:spacing w:before="0"/>
              <w:jc w:val="center"/>
              <w:rPr>
                <w:rStyle w:val="Bold"/>
                <w:b w:val="0"/>
              </w:rPr>
            </w:pPr>
            <w:r w:rsidRPr="00490C53">
              <w:t>-0.035</w:t>
            </w:r>
            <w:r w:rsidRPr="00490C53">
              <w:br/>
              <w:t>(0.082)</w:t>
            </w:r>
          </w:p>
        </w:tc>
        <w:tc>
          <w:tcPr>
            <w:tcW w:w="999" w:type="pct"/>
            <w:vAlign w:val="center"/>
          </w:tcPr>
          <w:p w14:paraId="2450F4FF" w14:textId="77777777" w:rsidR="002B5D18" w:rsidRPr="00490C53" w:rsidRDefault="002B5D18">
            <w:pPr>
              <w:pStyle w:val="Tabletext"/>
              <w:spacing w:before="0"/>
              <w:jc w:val="center"/>
              <w:rPr>
                <w:rStyle w:val="Bold"/>
                <w:b w:val="0"/>
              </w:rPr>
            </w:pPr>
            <w:r w:rsidRPr="00490C53">
              <w:t>0.342*</w:t>
            </w:r>
            <w:r w:rsidRPr="00490C53">
              <w:br/>
              <w:t>(0.147)</w:t>
            </w:r>
          </w:p>
        </w:tc>
      </w:tr>
      <w:tr w:rsidR="002B5D18" w:rsidRPr="00490C53" w14:paraId="17D4B29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6039121C" w14:textId="77777777" w:rsidR="002B5D18" w:rsidRPr="00490C53" w:rsidRDefault="002B5D18">
            <w:pPr>
              <w:pStyle w:val="Tabletext"/>
            </w:pPr>
            <w:r w:rsidRPr="00490C53">
              <w:t>Northern Ireland, Borrower, post intervention (Year 1)</w:t>
            </w:r>
          </w:p>
        </w:tc>
        <w:tc>
          <w:tcPr>
            <w:tcW w:w="999" w:type="pct"/>
            <w:vAlign w:val="center"/>
          </w:tcPr>
          <w:p w14:paraId="0878A0BB" w14:textId="77777777" w:rsidR="002B5D18" w:rsidRPr="00490C53" w:rsidRDefault="002B5D18">
            <w:pPr>
              <w:pStyle w:val="Tabletext"/>
              <w:spacing w:before="0"/>
              <w:jc w:val="center"/>
              <w:rPr>
                <w:rStyle w:val="Bold"/>
                <w:b w:val="0"/>
              </w:rPr>
            </w:pPr>
            <w:r w:rsidRPr="00490C53">
              <w:t>-0.065</w:t>
            </w:r>
            <w:r w:rsidRPr="00490C53">
              <w:br/>
              <w:t>(0.059)</w:t>
            </w:r>
          </w:p>
        </w:tc>
        <w:tc>
          <w:tcPr>
            <w:tcW w:w="999" w:type="pct"/>
            <w:vAlign w:val="center"/>
          </w:tcPr>
          <w:p w14:paraId="16BAD045" w14:textId="77777777" w:rsidR="002B5D18" w:rsidRPr="00490C53" w:rsidRDefault="002B5D18">
            <w:pPr>
              <w:pStyle w:val="Tabletext"/>
              <w:spacing w:before="0"/>
              <w:jc w:val="center"/>
              <w:rPr>
                <w:rStyle w:val="Bold"/>
                <w:b w:val="0"/>
              </w:rPr>
            </w:pPr>
            <w:r w:rsidRPr="00490C53">
              <w:t>0.212</w:t>
            </w:r>
            <w:r w:rsidRPr="00490C53">
              <w:br/>
              <w:t>(0.123)</w:t>
            </w:r>
          </w:p>
        </w:tc>
      </w:tr>
      <w:tr w:rsidR="002B5D18" w:rsidRPr="00490C53" w14:paraId="0DA274A1" w14:textId="77777777">
        <w:tblPrEx>
          <w:tblCellMar>
            <w:left w:w="108" w:type="dxa"/>
            <w:right w:w="108" w:type="dxa"/>
          </w:tblCellMar>
        </w:tblPrEx>
        <w:tc>
          <w:tcPr>
            <w:tcW w:w="3002" w:type="pct"/>
            <w:vAlign w:val="center"/>
          </w:tcPr>
          <w:p w14:paraId="55D44EA7" w14:textId="77777777" w:rsidR="002B5D18" w:rsidRPr="00490C53" w:rsidRDefault="002B5D18">
            <w:pPr>
              <w:pStyle w:val="Tabletext"/>
            </w:pPr>
            <w:r w:rsidRPr="00490C53">
              <w:t>Scotland, Borrower, post intervention (Year 1)</w:t>
            </w:r>
          </w:p>
        </w:tc>
        <w:tc>
          <w:tcPr>
            <w:tcW w:w="999" w:type="pct"/>
            <w:vAlign w:val="center"/>
          </w:tcPr>
          <w:p w14:paraId="4CDA49EA" w14:textId="77777777" w:rsidR="002B5D18" w:rsidRPr="00490C53" w:rsidRDefault="002B5D18">
            <w:pPr>
              <w:pStyle w:val="Tabletext"/>
              <w:spacing w:before="0"/>
              <w:jc w:val="center"/>
              <w:rPr>
                <w:rStyle w:val="Bold"/>
                <w:b w:val="0"/>
              </w:rPr>
            </w:pPr>
            <w:r w:rsidRPr="00490C53">
              <w:t>0.310</w:t>
            </w:r>
            <w:r w:rsidRPr="00490C53">
              <w:br/>
              <w:t>(0.204)</w:t>
            </w:r>
          </w:p>
        </w:tc>
        <w:tc>
          <w:tcPr>
            <w:tcW w:w="999" w:type="pct"/>
            <w:vAlign w:val="center"/>
          </w:tcPr>
          <w:p w14:paraId="6D526967" w14:textId="77777777" w:rsidR="002B5D18" w:rsidRPr="00490C53" w:rsidRDefault="002B5D18">
            <w:pPr>
              <w:pStyle w:val="Tabletext"/>
              <w:spacing w:before="0"/>
              <w:jc w:val="center"/>
              <w:rPr>
                <w:rStyle w:val="Bold"/>
                <w:b w:val="0"/>
              </w:rPr>
            </w:pPr>
            <w:r w:rsidRPr="00490C53">
              <w:t>-0.048</w:t>
            </w:r>
            <w:r w:rsidRPr="00490C53">
              <w:br/>
              <w:t>(0.069)</w:t>
            </w:r>
          </w:p>
        </w:tc>
      </w:tr>
      <w:tr w:rsidR="002B5D18" w:rsidRPr="00490C53" w14:paraId="68F462F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2C6100A8" w14:textId="77777777" w:rsidR="002B5D18" w:rsidRPr="00490C53" w:rsidRDefault="002B5D18">
            <w:pPr>
              <w:pStyle w:val="Tabletext"/>
            </w:pPr>
            <w:r w:rsidRPr="00490C53">
              <w:t>South, Borrower, post intervention (Year 1)</w:t>
            </w:r>
          </w:p>
        </w:tc>
        <w:tc>
          <w:tcPr>
            <w:tcW w:w="999" w:type="pct"/>
            <w:vAlign w:val="center"/>
          </w:tcPr>
          <w:p w14:paraId="20630167" w14:textId="77777777" w:rsidR="002B5D18" w:rsidRPr="00490C53" w:rsidRDefault="002B5D18">
            <w:pPr>
              <w:pStyle w:val="Tabletext"/>
              <w:spacing w:before="0"/>
              <w:jc w:val="center"/>
              <w:rPr>
                <w:rStyle w:val="Bold"/>
                <w:b w:val="0"/>
              </w:rPr>
            </w:pPr>
            <w:r w:rsidRPr="00490C53">
              <w:t>-0.163</w:t>
            </w:r>
            <w:r w:rsidRPr="00490C53">
              <w:br/>
              <w:t>(0.123)</w:t>
            </w:r>
          </w:p>
        </w:tc>
        <w:tc>
          <w:tcPr>
            <w:tcW w:w="999" w:type="pct"/>
            <w:vAlign w:val="center"/>
          </w:tcPr>
          <w:p w14:paraId="11399421" w14:textId="77777777" w:rsidR="002B5D18" w:rsidRPr="00490C53" w:rsidRDefault="002B5D18">
            <w:pPr>
              <w:pStyle w:val="Tabletext"/>
              <w:spacing w:before="0"/>
              <w:jc w:val="center"/>
              <w:rPr>
                <w:rStyle w:val="Bold"/>
                <w:b w:val="0"/>
              </w:rPr>
            </w:pPr>
            <w:r w:rsidRPr="00490C53">
              <w:t>0.088</w:t>
            </w:r>
            <w:r w:rsidRPr="00490C53">
              <w:br/>
              <w:t>(0.080)</w:t>
            </w:r>
          </w:p>
        </w:tc>
      </w:tr>
      <w:tr w:rsidR="002B5D18" w:rsidRPr="00490C53" w14:paraId="78042FBF" w14:textId="77777777">
        <w:tblPrEx>
          <w:tblCellMar>
            <w:left w:w="108" w:type="dxa"/>
            <w:right w:w="108" w:type="dxa"/>
          </w:tblCellMar>
        </w:tblPrEx>
        <w:tc>
          <w:tcPr>
            <w:tcW w:w="3002" w:type="pct"/>
            <w:vAlign w:val="center"/>
          </w:tcPr>
          <w:p w14:paraId="0284B728" w14:textId="77777777" w:rsidR="002B5D18" w:rsidRPr="00490C53" w:rsidRDefault="002B5D18">
            <w:pPr>
              <w:pStyle w:val="Tabletext"/>
            </w:pPr>
            <w:r w:rsidRPr="00490C53">
              <w:t>Wales, Borrower, post intervention (Year 1)</w:t>
            </w:r>
          </w:p>
        </w:tc>
        <w:tc>
          <w:tcPr>
            <w:tcW w:w="999" w:type="pct"/>
            <w:vAlign w:val="center"/>
          </w:tcPr>
          <w:p w14:paraId="387339D2" w14:textId="77777777" w:rsidR="002B5D18" w:rsidRPr="00490C53" w:rsidRDefault="002B5D18">
            <w:pPr>
              <w:pStyle w:val="Tabletext"/>
              <w:spacing w:before="0"/>
              <w:jc w:val="center"/>
              <w:rPr>
                <w:rStyle w:val="Bold"/>
                <w:b w:val="0"/>
              </w:rPr>
            </w:pPr>
            <w:r w:rsidRPr="00490C53">
              <w:t>-0.182**</w:t>
            </w:r>
            <w:r w:rsidRPr="00490C53">
              <w:br/>
              <w:t>(0.064)</w:t>
            </w:r>
          </w:p>
        </w:tc>
        <w:tc>
          <w:tcPr>
            <w:tcW w:w="999" w:type="pct"/>
            <w:vAlign w:val="center"/>
          </w:tcPr>
          <w:p w14:paraId="377E0149" w14:textId="77777777" w:rsidR="002B5D18" w:rsidRPr="00490C53" w:rsidRDefault="002B5D18">
            <w:pPr>
              <w:pStyle w:val="Tabletext"/>
              <w:spacing w:before="0"/>
              <w:jc w:val="center"/>
              <w:rPr>
                <w:rStyle w:val="Bold"/>
                <w:b w:val="0"/>
              </w:rPr>
            </w:pPr>
            <w:r w:rsidRPr="00490C53">
              <w:t>0.055</w:t>
            </w:r>
            <w:r w:rsidRPr="00490C53">
              <w:br/>
              <w:t>(0.192)</w:t>
            </w:r>
          </w:p>
        </w:tc>
      </w:tr>
      <w:tr w:rsidR="002B5D18" w:rsidRPr="00490C53" w14:paraId="43F981E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53A8B79C" w14:textId="77777777" w:rsidR="002B5D18" w:rsidRPr="00490C53" w:rsidRDefault="002B5D18">
            <w:pPr>
              <w:pStyle w:val="Tabletext"/>
            </w:pPr>
            <w:r w:rsidRPr="00490C53">
              <w:t>Used CJRS</w:t>
            </w:r>
          </w:p>
        </w:tc>
        <w:tc>
          <w:tcPr>
            <w:tcW w:w="999" w:type="pct"/>
            <w:vAlign w:val="center"/>
          </w:tcPr>
          <w:p w14:paraId="0A98B404" w14:textId="77777777" w:rsidR="002B5D18" w:rsidRPr="00490C53" w:rsidRDefault="002B5D18">
            <w:pPr>
              <w:pStyle w:val="Tabletext"/>
              <w:spacing w:before="0"/>
              <w:jc w:val="center"/>
              <w:rPr>
                <w:rStyle w:val="Bold"/>
                <w:b w:val="0"/>
              </w:rPr>
            </w:pPr>
            <w:r w:rsidRPr="00490C53">
              <w:t>-0.110*</w:t>
            </w:r>
            <w:r w:rsidRPr="00490C53">
              <w:br/>
              <w:t>(0.041)</w:t>
            </w:r>
          </w:p>
        </w:tc>
        <w:tc>
          <w:tcPr>
            <w:tcW w:w="999" w:type="pct"/>
            <w:vAlign w:val="center"/>
          </w:tcPr>
          <w:p w14:paraId="1F3EB6DA" w14:textId="77777777" w:rsidR="002B5D18" w:rsidRPr="00490C53" w:rsidRDefault="002B5D18">
            <w:pPr>
              <w:pStyle w:val="Tabletext"/>
              <w:spacing w:before="0"/>
              <w:jc w:val="center"/>
              <w:rPr>
                <w:rStyle w:val="Bold"/>
                <w:b w:val="0"/>
              </w:rPr>
            </w:pPr>
            <w:r w:rsidRPr="00490C53">
              <w:t>0.005</w:t>
            </w:r>
            <w:r w:rsidRPr="00490C53">
              <w:br/>
              <w:t>(0.131)</w:t>
            </w:r>
          </w:p>
        </w:tc>
      </w:tr>
      <w:tr w:rsidR="002B5D18" w:rsidRPr="00490C53" w14:paraId="5BA72F19" w14:textId="77777777">
        <w:tblPrEx>
          <w:tblCellMar>
            <w:left w:w="108" w:type="dxa"/>
            <w:right w:w="108" w:type="dxa"/>
          </w:tblCellMar>
        </w:tblPrEx>
        <w:tc>
          <w:tcPr>
            <w:tcW w:w="3002" w:type="pct"/>
            <w:vAlign w:val="center"/>
          </w:tcPr>
          <w:p w14:paraId="55F9DB1A" w14:textId="77777777" w:rsidR="002B5D18" w:rsidRPr="00490C53" w:rsidDel="000A1204" w:rsidRDefault="002B5D18">
            <w:pPr>
              <w:pStyle w:val="Tabletext"/>
            </w:pPr>
            <w:r w:rsidRPr="00490C53">
              <w:lastRenderedPageBreak/>
              <w:t>Used VAT Deferral</w:t>
            </w:r>
          </w:p>
        </w:tc>
        <w:tc>
          <w:tcPr>
            <w:tcW w:w="999" w:type="pct"/>
            <w:vAlign w:val="center"/>
          </w:tcPr>
          <w:p w14:paraId="6D576044" w14:textId="77777777" w:rsidR="002B5D18" w:rsidRPr="00490C53" w:rsidRDefault="002B5D18">
            <w:pPr>
              <w:pStyle w:val="Tabletext"/>
              <w:spacing w:before="0"/>
              <w:jc w:val="center"/>
              <w:rPr>
                <w:rStyle w:val="Bold"/>
                <w:b w:val="0"/>
              </w:rPr>
            </w:pPr>
            <w:r w:rsidRPr="00490C53">
              <w:t>-0.006</w:t>
            </w:r>
            <w:r w:rsidRPr="00490C53">
              <w:br/>
              <w:t>(0.055)</w:t>
            </w:r>
          </w:p>
        </w:tc>
        <w:tc>
          <w:tcPr>
            <w:tcW w:w="999" w:type="pct"/>
            <w:vAlign w:val="center"/>
          </w:tcPr>
          <w:p w14:paraId="4C14F927" w14:textId="77777777" w:rsidR="002B5D18" w:rsidRPr="00490C53" w:rsidRDefault="002B5D18">
            <w:pPr>
              <w:pStyle w:val="Tabletext"/>
              <w:spacing w:before="0"/>
              <w:jc w:val="center"/>
              <w:rPr>
                <w:rStyle w:val="Bold"/>
                <w:b w:val="0"/>
              </w:rPr>
            </w:pPr>
            <w:r w:rsidRPr="00490C53">
              <w:t>0.030</w:t>
            </w:r>
            <w:r w:rsidRPr="00490C53">
              <w:br/>
              <w:t>(0.043)</w:t>
            </w:r>
          </w:p>
        </w:tc>
      </w:tr>
      <w:tr w:rsidR="002B5D18" w:rsidRPr="00490C53" w14:paraId="1197D12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37C6BB6F" w14:textId="77777777" w:rsidR="002B5D18" w:rsidRPr="00490C53" w:rsidDel="000A1204" w:rsidRDefault="002B5D18">
            <w:pPr>
              <w:pStyle w:val="Tabletext"/>
            </w:pPr>
            <w:r w:rsidRPr="00490C53">
              <w:t>Used Other Support</w:t>
            </w:r>
          </w:p>
        </w:tc>
        <w:tc>
          <w:tcPr>
            <w:tcW w:w="999" w:type="pct"/>
            <w:vAlign w:val="center"/>
          </w:tcPr>
          <w:p w14:paraId="5E1153A2" w14:textId="77777777" w:rsidR="002B5D18" w:rsidRPr="00490C53" w:rsidRDefault="002B5D18">
            <w:pPr>
              <w:pStyle w:val="Tabletext"/>
              <w:spacing w:before="0"/>
              <w:jc w:val="center"/>
              <w:rPr>
                <w:rStyle w:val="Bold"/>
                <w:b w:val="0"/>
              </w:rPr>
            </w:pPr>
            <w:r w:rsidRPr="00490C53">
              <w:t>-0.034</w:t>
            </w:r>
            <w:r w:rsidRPr="00490C53">
              <w:br/>
              <w:t>(0.050)</w:t>
            </w:r>
          </w:p>
        </w:tc>
        <w:tc>
          <w:tcPr>
            <w:tcW w:w="999" w:type="pct"/>
            <w:vAlign w:val="center"/>
          </w:tcPr>
          <w:p w14:paraId="59C26489" w14:textId="77777777" w:rsidR="002B5D18" w:rsidRPr="00490C53" w:rsidRDefault="002B5D18">
            <w:pPr>
              <w:pStyle w:val="Tabletext"/>
              <w:spacing w:before="0"/>
              <w:jc w:val="center"/>
              <w:rPr>
                <w:rStyle w:val="Bold"/>
                <w:b w:val="0"/>
              </w:rPr>
            </w:pPr>
            <w:r w:rsidRPr="00490C53">
              <w:t>0.093</w:t>
            </w:r>
            <w:r w:rsidRPr="00490C53">
              <w:br/>
              <w:t>(0.064)</w:t>
            </w:r>
          </w:p>
        </w:tc>
      </w:tr>
      <w:tr w:rsidR="002B5D18" w:rsidRPr="00490C53" w14:paraId="2FF6EED9" w14:textId="77777777">
        <w:tblPrEx>
          <w:tblCellMar>
            <w:left w:w="108" w:type="dxa"/>
            <w:right w:w="108" w:type="dxa"/>
          </w:tblCellMar>
        </w:tblPrEx>
        <w:tc>
          <w:tcPr>
            <w:tcW w:w="3002" w:type="pct"/>
            <w:vAlign w:val="center"/>
          </w:tcPr>
          <w:p w14:paraId="0840C3C1" w14:textId="77777777" w:rsidR="002B5D18" w:rsidRPr="00490C53" w:rsidDel="000A1204" w:rsidRDefault="002B5D18">
            <w:pPr>
              <w:pStyle w:val="Tabletext"/>
            </w:pPr>
            <w:r w:rsidRPr="00490C53">
              <w:t>Constant</w:t>
            </w:r>
          </w:p>
        </w:tc>
        <w:tc>
          <w:tcPr>
            <w:tcW w:w="999" w:type="pct"/>
            <w:vAlign w:val="center"/>
          </w:tcPr>
          <w:p w14:paraId="37A28820" w14:textId="77777777" w:rsidR="002B5D18" w:rsidRPr="00490C53" w:rsidRDefault="002B5D18">
            <w:pPr>
              <w:pStyle w:val="Tabletext"/>
              <w:spacing w:before="0"/>
              <w:jc w:val="center"/>
              <w:rPr>
                <w:rStyle w:val="Bold"/>
                <w:b w:val="0"/>
              </w:rPr>
            </w:pPr>
            <w:r w:rsidRPr="00490C53">
              <w:t>12.651***</w:t>
            </w:r>
            <w:r w:rsidRPr="00490C53">
              <w:br/>
              <w:t>(0.039)</w:t>
            </w:r>
          </w:p>
        </w:tc>
        <w:tc>
          <w:tcPr>
            <w:tcW w:w="999" w:type="pct"/>
            <w:vAlign w:val="center"/>
          </w:tcPr>
          <w:p w14:paraId="714CF243" w14:textId="77777777" w:rsidR="002B5D18" w:rsidRPr="00490C53" w:rsidRDefault="002B5D18">
            <w:pPr>
              <w:pStyle w:val="Tabletext"/>
              <w:spacing w:before="0"/>
              <w:jc w:val="center"/>
              <w:rPr>
                <w:rStyle w:val="Bold"/>
                <w:b w:val="0"/>
              </w:rPr>
            </w:pPr>
            <w:r w:rsidRPr="00490C53">
              <w:t>14.713***</w:t>
            </w:r>
            <w:r w:rsidRPr="00490C53">
              <w:br/>
              <w:t>(0.036)</w:t>
            </w:r>
          </w:p>
        </w:tc>
      </w:tr>
      <w:tr w:rsidR="002B5D18" w:rsidRPr="00490C53" w14:paraId="0FC2415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tcBorders>
              <w:top w:val="single" w:sz="4" w:space="0" w:color="0054BA"/>
            </w:tcBorders>
            <w:vAlign w:val="center"/>
          </w:tcPr>
          <w:p w14:paraId="2F35D413" w14:textId="77777777" w:rsidR="002B5D18" w:rsidRPr="00490C53" w:rsidRDefault="002B5D18">
            <w:pPr>
              <w:pStyle w:val="Tabletext"/>
            </w:pPr>
            <w:bookmarkStart w:id="278" w:name="_Hlk92834667"/>
            <w:r w:rsidRPr="00490C53">
              <w:t>Observations</w:t>
            </w:r>
          </w:p>
        </w:tc>
        <w:tc>
          <w:tcPr>
            <w:tcW w:w="999" w:type="pct"/>
            <w:tcBorders>
              <w:top w:val="single" w:sz="4" w:space="0" w:color="0054BA"/>
            </w:tcBorders>
            <w:vAlign w:val="center"/>
          </w:tcPr>
          <w:p w14:paraId="3F159D31" w14:textId="77777777" w:rsidR="002B5D18" w:rsidRPr="00490C53" w:rsidRDefault="002B5D18">
            <w:pPr>
              <w:pStyle w:val="Tabletext"/>
              <w:jc w:val="center"/>
              <w:rPr>
                <w:rStyle w:val="Bold"/>
                <w:b w:val="0"/>
              </w:rPr>
            </w:pPr>
            <w:r w:rsidRPr="00490C53">
              <w:t>2,157</w:t>
            </w:r>
          </w:p>
        </w:tc>
        <w:tc>
          <w:tcPr>
            <w:tcW w:w="999" w:type="pct"/>
            <w:tcBorders>
              <w:top w:val="single" w:sz="4" w:space="0" w:color="0054BA"/>
            </w:tcBorders>
            <w:vAlign w:val="center"/>
          </w:tcPr>
          <w:p w14:paraId="3B3C34CC" w14:textId="77777777" w:rsidR="002B5D18" w:rsidRPr="00490C53" w:rsidRDefault="002B5D18">
            <w:pPr>
              <w:pStyle w:val="Tabletext"/>
              <w:jc w:val="center"/>
              <w:rPr>
                <w:rStyle w:val="Bold"/>
                <w:b w:val="0"/>
              </w:rPr>
            </w:pPr>
            <w:r w:rsidRPr="00490C53">
              <w:t>1,505</w:t>
            </w:r>
          </w:p>
        </w:tc>
      </w:tr>
      <w:tr w:rsidR="002B5D18" w:rsidRPr="00490C53" w14:paraId="5F7E4C21" w14:textId="77777777">
        <w:tblPrEx>
          <w:tblCellMar>
            <w:left w:w="108" w:type="dxa"/>
            <w:right w:w="108" w:type="dxa"/>
          </w:tblCellMar>
        </w:tblPrEx>
        <w:tc>
          <w:tcPr>
            <w:tcW w:w="3002" w:type="pct"/>
            <w:vAlign w:val="center"/>
          </w:tcPr>
          <w:p w14:paraId="2A51682B" w14:textId="77777777" w:rsidR="002B5D18" w:rsidRPr="00490C53" w:rsidRDefault="002B5D18">
            <w:pPr>
              <w:pStyle w:val="Tabletext"/>
            </w:pPr>
            <w:r w:rsidRPr="00490C53">
              <w:t>R-squared</w:t>
            </w:r>
          </w:p>
        </w:tc>
        <w:tc>
          <w:tcPr>
            <w:tcW w:w="999" w:type="pct"/>
            <w:vAlign w:val="center"/>
          </w:tcPr>
          <w:p w14:paraId="101610FE" w14:textId="77777777" w:rsidR="002B5D18" w:rsidRPr="00490C53" w:rsidRDefault="002B5D18">
            <w:pPr>
              <w:pStyle w:val="Tabletext"/>
              <w:jc w:val="center"/>
              <w:rPr>
                <w:rStyle w:val="Bold"/>
                <w:b w:val="0"/>
              </w:rPr>
            </w:pPr>
            <w:r w:rsidRPr="00490C53">
              <w:t>0.136</w:t>
            </w:r>
          </w:p>
        </w:tc>
        <w:tc>
          <w:tcPr>
            <w:tcW w:w="999" w:type="pct"/>
            <w:vAlign w:val="center"/>
          </w:tcPr>
          <w:p w14:paraId="39968BCF" w14:textId="77777777" w:rsidR="002B5D18" w:rsidRPr="00490C53" w:rsidRDefault="002B5D18">
            <w:pPr>
              <w:pStyle w:val="Tabletext"/>
              <w:jc w:val="center"/>
              <w:rPr>
                <w:rStyle w:val="Bold"/>
                <w:b w:val="0"/>
              </w:rPr>
            </w:pPr>
            <w:r w:rsidRPr="00490C53">
              <w:t>0.098</w:t>
            </w:r>
          </w:p>
        </w:tc>
      </w:tr>
      <w:tr w:rsidR="002B5D18" w:rsidRPr="00490C53" w14:paraId="746C09A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tcBorders>
              <w:bottom w:val="single" w:sz="4" w:space="0" w:color="0054BA" w:themeColor="accent2"/>
            </w:tcBorders>
            <w:vAlign w:val="center"/>
          </w:tcPr>
          <w:p w14:paraId="0B3B7638" w14:textId="77777777" w:rsidR="002B5D18" w:rsidRPr="00490C53" w:rsidRDefault="002B5D18">
            <w:pPr>
              <w:pStyle w:val="Tabletext"/>
            </w:pPr>
            <w:r w:rsidRPr="00490C53">
              <w:t>Business fixed effects</w:t>
            </w:r>
          </w:p>
        </w:tc>
        <w:tc>
          <w:tcPr>
            <w:tcW w:w="999" w:type="pct"/>
            <w:tcBorders>
              <w:bottom w:val="single" w:sz="4" w:space="0" w:color="0054BA" w:themeColor="accent2"/>
            </w:tcBorders>
            <w:vAlign w:val="center"/>
          </w:tcPr>
          <w:p w14:paraId="0332E8DC" w14:textId="77777777" w:rsidR="002B5D18" w:rsidRPr="00490C53" w:rsidRDefault="002B5D18">
            <w:pPr>
              <w:pStyle w:val="Tabletext"/>
              <w:spacing w:before="0" w:line="240" w:lineRule="auto"/>
              <w:jc w:val="center"/>
              <w:rPr>
                <w:rStyle w:val="Bold"/>
                <w:rFonts w:cstheme="minorHAnsi"/>
                <w:sz w:val="22"/>
              </w:rPr>
            </w:pPr>
            <w:r w:rsidRPr="00490C53">
              <w:t>Yes</w:t>
            </w:r>
          </w:p>
        </w:tc>
        <w:tc>
          <w:tcPr>
            <w:tcW w:w="999" w:type="pct"/>
            <w:tcBorders>
              <w:bottom w:val="single" w:sz="4" w:space="0" w:color="0054BA" w:themeColor="accent2"/>
            </w:tcBorders>
            <w:vAlign w:val="center"/>
          </w:tcPr>
          <w:p w14:paraId="531C0155" w14:textId="77777777" w:rsidR="002B5D18" w:rsidRPr="00490C53" w:rsidRDefault="002B5D18">
            <w:pPr>
              <w:pStyle w:val="Tabletext"/>
              <w:spacing w:before="0" w:line="240" w:lineRule="auto"/>
              <w:jc w:val="center"/>
              <w:rPr>
                <w:rStyle w:val="Bold"/>
                <w:rFonts w:cstheme="minorHAnsi"/>
                <w:sz w:val="22"/>
              </w:rPr>
            </w:pPr>
            <w:r w:rsidRPr="00490C53">
              <w:t>Yes</w:t>
            </w:r>
          </w:p>
        </w:tc>
      </w:tr>
    </w:tbl>
    <w:bookmarkEnd w:id="278"/>
    <w:p w14:paraId="6FBBFCA0" w14:textId="77777777" w:rsidR="002B5D18" w:rsidRPr="00490C53" w:rsidRDefault="002B5D18" w:rsidP="002B5D18">
      <w:pPr>
        <w:pStyle w:val="Caption"/>
      </w:pPr>
      <w:r w:rsidRPr="00490C53">
        <w:t>Robust standard errors in parentheses. *** p-value&lt;0.01, ** p-value&lt;0.05, * p-value&lt;0.1. Source: London Economics’ analysis of survey data.</w:t>
      </w:r>
    </w:p>
    <w:p w14:paraId="19D76AC2" w14:textId="27D61EE8" w:rsidR="002B5D18" w:rsidRPr="00490C53" w:rsidRDefault="002B5D18" w:rsidP="002B5D18">
      <w:pPr>
        <w:pStyle w:val="Heading5"/>
      </w:pPr>
      <w:bookmarkStart w:id="279" w:name="_Ref124159755"/>
      <w:r w:rsidRPr="00490C53">
        <w:t xml:space="preserve">Table </w:t>
      </w:r>
      <w:r w:rsidRPr="00490C53">
        <w:fldChar w:fldCharType="begin"/>
      </w:r>
      <w:r w:rsidRPr="00490C53">
        <w:instrText>SEQ Table \* ARABIC</w:instrText>
      </w:r>
      <w:r w:rsidRPr="00490C53">
        <w:fldChar w:fldCharType="separate"/>
      </w:r>
      <w:r w:rsidR="00397D49">
        <w:rPr>
          <w:noProof/>
        </w:rPr>
        <w:t>34</w:t>
      </w:r>
      <w:r w:rsidRPr="00490C53">
        <w:fldChar w:fldCharType="end"/>
      </w:r>
      <w:bookmarkEnd w:id="279"/>
      <w:r w:rsidRPr="00490C53">
        <w:t>: Estimated impact of the Covid-19 Loan Guarantee Schemes on employment – by region</w:t>
      </w:r>
    </w:p>
    <w:tbl>
      <w:tblPr>
        <w:tblStyle w:val="TableGrid"/>
        <w:tblW w:w="5000" w:type="pct"/>
        <w:tblLook w:val="04A0" w:firstRow="1" w:lastRow="0" w:firstColumn="1" w:lastColumn="0" w:noHBand="0" w:noVBand="1"/>
      </w:tblPr>
      <w:tblGrid>
        <w:gridCol w:w="6096"/>
        <w:gridCol w:w="2029"/>
        <w:gridCol w:w="2029"/>
      </w:tblGrid>
      <w:tr w:rsidR="002B5D18" w:rsidRPr="00490C53" w14:paraId="40F13D6E" w14:textId="77777777">
        <w:trPr>
          <w:cnfStyle w:val="100000000000" w:firstRow="1" w:lastRow="0" w:firstColumn="0" w:lastColumn="0" w:oddVBand="0" w:evenVBand="0" w:oddHBand="0" w:evenHBand="0" w:firstRowFirstColumn="0" w:firstRowLastColumn="0" w:lastRowFirstColumn="0" w:lastRowLastColumn="0"/>
          <w:tblHeader/>
        </w:trPr>
        <w:tc>
          <w:tcPr>
            <w:tcW w:w="3002" w:type="pct"/>
          </w:tcPr>
          <w:p w14:paraId="782745DA" w14:textId="77777777" w:rsidR="002B5D18" w:rsidRPr="00490C53" w:rsidRDefault="002B5D18">
            <w:pPr>
              <w:pStyle w:val="Tablecolumnheading-inkblue"/>
              <w:rPr>
                <w:b w:val="0"/>
                <w:color w:val="FFFFFF" w:themeColor="background1"/>
                <w:sz w:val="22"/>
                <w:szCs w:val="20"/>
              </w:rPr>
            </w:pPr>
            <w:r w:rsidRPr="00490C53">
              <w:rPr>
                <w:color w:val="FFFFFF" w:themeColor="background1"/>
                <w:sz w:val="22"/>
                <w:szCs w:val="20"/>
              </w:rPr>
              <w:t>Variable</w:t>
            </w:r>
          </w:p>
        </w:tc>
        <w:tc>
          <w:tcPr>
            <w:tcW w:w="999" w:type="pct"/>
          </w:tcPr>
          <w:p w14:paraId="15AFB0F0"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BBLS</w:t>
            </w:r>
          </w:p>
        </w:tc>
        <w:tc>
          <w:tcPr>
            <w:tcW w:w="999" w:type="pct"/>
          </w:tcPr>
          <w:p w14:paraId="10239AAB"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CBILS/CLBILS</w:t>
            </w:r>
          </w:p>
        </w:tc>
      </w:tr>
      <w:tr w:rsidR="002B5D18" w:rsidRPr="00490C53" w14:paraId="3D73136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01CE7E5B" w14:textId="77777777" w:rsidR="002B5D18" w:rsidRPr="00490C53" w:rsidRDefault="002B5D18">
            <w:pPr>
              <w:pStyle w:val="Tabletext"/>
            </w:pPr>
            <w:r w:rsidRPr="00490C53">
              <w:t>East / Midlands, post intervention (Year 2)</w:t>
            </w:r>
          </w:p>
        </w:tc>
        <w:tc>
          <w:tcPr>
            <w:tcW w:w="999" w:type="pct"/>
            <w:vAlign w:val="center"/>
          </w:tcPr>
          <w:p w14:paraId="69D210EB" w14:textId="77777777" w:rsidR="002B5D18" w:rsidRPr="00490C53" w:rsidRDefault="002B5D18">
            <w:pPr>
              <w:pStyle w:val="Tabletext"/>
              <w:spacing w:before="0"/>
              <w:jc w:val="center"/>
              <w:rPr>
                <w:rStyle w:val="Bold"/>
                <w:b w:val="0"/>
              </w:rPr>
            </w:pPr>
            <w:r w:rsidRPr="00490C53">
              <w:t>0.098</w:t>
            </w:r>
            <w:r w:rsidRPr="00490C53">
              <w:br/>
              <w:t>(0.071)</w:t>
            </w:r>
          </w:p>
        </w:tc>
        <w:tc>
          <w:tcPr>
            <w:tcW w:w="999" w:type="pct"/>
            <w:vAlign w:val="center"/>
          </w:tcPr>
          <w:p w14:paraId="3ADFF97D" w14:textId="77777777" w:rsidR="002B5D18" w:rsidRPr="00490C53" w:rsidRDefault="002B5D18">
            <w:pPr>
              <w:pStyle w:val="Tabletext"/>
              <w:spacing w:before="0"/>
              <w:jc w:val="center"/>
              <w:rPr>
                <w:rStyle w:val="Bold"/>
                <w:b w:val="0"/>
              </w:rPr>
            </w:pPr>
            <w:r w:rsidRPr="00490C53">
              <w:t>0.193*</w:t>
            </w:r>
            <w:r w:rsidRPr="00490C53">
              <w:br/>
              <w:t>(0.086)</w:t>
            </w:r>
          </w:p>
        </w:tc>
      </w:tr>
      <w:tr w:rsidR="002B5D18" w:rsidRPr="00490C53" w14:paraId="2506270C" w14:textId="77777777">
        <w:tblPrEx>
          <w:tblCellMar>
            <w:left w:w="108" w:type="dxa"/>
            <w:right w:w="108" w:type="dxa"/>
          </w:tblCellMar>
        </w:tblPrEx>
        <w:tc>
          <w:tcPr>
            <w:tcW w:w="3002" w:type="pct"/>
            <w:vAlign w:val="center"/>
          </w:tcPr>
          <w:p w14:paraId="02BBBB26" w14:textId="77777777" w:rsidR="002B5D18" w:rsidRPr="00490C53" w:rsidRDefault="002B5D18">
            <w:pPr>
              <w:pStyle w:val="Tabletext"/>
            </w:pPr>
            <w:r w:rsidRPr="00490C53">
              <w:t>London, post intervention (Year 2)</w:t>
            </w:r>
          </w:p>
        </w:tc>
        <w:tc>
          <w:tcPr>
            <w:tcW w:w="999" w:type="pct"/>
            <w:vAlign w:val="center"/>
          </w:tcPr>
          <w:p w14:paraId="77074FC8" w14:textId="77777777" w:rsidR="002B5D18" w:rsidRPr="00490C53" w:rsidRDefault="002B5D18">
            <w:pPr>
              <w:pStyle w:val="Tabletext"/>
              <w:spacing w:before="0"/>
              <w:jc w:val="center"/>
              <w:rPr>
                <w:rStyle w:val="Bold"/>
                <w:b w:val="0"/>
              </w:rPr>
            </w:pPr>
            <w:r w:rsidRPr="00490C53">
              <w:t>0.077</w:t>
            </w:r>
            <w:r w:rsidRPr="00490C53">
              <w:br/>
              <w:t>(0.164)</w:t>
            </w:r>
          </w:p>
        </w:tc>
        <w:tc>
          <w:tcPr>
            <w:tcW w:w="999" w:type="pct"/>
            <w:vAlign w:val="center"/>
          </w:tcPr>
          <w:p w14:paraId="6E8CA796" w14:textId="77777777" w:rsidR="002B5D18" w:rsidRPr="00490C53" w:rsidRDefault="002B5D18">
            <w:pPr>
              <w:pStyle w:val="Tabletext"/>
              <w:spacing w:before="0"/>
              <w:jc w:val="center"/>
              <w:rPr>
                <w:rStyle w:val="Bold"/>
                <w:b w:val="0"/>
              </w:rPr>
            </w:pPr>
            <w:r w:rsidRPr="00490C53">
              <w:t>0.071</w:t>
            </w:r>
            <w:r w:rsidRPr="00490C53">
              <w:br/>
              <w:t>(0.057)</w:t>
            </w:r>
          </w:p>
        </w:tc>
      </w:tr>
      <w:tr w:rsidR="002B5D18" w:rsidRPr="00490C53" w14:paraId="0D5F27D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7814AD14" w14:textId="77777777" w:rsidR="002B5D18" w:rsidRPr="00490C53" w:rsidRDefault="002B5D18">
            <w:pPr>
              <w:pStyle w:val="Tabletext"/>
            </w:pPr>
            <w:r w:rsidRPr="00490C53">
              <w:t>North / Yorkshire, post intervention (Year 2)</w:t>
            </w:r>
          </w:p>
        </w:tc>
        <w:tc>
          <w:tcPr>
            <w:tcW w:w="999" w:type="pct"/>
            <w:vAlign w:val="center"/>
          </w:tcPr>
          <w:p w14:paraId="4C40E189" w14:textId="77777777" w:rsidR="002B5D18" w:rsidRPr="00490C53" w:rsidRDefault="002B5D18">
            <w:pPr>
              <w:pStyle w:val="Tabletext"/>
              <w:spacing w:before="0"/>
              <w:jc w:val="center"/>
              <w:rPr>
                <w:rStyle w:val="Bold"/>
                <w:b w:val="0"/>
              </w:rPr>
            </w:pPr>
            <w:r w:rsidRPr="00490C53">
              <w:t>-0.015</w:t>
            </w:r>
            <w:r w:rsidRPr="00490C53">
              <w:br/>
              <w:t>(0.051)</w:t>
            </w:r>
          </w:p>
        </w:tc>
        <w:tc>
          <w:tcPr>
            <w:tcW w:w="999" w:type="pct"/>
            <w:vAlign w:val="center"/>
          </w:tcPr>
          <w:p w14:paraId="7019159D" w14:textId="77777777" w:rsidR="002B5D18" w:rsidRPr="00490C53" w:rsidRDefault="002B5D18">
            <w:pPr>
              <w:pStyle w:val="Tabletext"/>
              <w:spacing w:before="0"/>
              <w:jc w:val="center"/>
              <w:rPr>
                <w:rStyle w:val="Bold"/>
                <w:b w:val="0"/>
              </w:rPr>
            </w:pPr>
            <w:r w:rsidRPr="00490C53">
              <w:t>0.176</w:t>
            </w:r>
            <w:r w:rsidRPr="00490C53">
              <w:br/>
              <w:t>(0.173)</w:t>
            </w:r>
          </w:p>
        </w:tc>
      </w:tr>
      <w:tr w:rsidR="002B5D18" w:rsidRPr="00490C53" w14:paraId="17C91F10" w14:textId="77777777">
        <w:tblPrEx>
          <w:tblCellMar>
            <w:left w:w="108" w:type="dxa"/>
            <w:right w:w="108" w:type="dxa"/>
          </w:tblCellMar>
        </w:tblPrEx>
        <w:tc>
          <w:tcPr>
            <w:tcW w:w="3002" w:type="pct"/>
            <w:vAlign w:val="center"/>
          </w:tcPr>
          <w:p w14:paraId="16891EA2" w14:textId="77777777" w:rsidR="002B5D18" w:rsidRPr="00490C53" w:rsidRDefault="002B5D18">
            <w:pPr>
              <w:pStyle w:val="Tabletext"/>
            </w:pPr>
            <w:r w:rsidRPr="00490C53">
              <w:t>Northern Ireland, post intervention (Year 2)</w:t>
            </w:r>
          </w:p>
        </w:tc>
        <w:tc>
          <w:tcPr>
            <w:tcW w:w="999" w:type="pct"/>
            <w:vAlign w:val="center"/>
          </w:tcPr>
          <w:p w14:paraId="2568DC0F" w14:textId="77777777" w:rsidR="002B5D18" w:rsidRPr="00490C53" w:rsidRDefault="002B5D18">
            <w:pPr>
              <w:pStyle w:val="Tabletext"/>
              <w:spacing w:before="0"/>
              <w:jc w:val="center"/>
              <w:rPr>
                <w:rStyle w:val="Bold"/>
                <w:b w:val="0"/>
              </w:rPr>
            </w:pPr>
            <w:r w:rsidRPr="00490C53">
              <w:t>-0.175</w:t>
            </w:r>
            <w:r w:rsidRPr="00490C53">
              <w:br/>
              <w:t>(0.098)</w:t>
            </w:r>
          </w:p>
        </w:tc>
        <w:tc>
          <w:tcPr>
            <w:tcW w:w="999" w:type="pct"/>
            <w:vAlign w:val="center"/>
          </w:tcPr>
          <w:p w14:paraId="42CEEF8F" w14:textId="77777777" w:rsidR="002B5D18" w:rsidRPr="00490C53" w:rsidRDefault="002B5D18">
            <w:pPr>
              <w:pStyle w:val="Tabletext"/>
              <w:spacing w:before="0"/>
              <w:jc w:val="center"/>
              <w:rPr>
                <w:rStyle w:val="Bold"/>
                <w:b w:val="0"/>
              </w:rPr>
            </w:pPr>
            <w:r w:rsidRPr="00490C53">
              <w:t>-0.175</w:t>
            </w:r>
            <w:r w:rsidRPr="00490C53">
              <w:br/>
              <w:t>(0.137)</w:t>
            </w:r>
          </w:p>
        </w:tc>
      </w:tr>
      <w:tr w:rsidR="002B5D18" w:rsidRPr="00490C53" w14:paraId="1D5A67B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19B961B0" w14:textId="77777777" w:rsidR="002B5D18" w:rsidRPr="00490C53" w:rsidRDefault="002B5D18">
            <w:pPr>
              <w:pStyle w:val="Tabletext"/>
            </w:pPr>
            <w:r w:rsidRPr="00490C53">
              <w:t>Scotland, post intervention (Year 2)</w:t>
            </w:r>
          </w:p>
        </w:tc>
        <w:tc>
          <w:tcPr>
            <w:tcW w:w="999" w:type="pct"/>
            <w:vAlign w:val="center"/>
          </w:tcPr>
          <w:p w14:paraId="77E54B3D" w14:textId="77777777" w:rsidR="002B5D18" w:rsidRPr="00490C53" w:rsidRDefault="002B5D18">
            <w:pPr>
              <w:pStyle w:val="Tabletext"/>
              <w:spacing w:before="0"/>
              <w:jc w:val="center"/>
              <w:rPr>
                <w:rStyle w:val="Bold"/>
                <w:b w:val="0"/>
              </w:rPr>
            </w:pPr>
            <w:r w:rsidRPr="00490C53">
              <w:t>-0.003</w:t>
            </w:r>
            <w:r w:rsidRPr="00490C53">
              <w:br/>
              <w:t>(0.013)</w:t>
            </w:r>
          </w:p>
        </w:tc>
        <w:tc>
          <w:tcPr>
            <w:tcW w:w="999" w:type="pct"/>
            <w:vAlign w:val="center"/>
          </w:tcPr>
          <w:p w14:paraId="32846D1B" w14:textId="77777777" w:rsidR="002B5D18" w:rsidRPr="00490C53" w:rsidRDefault="002B5D18">
            <w:pPr>
              <w:pStyle w:val="Tabletext"/>
              <w:spacing w:before="0"/>
              <w:jc w:val="center"/>
              <w:rPr>
                <w:rStyle w:val="Bold"/>
                <w:b w:val="0"/>
              </w:rPr>
            </w:pPr>
            <w:r w:rsidRPr="00490C53">
              <w:t>0.087</w:t>
            </w:r>
            <w:r w:rsidRPr="00490C53">
              <w:br/>
              <w:t>(0.070)</w:t>
            </w:r>
          </w:p>
        </w:tc>
      </w:tr>
      <w:tr w:rsidR="002B5D18" w:rsidRPr="00490C53" w14:paraId="4BA90F4F" w14:textId="77777777">
        <w:tblPrEx>
          <w:tblCellMar>
            <w:left w:w="108" w:type="dxa"/>
            <w:right w:w="108" w:type="dxa"/>
          </w:tblCellMar>
        </w:tblPrEx>
        <w:tc>
          <w:tcPr>
            <w:tcW w:w="3002" w:type="pct"/>
            <w:vAlign w:val="center"/>
          </w:tcPr>
          <w:p w14:paraId="3049DF8D" w14:textId="77777777" w:rsidR="002B5D18" w:rsidRPr="00490C53" w:rsidRDefault="002B5D18">
            <w:pPr>
              <w:pStyle w:val="Tabletext"/>
            </w:pPr>
            <w:r w:rsidRPr="00490C53">
              <w:t>South, post intervention (Year 2)</w:t>
            </w:r>
          </w:p>
        </w:tc>
        <w:tc>
          <w:tcPr>
            <w:tcW w:w="999" w:type="pct"/>
            <w:vAlign w:val="center"/>
          </w:tcPr>
          <w:p w14:paraId="1D11F8AB" w14:textId="77777777" w:rsidR="002B5D18" w:rsidRPr="00490C53" w:rsidRDefault="002B5D18">
            <w:pPr>
              <w:pStyle w:val="Tabletext"/>
              <w:spacing w:before="0"/>
              <w:jc w:val="center"/>
              <w:rPr>
                <w:rStyle w:val="Bold"/>
                <w:b w:val="0"/>
              </w:rPr>
            </w:pPr>
            <w:r w:rsidRPr="00490C53">
              <w:t>0.090</w:t>
            </w:r>
            <w:r w:rsidRPr="00490C53">
              <w:br/>
              <w:t>(0.051)</w:t>
            </w:r>
          </w:p>
        </w:tc>
        <w:tc>
          <w:tcPr>
            <w:tcW w:w="999" w:type="pct"/>
            <w:vAlign w:val="center"/>
          </w:tcPr>
          <w:p w14:paraId="557D86CB" w14:textId="77777777" w:rsidR="002B5D18" w:rsidRPr="00490C53" w:rsidRDefault="002B5D18">
            <w:pPr>
              <w:pStyle w:val="Tabletext"/>
              <w:spacing w:before="0"/>
              <w:jc w:val="center"/>
              <w:rPr>
                <w:rStyle w:val="Bold"/>
                <w:b w:val="0"/>
              </w:rPr>
            </w:pPr>
            <w:r w:rsidRPr="00490C53">
              <w:t>0.673*</w:t>
            </w:r>
            <w:r w:rsidRPr="00490C53">
              <w:br/>
              <w:t>(0.289)</w:t>
            </w:r>
          </w:p>
        </w:tc>
      </w:tr>
      <w:tr w:rsidR="002B5D18" w:rsidRPr="00490C53" w14:paraId="417BCCB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2FBD2351" w14:textId="77777777" w:rsidR="002B5D18" w:rsidRPr="00490C53" w:rsidRDefault="002B5D18">
            <w:pPr>
              <w:pStyle w:val="Tabletext"/>
            </w:pPr>
            <w:r w:rsidRPr="00490C53">
              <w:t>Wales, post intervention (Year 2)</w:t>
            </w:r>
          </w:p>
        </w:tc>
        <w:tc>
          <w:tcPr>
            <w:tcW w:w="999" w:type="pct"/>
            <w:vAlign w:val="center"/>
          </w:tcPr>
          <w:p w14:paraId="06009732" w14:textId="77777777" w:rsidR="002B5D18" w:rsidRPr="00490C53" w:rsidRDefault="002B5D18">
            <w:pPr>
              <w:pStyle w:val="Tabletext"/>
              <w:spacing w:before="0"/>
              <w:jc w:val="center"/>
              <w:rPr>
                <w:rStyle w:val="Bold"/>
                <w:b w:val="0"/>
              </w:rPr>
            </w:pPr>
            <w:r w:rsidRPr="00490C53">
              <w:t>-0.195</w:t>
            </w:r>
            <w:r w:rsidRPr="00490C53">
              <w:br/>
              <w:t>(0.182)</w:t>
            </w:r>
          </w:p>
        </w:tc>
        <w:tc>
          <w:tcPr>
            <w:tcW w:w="999" w:type="pct"/>
            <w:vAlign w:val="center"/>
          </w:tcPr>
          <w:p w14:paraId="5FB5188D" w14:textId="77777777" w:rsidR="002B5D18" w:rsidRPr="00490C53" w:rsidRDefault="002B5D18">
            <w:pPr>
              <w:pStyle w:val="Tabletext"/>
              <w:spacing w:before="0"/>
              <w:jc w:val="center"/>
              <w:rPr>
                <w:rStyle w:val="Bold"/>
                <w:b w:val="0"/>
              </w:rPr>
            </w:pPr>
            <w:r w:rsidRPr="00490C53">
              <w:t>-0.043</w:t>
            </w:r>
            <w:r w:rsidRPr="00490C53">
              <w:br/>
              <w:t>(0.179)</w:t>
            </w:r>
          </w:p>
        </w:tc>
      </w:tr>
      <w:tr w:rsidR="002B5D18" w:rsidRPr="00490C53" w14:paraId="203CA6F6" w14:textId="77777777">
        <w:tblPrEx>
          <w:tblCellMar>
            <w:left w:w="108" w:type="dxa"/>
            <w:right w:w="108" w:type="dxa"/>
          </w:tblCellMar>
        </w:tblPrEx>
        <w:tc>
          <w:tcPr>
            <w:tcW w:w="3002" w:type="pct"/>
            <w:vAlign w:val="center"/>
          </w:tcPr>
          <w:p w14:paraId="45685241" w14:textId="77777777" w:rsidR="002B5D18" w:rsidRPr="00490C53" w:rsidRDefault="002B5D18">
            <w:pPr>
              <w:pStyle w:val="Tabletext"/>
            </w:pPr>
            <w:r w:rsidRPr="00490C53">
              <w:lastRenderedPageBreak/>
              <w:t>East / Midlands, Borrower, post intervention (Year 2)</w:t>
            </w:r>
          </w:p>
        </w:tc>
        <w:tc>
          <w:tcPr>
            <w:tcW w:w="999" w:type="pct"/>
            <w:vAlign w:val="center"/>
          </w:tcPr>
          <w:p w14:paraId="4E286B0B" w14:textId="77777777" w:rsidR="002B5D18" w:rsidRPr="00490C53" w:rsidRDefault="002B5D18">
            <w:pPr>
              <w:pStyle w:val="Tabletext"/>
              <w:spacing w:before="0"/>
              <w:jc w:val="center"/>
              <w:rPr>
                <w:rStyle w:val="Bold"/>
                <w:b w:val="0"/>
              </w:rPr>
            </w:pPr>
            <w:r w:rsidRPr="00490C53">
              <w:t>-0.055</w:t>
            </w:r>
            <w:r w:rsidRPr="00490C53">
              <w:br/>
              <w:t>(0.078)</w:t>
            </w:r>
          </w:p>
        </w:tc>
        <w:tc>
          <w:tcPr>
            <w:tcW w:w="999" w:type="pct"/>
            <w:vAlign w:val="center"/>
          </w:tcPr>
          <w:p w14:paraId="7F9F6041" w14:textId="77777777" w:rsidR="002B5D18" w:rsidRPr="00490C53" w:rsidRDefault="002B5D18">
            <w:pPr>
              <w:pStyle w:val="Tabletext"/>
              <w:spacing w:before="0"/>
              <w:jc w:val="center"/>
              <w:rPr>
                <w:rStyle w:val="Bold"/>
                <w:b w:val="0"/>
              </w:rPr>
            </w:pPr>
            <w:r w:rsidRPr="00490C53">
              <w:t>-0.167</w:t>
            </w:r>
            <w:r w:rsidRPr="00490C53">
              <w:br/>
              <w:t>(0.131)</w:t>
            </w:r>
          </w:p>
        </w:tc>
      </w:tr>
      <w:tr w:rsidR="002B5D18" w:rsidRPr="00490C53" w14:paraId="3BE3308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51DDDCE5" w14:textId="77777777" w:rsidR="002B5D18" w:rsidRPr="00490C53" w:rsidRDefault="002B5D18">
            <w:pPr>
              <w:pStyle w:val="Tabletext"/>
            </w:pPr>
            <w:r w:rsidRPr="00490C53">
              <w:t>London, Borrower, post intervention (Year 2)</w:t>
            </w:r>
          </w:p>
        </w:tc>
        <w:tc>
          <w:tcPr>
            <w:tcW w:w="999" w:type="pct"/>
            <w:vAlign w:val="center"/>
          </w:tcPr>
          <w:p w14:paraId="47701981" w14:textId="77777777" w:rsidR="002B5D18" w:rsidRPr="00490C53" w:rsidRDefault="002B5D18">
            <w:pPr>
              <w:pStyle w:val="Tabletext"/>
              <w:spacing w:before="0"/>
              <w:jc w:val="center"/>
              <w:rPr>
                <w:rStyle w:val="Bold"/>
                <w:b w:val="0"/>
              </w:rPr>
            </w:pPr>
            <w:r w:rsidRPr="00490C53">
              <w:t>-0.278</w:t>
            </w:r>
            <w:r w:rsidRPr="00490C53">
              <w:br/>
              <w:t>(0.205)</w:t>
            </w:r>
          </w:p>
        </w:tc>
        <w:tc>
          <w:tcPr>
            <w:tcW w:w="999" w:type="pct"/>
            <w:vAlign w:val="center"/>
          </w:tcPr>
          <w:p w14:paraId="328F3B50" w14:textId="77777777" w:rsidR="002B5D18" w:rsidRPr="00490C53" w:rsidRDefault="002B5D18">
            <w:pPr>
              <w:pStyle w:val="Tabletext"/>
              <w:spacing w:before="0"/>
              <w:jc w:val="center"/>
              <w:rPr>
                <w:rStyle w:val="Bold"/>
                <w:b w:val="0"/>
              </w:rPr>
            </w:pPr>
            <w:r w:rsidRPr="00490C53">
              <w:t>0.004</w:t>
            </w:r>
            <w:r w:rsidRPr="00490C53">
              <w:br/>
              <w:t>(0.057)</w:t>
            </w:r>
          </w:p>
        </w:tc>
      </w:tr>
      <w:tr w:rsidR="002B5D18" w:rsidRPr="00490C53" w14:paraId="6D508D1F" w14:textId="77777777">
        <w:tblPrEx>
          <w:tblCellMar>
            <w:left w:w="108" w:type="dxa"/>
            <w:right w:w="108" w:type="dxa"/>
          </w:tblCellMar>
        </w:tblPrEx>
        <w:tc>
          <w:tcPr>
            <w:tcW w:w="3002" w:type="pct"/>
            <w:vAlign w:val="center"/>
          </w:tcPr>
          <w:p w14:paraId="15CA4573" w14:textId="77777777" w:rsidR="002B5D18" w:rsidRPr="00490C53" w:rsidRDefault="002B5D18">
            <w:pPr>
              <w:pStyle w:val="Tabletext"/>
            </w:pPr>
            <w:r w:rsidRPr="00490C53">
              <w:t>North / Yorkshire, Borrower, post intervention (Year 2)</w:t>
            </w:r>
          </w:p>
        </w:tc>
        <w:tc>
          <w:tcPr>
            <w:tcW w:w="999" w:type="pct"/>
            <w:vAlign w:val="center"/>
          </w:tcPr>
          <w:p w14:paraId="0BD71769" w14:textId="77777777" w:rsidR="002B5D18" w:rsidRPr="00490C53" w:rsidRDefault="002B5D18">
            <w:pPr>
              <w:pStyle w:val="Tabletext"/>
              <w:spacing w:before="0"/>
              <w:jc w:val="center"/>
              <w:rPr>
                <w:rStyle w:val="Bold"/>
                <w:b w:val="0"/>
              </w:rPr>
            </w:pPr>
            <w:r w:rsidRPr="00490C53">
              <w:t>0.060</w:t>
            </w:r>
            <w:r w:rsidRPr="00490C53">
              <w:br/>
              <w:t>(0.056)</w:t>
            </w:r>
          </w:p>
        </w:tc>
        <w:tc>
          <w:tcPr>
            <w:tcW w:w="999" w:type="pct"/>
            <w:vAlign w:val="center"/>
          </w:tcPr>
          <w:p w14:paraId="55A9C753" w14:textId="77777777" w:rsidR="002B5D18" w:rsidRPr="00490C53" w:rsidRDefault="002B5D18">
            <w:pPr>
              <w:pStyle w:val="Tabletext"/>
              <w:spacing w:before="0"/>
              <w:jc w:val="center"/>
              <w:rPr>
                <w:rStyle w:val="Bold"/>
                <w:b w:val="0"/>
              </w:rPr>
            </w:pPr>
            <w:r w:rsidRPr="00490C53">
              <w:t>-0.150</w:t>
            </w:r>
            <w:r w:rsidRPr="00490C53">
              <w:br/>
              <w:t>(0.175)</w:t>
            </w:r>
          </w:p>
        </w:tc>
      </w:tr>
      <w:tr w:rsidR="002B5D18" w:rsidRPr="00490C53" w14:paraId="701E383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4642D386" w14:textId="77777777" w:rsidR="002B5D18" w:rsidRPr="00490C53" w:rsidRDefault="002B5D18">
            <w:pPr>
              <w:pStyle w:val="Tabletext"/>
            </w:pPr>
            <w:r w:rsidRPr="00490C53">
              <w:t>Northern Ireland, Borrower, post intervention (Year 2)</w:t>
            </w:r>
          </w:p>
        </w:tc>
        <w:tc>
          <w:tcPr>
            <w:tcW w:w="999" w:type="pct"/>
            <w:vAlign w:val="center"/>
          </w:tcPr>
          <w:p w14:paraId="0CB99FDD" w14:textId="77777777" w:rsidR="002B5D18" w:rsidRPr="00490C53" w:rsidRDefault="002B5D18">
            <w:pPr>
              <w:pStyle w:val="Tabletext"/>
              <w:spacing w:before="0"/>
              <w:jc w:val="center"/>
              <w:rPr>
                <w:rStyle w:val="Bold"/>
                <w:b w:val="0"/>
              </w:rPr>
            </w:pPr>
            <w:r w:rsidRPr="00490C53">
              <w:t>0.437***</w:t>
            </w:r>
            <w:r w:rsidRPr="00490C53">
              <w:br/>
              <w:t>(0.071)</w:t>
            </w:r>
          </w:p>
        </w:tc>
        <w:tc>
          <w:tcPr>
            <w:tcW w:w="999" w:type="pct"/>
            <w:vAlign w:val="center"/>
          </w:tcPr>
          <w:p w14:paraId="48368F24" w14:textId="77777777" w:rsidR="002B5D18" w:rsidRPr="00490C53" w:rsidRDefault="002B5D18">
            <w:pPr>
              <w:pStyle w:val="Tabletext"/>
              <w:spacing w:before="0"/>
              <w:jc w:val="center"/>
              <w:rPr>
                <w:rStyle w:val="Bold"/>
                <w:b w:val="0"/>
              </w:rPr>
            </w:pPr>
            <w:r w:rsidRPr="00490C53">
              <w:t>0.506*</w:t>
            </w:r>
            <w:r w:rsidRPr="00490C53">
              <w:br/>
              <w:t>(0.211)</w:t>
            </w:r>
          </w:p>
        </w:tc>
      </w:tr>
      <w:tr w:rsidR="002B5D18" w:rsidRPr="00490C53" w14:paraId="13441B55" w14:textId="77777777">
        <w:tblPrEx>
          <w:tblCellMar>
            <w:left w:w="108" w:type="dxa"/>
            <w:right w:w="108" w:type="dxa"/>
          </w:tblCellMar>
        </w:tblPrEx>
        <w:tc>
          <w:tcPr>
            <w:tcW w:w="3002" w:type="pct"/>
            <w:vAlign w:val="center"/>
          </w:tcPr>
          <w:p w14:paraId="525F4B2E" w14:textId="77777777" w:rsidR="002B5D18" w:rsidRPr="00490C53" w:rsidRDefault="002B5D18">
            <w:pPr>
              <w:pStyle w:val="Tabletext"/>
            </w:pPr>
            <w:r w:rsidRPr="00490C53">
              <w:t>Scotland, Borrower, post intervention (Year 2)</w:t>
            </w:r>
          </w:p>
        </w:tc>
        <w:tc>
          <w:tcPr>
            <w:tcW w:w="999" w:type="pct"/>
            <w:vAlign w:val="center"/>
          </w:tcPr>
          <w:p w14:paraId="2CD3FC5A" w14:textId="77777777" w:rsidR="002B5D18" w:rsidRPr="00490C53" w:rsidRDefault="002B5D18">
            <w:pPr>
              <w:pStyle w:val="Tabletext"/>
              <w:spacing w:before="0"/>
              <w:jc w:val="center"/>
              <w:rPr>
                <w:rStyle w:val="Bold"/>
                <w:b w:val="0"/>
              </w:rPr>
            </w:pPr>
            <w:r w:rsidRPr="00490C53">
              <w:t>0.107</w:t>
            </w:r>
            <w:r w:rsidRPr="00490C53">
              <w:br/>
              <w:t>(0.147)</w:t>
            </w:r>
          </w:p>
        </w:tc>
        <w:tc>
          <w:tcPr>
            <w:tcW w:w="999" w:type="pct"/>
            <w:vAlign w:val="center"/>
          </w:tcPr>
          <w:p w14:paraId="5B84DDF6" w14:textId="77777777" w:rsidR="002B5D18" w:rsidRPr="00490C53" w:rsidRDefault="002B5D18">
            <w:pPr>
              <w:pStyle w:val="Tabletext"/>
              <w:spacing w:before="0"/>
              <w:jc w:val="center"/>
              <w:rPr>
                <w:rStyle w:val="Bold"/>
                <w:b w:val="0"/>
              </w:rPr>
            </w:pPr>
            <w:r w:rsidRPr="00490C53">
              <w:t>0.119</w:t>
            </w:r>
            <w:r w:rsidRPr="00490C53">
              <w:br/>
              <w:t>(0.113)</w:t>
            </w:r>
          </w:p>
        </w:tc>
      </w:tr>
      <w:tr w:rsidR="002B5D18" w:rsidRPr="00490C53" w14:paraId="2F7E588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36D9541C" w14:textId="77777777" w:rsidR="002B5D18" w:rsidRPr="00490C53" w:rsidRDefault="002B5D18">
            <w:pPr>
              <w:pStyle w:val="Tabletext"/>
            </w:pPr>
            <w:r w:rsidRPr="00490C53">
              <w:t>South, Borrower, post intervention (Year 2)</w:t>
            </w:r>
          </w:p>
        </w:tc>
        <w:tc>
          <w:tcPr>
            <w:tcW w:w="999" w:type="pct"/>
            <w:vAlign w:val="center"/>
          </w:tcPr>
          <w:p w14:paraId="4A7C93E8" w14:textId="77777777" w:rsidR="002B5D18" w:rsidRPr="00490C53" w:rsidRDefault="002B5D18">
            <w:pPr>
              <w:pStyle w:val="Tabletext"/>
              <w:spacing w:before="0"/>
              <w:jc w:val="center"/>
              <w:rPr>
                <w:rStyle w:val="Bold"/>
                <w:b w:val="0"/>
              </w:rPr>
            </w:pPr>
            <w:r w:rsidRPr="00490C53">
              <w:t>-0.118</w:t>
            </w:r>
            <w:r w:rsidRPr="00490C53">
              <w:br/>
              <w:t>(0.058)</w:t>
            </w:r>
          </w:p>
        </w:tc>
        <w:tc>
          <w:tcPr>
            <w:tcW w:w="999" w:type="pct"/>
            <w:vAlign w:val="center"/>
          </w:tcPr>
          <w:p w14:paraId="28430E0A" w14:textId="77777777" w:rsidR="002B5D18" w:rsidRPr="00490C53" w:rsidRDefault="002B5D18">
            <w:pPr>
              <w:pStyle w:val="Tabletext"/>
              <w:spacing w:before="0"/>
              <w:jc w:val="center"/>
              <w:rPr>
                <w:rStyle w:val="Bold"/>
                <w:b w:val="0"/>
              </w:rPr>
            </w:pPr>
            <w:r w:rsidRPr="00490C53">
              <w:t>-0.508*</w:t>
            </w:r>
            <w:r w:rsidRPr="00490C53">
              <w:br/>
              <w:t>(0.207)</w:t>
            </w:r>
          </w:p>
        </w:tc>
      </w:tr>
      <w:tr w:rsidR="002B5D18" w:rsidRPr="00490C53" w14:paraId="5CC59092" w14:textId="77777777">
        <w:tblPrEx>
          <w:tblCellMar>
            <w:left w:w="108" w:type="dxa"/>
            <w:right w:w="108" w:type="dxa"/>
          </w:tblCellMar>
        </w:tblPrEx>
        <w:tc>
          <w:tcPr>
            <w:tcW w:w="3002" w:type="pct"/>
            <w:vAlign w:val="center"/>
          </w:tcPr>
          <w:p w14:paraId="1D17AE34" w14:textId="77777777" w:rsidR="002B5D18" w:rsidRPr="00490C53" w:rsidRDefault="002B5D18">
            <w:pPr>
              <w:pStyle w:val="Tabletext"/>
            </w:pPr>
            <w:r w:rsidRPr="00490C53">
              <w:t>Wales, Borrower, post intervention (Year 2)</w:t>
            </w:r>
          </w:p>
        </w:tc>
        <w:tc>
          <w:tcPr>
            <w:tcW w:w="999" w:type="pct"/>
            <w:vAlign w:val="center"/>
          </w:tcPr>
          <w:p w14:paraId="3082D556" w14:textId="77777777" w:rsidR="002B5D18" w:rsidRPr="00490C53" w:rsidRDefault="002B5D18">
            <w:pPr>
              <w:pStyle w:val="Tabletext"/>
              <w:spacing w:before="0"/>
              <w:jc w:val="center"/>
              <w:rPr>
                <w:rStyle w:val="Bold"/>
                <w:b w:val="0"/>
              </w:rPr>
            </w:pPr>
            <w:r w:rsidRPr="00490C53">
              <w:t>0.224</w:t>
            </w:r>
            <w:r w:rsidRPr="00490C53">
              <w:br/>
              <w:t>(0.194)</w:t>
            </w:r>
          </w:p>
        </w:tc>
        <w:tc>
          <w:tcPr>
            <w:tcW w:w="999" w:type="pct"/>
            <w:vAlign w:val="center"/>
          </w:tcPr>
          <w:p w14:paraId="263F12EB" w14:textId="77777777" w:rsidR="002B5D18" w:rsidRPr="00490C53" w:rsidRDefault="002B5D18">
            <w:pPr>
              <w:pStyle w:val="Tabletext"/>
              <w:spacing w:before="0"/>
              <w:jc w:val="center"/>
              <w:rPr>
                <w:rStyle w:val="Bold"/>
                <w:b w:val="0"/>
              </w:rPr>
            </w:pPr>
            <w:r w:rsidRPr="00490C53">
              <w:t>-0.035</w:t>
            </w:r>
            <w:r w:rsidRPr="00490C53">
              <w:br/>
              <w:t>(0.189)</w:t>
            </w:r>
          </w:p>
        </w:tc>
      </w:tr>
      <w:tr w:rsidR="002B5D18" w:rsidRPr="00490C53" w14:paraId="43A3496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22480AA8" w14:textId="77777777" w:rsidR="002B5D18" w:rsidRPr="00490C53" w:rsidRDefault="002B5D18">
            <w:pPr>
              <w:pStyle w:val="Tabletext"/>
            </w:pPr>
            <w:r w:rsidRPr="00490C53">
              <w:t>East / Midlands, post intervention (Year 1)</w:t>
            </w:r>
          </w:p>
        </w:tc>
        <w:tc>
          <w:tcPr>
            <w:tcW w:w="999" w:type="pct"/>
            <w:vAlign w:val="center"/>
          </w:tcPr>
          <w:p w14:paraId="40CD8BCC" w14:textId="77777777" w:rsidR="002B5D18" w:rsidRPr="00490C53" w:rsidRDefault="002B5D18">
            <w:pPr>
              <w:pStyle w:val="Tabletext"/>
              <w:spacing w:before="0"/>
              <w:jc w:val="center"/>
              <w:rPr>
                <w:rStyle w:val="Bold"/>
                <w:b w:val="0"/>
              </w:rPr>
            </w:pPr>
            <w:r w:rsidRPr="00490C53">
              <w:t>0.020</w:t>
            </w:r>
            <w:r w:rsidRPr="00490C53">
              <w:br/>
              <w:t>(0.047)</w:t>
            </w:r>
          </w:p>
        </w:tc>
        <w:tc>
          <w:tcPr>
            <w:tcW w:w="999" w:type="pct"/>
            <w:vAlign w:val="center"/>
          </w:tcPr>
          <w:p w14:paraId="2878F6DD" w14:textId="77777777" w:rsidR="002B5D18" w:rsidRPr="00490C53" w:rsidRDefault="002B5D18">
            <w:pPr>
              <w:pStyle w:val="Tabletext"/>
              <w:spacing w:before="0"/>
              <w:jc w:val="center"/>
              <w:rPr>
                <w:rStyle w:val="Bold"/>
                <w:b w:val="0"/>
              </w:rPr>
            </w:pPr>
            <w:r w:rsidRPr="00490C53">
              <w:t>0.061</w:t>
            </w:r>
            <w:r w:rsidRPr="00490C53">
              <w:br/>
              <w:t>(0.088)</w:t>
            </w:r>
          </w:p>
        </w:tc>
      </w:tr>
      <w:tr w:rsidR="002B5D18" w:rsidRPr="00490C53" w14:paraId="7D857A17" w14:textId="77777777">
        <w:tblPrEx>
          <w:tblCellMar>
            <w:left w:w="108" w:type="dxa"/>
            <w:right w:w="108" w:type="dxa"/>
          </w:tblCellMar>
        </w:tblPrEx>
        <w:tc>
          <w:tcPr>
            <w:tcW w:w="3002" w:type="pct"/>
            <w:vAlign w:val="center"/>
          </w:tcPr>
          <w:p w14:paraId="6A433148" w14:textId="77777777" w:rsidR="002B5D18" w:rsidRPr="00490C53" w:rsidRDefault="002B5D18">
            <w:pPr>
              <w:pStyle w:val="Tabletext"/>
            </w:pPr>
            <w:r w:rsidRPr="00490C53">
              <w:t>London, post intervention (Year 1)</w:t>
            </w:r>
          </w:p>
        </w:tc>
        <w:tc>
          <w:tcPr>
            <w:tcW w:w="999" w:type="pct"/>
            <w:vAlign w:val="center"/>
          </w:tcPr>
          <w:p w14:paraId="2EC67A96" w14:textId="77777777" w:rsidR="002B5D18" w:rsidRPr="00490C53" w:rsidRDefault="002B5D18">
            <w:pPr>
              <w:pStyle w:val="Tabletext"/>
              <w:spacing w:before="0"/>
              <w:jc w:val="center"/>
              <w:rPr>
                <w:rStyle w:val="Bold"/>
                <w:b w:val="0"/>
              </w:rPr>
            </w:pPr>
            <w:r w:rsidRPr="00490C53">
              <w:t>-0.036</w:t>
            </w:r>
            <w:r w:rsidRPr="00490C53">
              <w:br/>
              <w:t>(0.059)</w:t>
            </w:r>
          </w:p>
        </w:tc>
        <w:tc>
          <w:tcPr>
            <w:tcW w:w="999" w:type="pct"/>
            <w:vAlign w:val="center"/>
          </w:tcPr>
          <w:p w14:paraId="0F59A7C2" w14:textId="77777777" w:rsidR="002B5D18" w:rsidRPr="00490C53" w:rsidRDefault="002B5D18">
            <w:pPr>
              <w:pStyle w:val="Tabletext"/>
              <w:spacing w:before="0"/>
              <w:jc w:val="center"/>
              <w:rPr>
                <w:rStyle w:val="Bold"/>
                <w:b w:val="0"/>
              </w:rPr>
            </w:pPr>
            <w:r w:rsidRPr="00490C53">
              <w:t>0.120</w:t>
            </w:r>
            <w:r w:rsidRPr="00490C53">
              <w:br/>
              <w:t>(0.069)</w:t>
            </w:r>
          </w:p>
        </w:tc>
      </w:tr>
      <w:tr w:rsidR="002B5D18" w:rsidRPr="00490C53" w14:paraId="6BDE551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04A9C28A" w14:textId="77777777" w:rsidR="002B5D18" w:rsidRPr="00490C53" w:rsidRDefault="002B5D18">
            <w:pPr>
              <w:pStyle w:val="Tabletext"/>
            </w:pPr>
            <w:r w:rsidRPr="00490C53">
              <w:t>North / Yorkshire, post intervention (Year 1)</w:t>
            </w:r>
          </w:p>
        </w:tc>
        <w:tc>
          <w:tcPr>
            <w:tcW w:w="999" w:type="pct"/>
            <w:vAlign w:val="center"/>
          </w:tcPr>
          <w:p w14:paraId="7F98D71C" w14:textId="77777777" w:rsidR="002B5D18" w:rsidRPr="00490C53" w:rsidRDefault="002B5D18">
            <w:pPr>
              <w:pStyle w:val="Tabletext"/>
              <w:spacing w:before="0"/>
              <w:jc w:val="center"/>
              <w:rPr>
                <w:rStyle w:val="Bold"/>
                <w:b w:val="0"/>
              </w:rPr>
            </w:pPr>
            <w:r w:rsidRPr="00490C53">
              <w:t>0.031</w:t>
            </w:r>
            <w:r w:rsidRPr="00490C53">
              <w:br/>
              <w:t>(0.037)</w:t>
            </w:r>
          </w:p>
        </w:tc>
        <w:tc>
          <w:tcPr>
            <w:tcW w:w="999" w:type="pct"/>
            <w:vAlign w:val="center"/>
          </w:tcPr>
          <w:p w14:paraId="2581491B" w14:textId="77777777" w:rsidR="002B5D18" w:rsidRPr="00490C53" w:rsidRDefault="002B5D18">
            <w:pPr>
              <w:pStyle w:val="Tabletext"/>
              <w:spacing w:before="0"/>
              <w:jc w:val="center"/>
              <w:rPr>
                <w:rStyle w:val="Bold"/>
                <w:b w:val="0"/>
              </w:rPr>
            </w:pPr>
            <w:r w:rsidRPr="00490C53">
              <w:t>0.024</w:t>
            </w:r>
            <w:r w:rsidRPr="00490C53">
              <w:br/>
              <w:t>(0.107)</w:t>
            </w:r>
          </w:p>
        </w:tc>
      </w:tr>
      <w:tr w:rsidR="002B5D18" w:rsidRPr="00490C53" w14:paraId="4D2CB3E2" w14:textId="77777777">
        <w:tblPrEx>
          <w:tblCellMar>
            <w:left w:w="108" w:type="dxa"/>
            <w:right w:w="108" w:type="dxa"/>
          </w:tblCellMar>
        </w:tblPrEx>
        <w:tc>
          <w:tcPr>
            <w:tcW w:w="3002" w:type="pct"/>
            <w:vAlign w:val="center"/>
          </w:tcPr>
          <w:p w14:paraId="4B725939" w14:textId="77777777" w:rsidR="002B5D18" w:rsidRPr="00490C53" w:rsidRDefault="002B5D18">
            <w:pPr>
              <w:pStyle w:val="Tabletext"/>
            </w:pPr>
            <w:r w:rsidRPr="00490C53">
              <w:t>Northern Ireland, post intervention (Year 1)</w:t>
            </w:r>
          </w:p>
        </w:tc>
        <w:tc>
          <w:tcPr>
            <w:tcW w:w="999" w:type="pct"/>
            <w:vAlign w:val="center"/>
          </w:tcPr>
          <w:p w14:paraId="7CD5B6D8" w14:textId="77777777" w:rsidR="002B5D18" w:rsidRPr="00490C53" w:rsidRDefault="002B5D18">
            <w:pPr>
              <w:pStyle w:val="Tabletext"/>
              <w:spacing w:before="0"/>
              <w:jc w:val="center"/>
              <w:rPr>
                <w:rStyle w:val="Bold"/>
                <w:b w:val="0"/>
              </w:rPr>
            </w:pPr>
            <w:r w:rsidRPr="00490C53">
              <w:t>-0.085*</w:t>
            </w:r>
            <w:r w:rsidRPr="00490C53">
              <w:br/>
              <w:t>(0.037)</w:t>
            </w:r>
          </w:p>
        </w:tc>
        <w:tc>
          <w:tcPr>
            <w:tcW w:w="999" w:type="pct"/>
            <w:vAlign w:val="center"/>
          </w:tcPr>
          <w:p w14:paraId="2DD48630" w14:textId="77777777" w:rsidR="002B5D18" w:rsidRPr="00490C53" w:rsidRDefault="002B5D18">
            <w:pPr>
              <w:pStyle w:val="Tabletext"/>
              <w:spacing w:before="0"/>
              <w:jc w:val="center"/>
              <w:rPr>
                <w:rStyle w:val="Bold"/>
                <w:b w:val="0"/>
              </w:rPr>
            </w:pPr>
            <w:r w:rsidRPr="00490C53">
              <w:t>-0.115</w:t>
            </w:r>
            <w:r w:rsidRPr="00490C53">
              <w:br/>
              <w:t>(0.098)</w:t>
            </w:r>
          </w:p>
        </w:tc>
      </w:tr>
      <w:tr w:rsidR="002B5D18" w:rsidRPr="00490C53" w14:paraId="3786901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46FDB3C7" w14:textId="77777777" w:rsidR="002B5D18" w:rsidRPr="00490C53" w:rsidRDefault="002B5D18">
            <w:pPr>
              <w:pStyle w:val="Tabletext"/>
            </w:pPr>
            <w:r w:rsidRPr="00490C53">
              <w:t>Scotland, post intervention (Year 1)</w:t>
            </w:r>
          </w:p>
        </w:tc>
        <w:tc>
          <w:tcPr>
            <w:tcW w:w="999" w:type="pct"/>
            <w:vAlign w:val="center"/>
          </w:tcPr>
          <w:p w14:paraId="0DE6A87F" w14:textId="77777777" w:rsidR="002B5D18" w:rsidRPr="00490C53" w:rsidRDefault="002B5D18">
            <w:pPr>
              <w:pStyle w:val="Tabletext"/>
              <w:spacing w:before="0"/>
              <w:jc w:val="center"/>
              <w:rPr>
                <w:rStyle w:val="Bold"/>
                <w:b w:val="0"/>
              </w:rPr>
            </w:pPr>
            <w:r w:rsidRPr="00490C53">
              <w:t>0.020</w:t>
            </w:r>
            <w:r w:rsidRPr="00490C53">
              <w:br/>
              <w:t>(0.021)</w:t>
            </w:r>
          </w:p>
        </w:tc>
        <w:tc>
          <w:tcPr>
            <w:tcW w:w="999" w:type="pct"/>
            <w:vAlign w:val="center"/>
          </w:tcPr>
          <w:p w14:paraId="64DAC363" w14:textId="77777777" w:rsidR="002B5D18" w:rsidRPr="00490C53" w:rsidRDefault="002B5D18">
            <w:pPr>
              <w:pStyle w:val="Tabletext"/>
              <w:spacing w:before="0"/>
              <w:jc w:val="center"/>
              <w:rPr>
                <w:rStyle w:val="Bold"/>
                <w:b w:val="0"/>
              </w:rPr>
            </w:pPr>
            <w:r w:rsidRPr="00490C53">
              <w:t>0.046</w:t>
            </w:r>
            <w:r w:rsidRPr="00490C53">
              <w:br/>
              <w:t>(0.114)</w:t>
            </w:r>
          </w:p>
        </w:tc>
      </w:tr>
      <w:tr w:rsidR="002B5D18" w:rsidRPr="00490C53" w14:paraId="5C0D90A2" w14:textId="77777777">
        <w:tblPrEx>
          <w:tblCellMar>
            <w:left w:w="108" w:type="dxa"/>
            <w:right w:w="108" w:type="dxa"/>
          </w:tblCellMar>
        </w:tblPrEx>
        <w:tc>
          <w:tcPr>
            <w:tcW w:w="3002" w:type="pct"/>
            <w:vAlign w:val="center"/>
          </w:tcPr>
          <w:p w14:paraId="4052CE79" w14:textId="77777777" w:rsidR="002B5D18" w:rsidRPr="00490C53" w:rsidRDefault="002B5D18">
            <w:pPr>
              <w:pStyle w:val="Tabletext"/>
            </w:pPr>
            <w:r w:rsidRPr="00490C53">
              <w:t>South, post intervention (Year 1)</w:t>
            </w:r>
          </w:p>
        </w:tc>
        <w:tc>
          <w:tcPr>
            <w:tcW w:w="999" w:type="pct"/>
            <w:vAlign w:val="center"/>
          </w:tcPr>
          <w:p w14:paraId="43C7C50F" w14:textId="77777777" w:rsidR="002B5D18" w:rsidRPr="00490C53" w:rsidRDefault="002B5D18">
            <w:pPr>
              <w:pStyle w:val="Tabletext"/>
              <w:spacing w:before="0"/>
              <w:jc w:val="center"/>
              <w:rPr>
                <w:rStyle w:val="Bold"/>
                <w:b w:val="0"/>
              </w:rPr>
            </w:pPr>
            <w:r w:rsidRPr="00490C53">
              <w:t>0.005</w:t>
            </w:r>
            <w:r w:rsidRPr="00490C53">
              <w:br/>
              <w:t>(0.033)</w:t>
            </w:r>
          </w:p>
        </w:tc>
        <w:tc>
          <w:tcPr>
            <w:tcW w:w="999" w:type="pct"/>
            <w:vAlign w:val="center"/>
          </w:tcPr>
          <w:p w14:paraId="61DFA6C4" w14:textId="77777777" w:rsidR="002B5D18" w:rsidRPr="00490C53" w:rsidRDefault="002B5D18">
            <w:pPr>
              <w:pStyle w:val="Tabletext"/>
              <w:spacing w:before="0"/>
              <w:jc w:val="center"/>
              <w:rPr>
                <w:rStyle w:val="Bold"/>
                <w:b w:val="0"/>
              </w:rPr>
            </w:pPr>
            <w:r w:rsidRPr="00490C53">
              <w:t>0.077</w:t>
            </w:r>
            <w:r w:rsidRPr="00490C53">
              <w:br/>
              <w:t>(0.071)</w:t>
            </w:r>
          </w:p>
        </w:tc>
      </w:tr>
      <w:tr w:rsidR="002B5D18" w:rsidRPr="00490C53" w14:paraId="7800AAE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0F72721E" w14:textId="77777777" w:rsidR="002B5D18" w:rsidRPr="00490C53" w:rsidRDefault="002B5D18">
            <w:pPr>
              <w:pStyle w:val="Tabletext"/>
            </w:pPr>
            <w:r w:rsidRPr="00490C53">
              <w:t>Wales, post intervention (Year 1)</w:t>
            </w:r>
          </w:p>
        </w:tc>
        <w:tc>
          <w:tcPr>
            <w:tcW w:w="999" w:type="pct"/>
            <w:vAlign w:val="center"/>
          </w:tcPr>
          <w:p w14:paraId="3490A584" w14:textId="77777777" w:rsidR="002B5D18" w:rsidRPr="00490C53" w:rsidRDefault="002B5D18">
            <w:pPr>
              <w:pStyle w:val="Tabletext"/>
              <w:spacing w:before="0"/>
              <w:jc w:val="center"/>
              <w:rPr>
                <w:rStyle w:val="Bold"/>
                <w:b w:val="0"/>
              </w:rPr>
            </w:pPr>
            <w:r w:rsidRPr="00490C53">
              <w:t>-0.056</w:t>
            </w:r>
            <w:r w:rsidRPr="00490C53">
              <w:br/>
              <w:t>(0.077)</w:t>
            </w:r>
          </w:p>
        </w:tc>
        <w:tc>
          <w:tcPr>
            <w:tcW w:w="999" w:type="pct"/>
            <w:vAlign w:val="center"/>
          </w:tcPr>
          <w:p w14:paraId="2C2A90C5" w14:textId="77777777" w:rsidR="002B5D18" w:rsidRPr="00490C53" w:rsidRDefault="002B5D18">
            <w:pPr>
              <w:pStyle w:val="Tabletext"/>
              <w:spacing w:before="0"/>
              <w:jc w:val="center"/>
              <w:rPr>
                <w:rStyle w:val="Bold"/>
                <w:b w:val="0"/>
              </w:rPr>
            </w:pPr>
            <w:r w:rsidRPr="00490C53">
              <w:t>0.092</w:t>
            </w:r>
            <w:r w:rsidRPr="00490C53">
              <w:br/>
              <w:t>(0.106)</w:t>
            </w:r>
          </w:p>
        </w:tc>
      </w:tr>
      <w:tr w:rsidR="002B5D18" w:rsidRPr="00490C53" w14:paraId="0F50B440" w14:textId="77777777">
        <w:tblPrEx>
          <w:tblCellMar>
            <w:left w:w="108" w:type="dxa"/>
            <w:right w:w="108" w:type="dxa"/>
          </w:tblCellMar>
        </w:tblPrEx>
        <w:tc>
          <w:tcPr>
            <w:tcW w:w="3002" w:type="pct"/>
            <w:vAlign w:val="center"/>
          </w:tcPr>
          <w:p w14:paraId="4CA98236" w14:textId="77777777" w:rsidR="002B5D18" w:rsidRPr="00490C53" w:rsidRDefault="002B5D18">
            <w:pPr>
              <w:pStyle w:val="Tabletext"/>
            </w:pPr>
            <w:r w:rsidRPr="00490C53">
              <w:t>East / Midlands, Borrower, post intervention (Year 1)</w:t>
            </w:r>
          </w:p>
        </w:tc>
        <w:tc>
          <w:tcPr>
            <w:tcW w:w="999" w:type="pct"/>
            <w:vAlign w:val="center"/>
          </w:tcPr>
          <w:p w14:paraId="1DF53C3E" w14:textId="77777777" w:rsidR="002B5D18" w:rsidRPr="00490C53" w:rsidRDefault="002B5D18">
            <w:pPr>
              <w:pStyle w:val="Tabletext"/>
              <w:spacing w:before="0"/>
              <w:jc w:val="center"/>
              <w:rPr>
                <w:rStyle w:val="Bold"/>
                <w:b w:val="0"/>
              </w:rPr>
            </w:pPr>
            <w:r w:rsidRPr="00490C53">
              <w:t>-0.016</w:t>
            </w:r>
            <w:r w:rsidRPr="00490C53">
              <w:br/>
              <w:t>(0.041)</w:t>
            </w:r>
          </w:p>
        </w:tc>
        <w:tc>
          <w:tcPr>
            <w:tcW w:w="999" w:type="pct"/>
            <w:vAlign w:val="center"/>
          </w:tcPr>
          <w:p w14:paraId="6414DC34" w14:textId="77777777" w:rsidR="002B5D18" w:rsidRPr="00490C53" w:rsidRDefault="002B5D18">
            <w:pPr>
              <w:pStyle w:val="Tabletext"/>
              <w:spacing w:before="0"/>
              <w:jc w:val="center"/>
              <w:rPr>
                <w:rStyle w:val="Bold"/>
                <w:b w:val="0"/>
              </w:rPr>
            </w:pPr>
            <w:r w:rsidRPr="00490C53">
              <w:t>0.065*</w:t>
            </w:r>
            <w:r w:rsidRPr="00490C53">
              <w:br/>
              <w:t>(0.030)</w:t>
            </w:r>
          </w:p>
        </w:tc>
      </w:tr>
      <w:tr w:rsidR="002B5D18" w:rsidRPr="00490C53" w14:paraId="4E04794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261FAA4F" w14:textId="77777777" w:rsidR="002B5D18" w:rsidRPr="00490C53" w:rsidRDefault="002B5D18">
            <w:pPr>
              <w:pStyle w:val="Tabletext"/>
            </w:pPr>
            <w:r w:rsidRPr="00490C53">
              <w:lastRenderedPageBreak/>
              <w:t>London, Borrower, post intervention (Year 1)</w:t>
            </w:r>
          </w:p>
        </w:tc>
        <w:tc>
          <w:tcPr>
            <w:tcW w:w="999" w:type="pct"/>
            <w:vAlign w:val="center"/>
          </w:tcPr>
          <w:p w14:paraId="27D54EE0" w14:textId="77777777" w:rsidR="002B5D18" w:rsidRPr="00490C53" w:rsidRDefault="002B5D18">
            <w:pPr>
              <w:pStyle w:val="Tabletext"/>
              <w:spacing w:before="0"/>
              <w:jc w:val="center"/>
              <w:rPr>
                <w:rStyle w:val="Bold"/>
                <w:b w:val="0"/>
              </w:rPr>
            </w:pPr>
            <w:r w:rsidRPr="00490C53">
              <w:t>-0.023</w:t>
            </w:r>
            <w:r w:rsidRPr="00490C53">
              <w:br/>
              <w:t>(0.026)</w:t>
            </w:r>
          </w:p>
        </w:tc>
        <w:tc>
          <w:tcPr>
            <w:tcW w:w="999" w:type="pct"/>
            <w:vAlign w:val="center"/>
          </w:tcPr>
          <w:p w14:paraId="3D3FA75D" w14:textId="77777777" w:rsidR="002B5D18" w:rsidRPr="00490C53" w:rsidRDefault="002B5D18">
            <w:pPr>
              <w:pStyle w:val="Tabletext"/>
              <w:spacing w:before="0"/>
              <w:jc w:val="center"/>
              <w:rPr>
                <w:rStyle w:val="Bold"/>
                <w:b w:val="0"/>
              </w:rPr>
            </w:pPr>
            <w:r w:rsidRPr="00490C53">
              <w:t>-0.075</w:t>
            </w:r>
            <w:r w:rsidRPr="00490C53">
              <w:br/>
              <w:t>(0.037)</w:t>
            </w:r>
          </w:p>
        </w:tc>
      </w:tr>
      <w:tr w:rsidR="002B5D18" w:rsidRPr="00490C53" w14:paraId="1BD80E34" w14:textId="77777777">
        <w:tblPrEx>
          <w:tblCellMar>
            <w:left w:w="108" w:type="dxa"/>
            <w:right w:w="108" w:type="dxa"/>
          </w:tblCellMar>
        </w:tblPrEx>
        <w:tc>
          <w:tcPr>
            <w:tcW w:w="3002" w:type="pct"/>
            <w:vAlign w:val="center"/>
          </w:tcPr>
          <w:p w14:paraId="1CAD27C8" w14:textId="77777777" w:rsidR="002B5D18" w:rsidRPr="00490C53" w:rsidRDefault="002B5D18">
            <w:pPr>
              <w:pStyle w:val="Tabletext"/>
            </w:pPr>
            <w:r w:rsidRPr="00490C53">
              <w:t>North / Yorkshire, Borrower, post intervention (Year 1)</w:t>
            </w:r>
          </w:p>
        </w:tc>
        <w:tc>
          <w:tcPr>
            <w:tcW w:w="999" w:type="pct"/>
            <w:vAlign w:val="center"/>
          </w:tcPr>
          <w:p w14:paraId="39DBE3B8" w14:textId="77777777" w:rsidR="002B5D18" w:rsidRPr="00490C53" w:rsidRDefault="002B5D18">
            <w:pPr>
              <w:pStyle w:val="Tabletext"/>
              <w:spacing w:before="0"/>
              <w:jc w:val="center"/>
              <w:rPr>
                <w:rStyle w:val="Bold"/>
                <w:b w:val="0"/>
              </w:rPr>
            </w:pPr>
            <w:r w:rsidRPr="00490C53">
              <w:t>0.001</w:t>
            </w:r>
            <w:r w:rsidRPr="00490C53">
              <w:br/>
              <w:t>(0.038)</w:t>
            </w:r>
          </w:p>
        </w:tc>
        <w:tc>
          <w:tcPr>
            <w:tcW w:w="999" w:type="pct"/>
            <w:vAlign w:val="center"/>
          </w:tcPr>
          <w:p w14:paraId="43BBEF4C" w14:textId="77777777" w:rsidR="002B5D18" w:rsidRPr="00490C53" w:rsidRDefault="002B5D18">
            <w:pPr>
              <w:pStyle w:val="Tabletext"/>
              <w:spacing w:before="0"/>
              <w:jc w:val="center"/>
              <w:rPr>
                <w:rStyle w:val="Bold"/>
                <w:b w:val="0"/>
              </w:rPr>
            </w:pPr>
            <w:r w:rsidRPr="00490C53">
              <w:t>0.073</w:t>
            </w:r>
            <w:r w:rsidRPr="00490C53">
              <w:br/>
              <w:t>(0.069)</w:t>
            </w:r>
          </w:p>
        </w:tc>
      </w:tr>
      <w:tr w:rsidR="002B5D18" w:rsidRPr="00490C53" w14:paraId="135EC48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4AA5A154" w14:textId="77777777" w:rsidR="002B5D18" w:rsidRPr="00490C53" w:rsidRDefault="002B5D18">
            <w:pPr>
              <w:pStyle w:val="Tabletext"/>
            </w:pPr>
            <w:r w:rsidRPr="00490C53">
              <w:t>Northern Ireland, Borrower, post intervention (Year 1)</w:t>
            </w:r>
          </w:p>
        </w:tc>
        <w:tc>
          <w:tcPr>
            <w:tcW w:w="999" w:type="pct"/>
            <w:vAlign w:val="center"/>
          </w:tcPr>
          <w:p w14:paraId="4F2AF572" w14:textId="77777777" w:rsidR="002B5D18" w:rsidRPr="00490C53" w:rsidRDefault="002B5D18">
            <w:pPr>
              <w:pStyle w:val="Tabletext"/>
              <w:spacing w:before="0"/>
              <w:jc w:val="center"/>
              <w:rPr>
                <w:rStyle w:val="Bold"/>
                <w:b w:val="0"/>
              </w:rPr>
            </w:pPr>
            <w:r w:rsidRPr="00490C53">
              <w:t>-0.044</w:t>
            </w:r>
            <w:r w:rsidRPr="00490C53">
              <w:br/>
              <w:t>(0.108)</w:t>
            </w:r>
          </w:p>
        </w:tc>
        <w:tc>
          <w:tcPr>
            <w:tcW w:w="999" w:type="pct"/>
            <w:vAlign w:val="center"/>
          </w:tcPr>
          <w:p w14:paraId="3E16FFC4" w14:textId="77777777" w:rsidR="002B5D18" w:rsidRPr="00490C53" w:rsidRDefault="002B5D18">
            <w:pPr>
              <w:pStyle w:val="Tabletext"/>
              <w:spacing w:before="0"/>
              <w:jc w:val="center"/>
              <w:rPr>
                <w:rStyle w:val="Bold"/>
                <w:b w:val="0"/>
              </w:rPr>
            </w:pPr>
            <w:r w:rsidRPr="00490C53">
              <w:t>0.326</w:t>
            </w:r>
            <w:r w:rsidRPr="00490C53">
              <w:br/>
              <w:t>(0.164)</w:t>
            </w:r>
          </w:p>
        </w:tc>
      </w:tr>
      <w:tr w:rsidR="002B5D18" w:rsidRPr="00490C53" w14:paraId="08E636D1" w14:textId="77777777">
        <w:tblPrEx>
          <w:tblCellMar>
            <w:left w:w="108" w:type="dxa"/>
            <w:right w:w="108" w:type="dxa"/>
          </w:tblCellMar>
        </w:tblPrEx>
        <w:tc>
          <w:tcPr>
            <w:tcW w:w="3002" w:type="pct"/>
            <w:vAlign w:val="center"/>
          </w:tcPr>
          <w:p w14:paraId="35A5CC47" w14:textId="77777777" w:rsidR="002B5D18" w:rsidRPr="00490C53" w:rsidRDefault="002B5D18">
            <w:pPr>
              <w:pStyle w:val="Tabletext"/>
            </w:pPr>
            <w:r w:rsidRPr="00490C53">
              <w:t>Scotland, Borrower, post intervention (Year 1)</w:t>
            </w:r>
          </w:p>
        </w:tc>
        <w:tc>
          <w:tcPr>
            <w:tcW w:w="999" w:type="pct"/>
            <w:vAlign w:val="center"/>
          </w:tcPr>
          <w:p w14:paraId="349A8ED8" w14:textId="77777777" w:rsidR="002B5D18" w:rsidRPr="00490C53" w:rsidRDefault="002B5D18">
            <w:pPr>
              <w:pStyle w:val="Tabletext"/>
              <w:spacing w:before="0"/>
              <w:jc w:val="center"/>
              <w:rPr>
                <w:rStyle w:val="Bold"/>
                <w:b w:val="0"/>
              </w:rPr>
            </w:pPr>
            <w:r w:rsidRPr="00490C53">
              <w:t>-0.004</w:t>
            </w:r>
            <w:r w:rsidRPr="00490C53">
              <w:br/>
              <w:t>(0.044)</w:t>
            </w:r>
          </w:p>
        </w:tc>
        <w:tc>
          <w:tcPr>
            <w:tcW w:w="999" w:type="pct"/>
            <w:vAlign w:val="center"/>
          </w:tcPr>
          <w:p w14:paraId="2866C026" w14:textId="77777777" w:rsidR="002B5D18" w:rsidRPr="00490C53" w:rsidRDefault="002B5D18">
            <w:pPr>
              <w:pStyle w:val="Tabletext"/>
              <w:spacing w:before="0"/>
              <w:jc w:val="center"/>
              <w:rPr>
                <w:rStyle w:val="Bold"/>
                <w:b w:val="0"/>
              </w:rPr>
            </w:pPr>
            <w:r w:rsidRPr="00490C53">
              <w:t>0.118</w:t>
            </w:r>
            <w:r w:rsidRPr="00490C53">
              <w:br/>
              <w:t>(0.119)</w:t>
            </w:r>
          </w:p>
        </w:tc>
      </w:tr>
      <w:tr w:rsidR="002B5D18" w:rsidRPr="00490C53" w14:paraId="193DA9D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02D1AE92" w14:textId="77777777" w:rsidR="002B5D18" w:rsidRPr="00490C53" w:rsidRDefault="002B5D18">
            <w:pPr>
              <w:pStyle w:val="Tabletext"/>
            </w:pPr>
            <w:r w:rsidRPr="00490C53">
              <w:t>South, Borrower, post intervention (Year 1)</w:t>
            </w:r>
          </w:p>
        </w:tc>
        <w:tc>
          <w:tcPr>
            <w:tcW w:w="999" w:type="pct"/>
            <w:vAlign w:val="center"/>
          </w:tcPr>
          <w:p w14:paraId="4122C4D2" w14:textId="77777777" w:rsidR="002B5D18" w:rsidRPr="00490C53" w:rsidRDefault="002B5D18">
            <w:pPr>
              <w:pStyle w:val="Tabletext"/>
              <w:spacing w:before="0"/>
              <w:jc w:val="center"/>
              <w:rPr>
                <w:rStyle w:val="Bold"/>
                <w:b w:val="0"/>
              </w:rPr>
            </w:pPr>
            <w:r w:rsidRPr="00490C53">
              <w:t>-0.022</w:t>
            </w:r>
            <w:r w:rsidRPr="00490C53">
              <w:br/>
              <w:t>(0.028)</w:t>
            </w:r>
          </w:p>
        </w:tc>
        <w:tc>
          <w:tcPr>
            <w:tcW w:w="999" w:type="pct"/>
            <w:vAlign w:val="center"/>
          </w:tcPr>
          <w:p w14:paraId="6DE58574" w14:textId="77777777" w:rsidR="002B5D18" w:rsidRPr="00490C53" w:rsidRDefault="002B5D18">
            <w:pPr>
              <w:pStyle w:val="Tabletext"/>
              <w:spacing w:before="0"/>
              <w:jc w:val="center"/>
              <w:rPr>
                <w:rStyle w:val="Bold"/>
                <w:b w:val="0"/>
              </w:rPr>
            </w:pPr>
            <w:r w:rsidRPr="00490C53">
              <w:t>0.019</w:t>
            </w:r>
            <w:r w:rsidRPr="00490C53">
              <w:br/>
              <w:t>(0.023)</w:t>
            </w:r>
          </w:p>
        </w:tc>
      </w:tr>
      <w:tr w:rsidR="002B5D18" w:rsidRPr="00490C53" w14:paraId="1C17096C" w14:textId="77777777">
        <w:tblPrEx>
          <w:tblCellMar>
            <w:left w:w="108" w:type="dxa"/>
            <w:right w:w="108" w:type="dxa"/>
          </w:tblCellMar>
        </w:tblPrEx>
        <w:tc>
          <w:tcPr>
            <w:tcW w:w="3002" w:type="pct"/>
            <w:vAlign w:val="center"/>
          </w:tcPr>
          <w:p w14:paraId="6DA8F910" w14:textId="77777777" w:rsidR="002B5D18" w:rsidRPr="00490C53" w:rsidRDefault="002B5D18">
            <w:pPr>
              <w:pStyle w:val="Tabletext"/>
            </w:pPr>
            <w:r w:rsidRPr="00490C53">
              <w:t>Wales, Borrower, post intervention (Year 1)</w:t>
            </w:r>
          </w:p>
        </w:tc>
        <w:tc>
          <w:tcPr>
            <w:tcW w:w="999" w:type="pct"/>
            <w:vAlign w:val="center"/>
          </w:tcPr>
          <w:p w14:paraId="0667CCDB" w14:textId="77777777" w:rsidR="002B5D18" w:rsidRPr="00490C53" w:rsidRDefault="002B5D18">
            <w:pPr>
              <w:pStyle w:val="Tabletext"/>
              <w:spacing w:before="0"/>
              <w:jc w:val="center"/>
              <w:rPr>
                <w:rStyle w:val="Bold"/>
                <w:b w:val="0"/>
              </w:rPr>
            </w:pPr>
            <w:r w:rsidRPr="00490C53">
              <w:t>-0.001</w:t>
            </w:r>
            <w:r w:rsidRPr="00490C53">
              <w:br/>
              <w:t>(0.070)</w:t>
            </w:r>
          </w:p>
        </w:tc>
        <w:tc>
          <w:tcPr>
            <w:tcW w:w="999" w:type="pct"/>
            <w:vAlign w:val="center"/>
          </w:tcPr>
          <w:p w14:paraId="572AB2B7" w14:textId="77777777" w:rsidR="002B5D18" w:rsidRPr="00490C53" w:rsidRDefault="002B5D18">
            <w:pPr>
              <w:pStyle w:val="Tabletext"/>
              <w:spacing w:before="0"/>
              <w:jc w:val="center"/>
              <w:rPr>
                <w:rStyle w:val="Bold"/>
                <w:b w:val="0"/>
              </w:rPr>
            </w:pPr>
            <w:r w:rsidRPr="00490C53">
              <w:t>0.028</w:t>
            </w:r>
            <w:r w:rsidRPr="00490C53">
              <w:br/>
              <w:t>(0.050)</w:t>
            </w:r>
          </w:p>
        </w:tc>
      </w:tr>
      <w:tr w:rsidR="002B5D18" w:rsidRPr="00490C53" w14:paraId="5979544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3AD14023" w14:textId="77777777" w:rsidR="002B5D18" w:rsidRPr="00490C53" w:rsidRDefault="002B5D18">
            <w:pPr>
              <w:pStyle w:val="Tabletext"/>
            </w:pPr>
            <w:r w:rsidRPr="00490C53">
              <w:t>Used CJRS</w:t>
            </w:r>
          </w:p>
        </w:tc>
        <w:tc>
          <w:tcPr>
            <w:tcW w:w="999" w:type="pct"/>
            <w:vAlign w:val="center"/>
          </w:tcPr>
          <w:p w14:paraId="089658A2" w14:textId="77777777" w:rsidR="002B5D18" w:rsidRPr="00490C53" w:rsidRDefault="002B5D18">
            <w:pPr>
              <w:pStyle w:val="Tabletext"/>
              <w:spacing w:before="0"/>
              <w:jc w:val="center"/>
              <w:rPr>
                <w:rStyle w:val="Bold"/>
                <w:b w:val="0"/>
              </w:rPr>
            </w:pPr>
            <w:r w:rsidRPr="00490C53">
              <w:t>-0.066***</w:t>
            </w:r>
            <w:r w:rsidRPr="00490C53">
              <w:br/>
              <w:t>(0.012)</w:t>
            </w:r>
          </w:p>
        </w:tc>
        <w:tc>
          <w:tcPr>
            <w:tcW w:w="999" w:type="pct"/>
            <w:vAlign w:val="center"/>
          </w:tcPr>
          <w:p w14:paraId="0AD2F122" w14:textId="77777777" w:rsidR="002B5D18" w:rsidRPr="00490C53" w:rsidRDefault="002B5D18">
            <w:pPr>
              <w:pStyle w:val="Tabletext"/>
              <w:spacing w:before="0"/>
              <w:jc w:val="center"/>
              <w:rPr>
                <w:rStyle w:val="Bold"/>
                <w:b w:val="0"/>
              </w:rPr>
            </w:pPr>
            <w:r w:rsidRPr="00490C53">
              <w:t>-0.135</w:t>
            </w:r>
            <w:r w:rsidRPr="00490C53">
              <w:br/>
              <w:t>(0.065)</w:t>
            </w:r>
          </w:p>
        </w:tc>
      </w:tr>
      <w:tr w:rsidR="002B5D18" w:rsidRPr="00490C53" w14:paraId="4F4FCE44" w14:textId="77777777">
        <w:tblPrEx>
          <w:tblCellMar>
            <w:left w:w="108" w:type="dxa"/>
            <w:right w:w="108" w:type="dxa"/>
          </w:tblCellMar>
        </w:tblPrEx>
        <w:tc>
          <w:tcPr>
            <w:tcW w:w="3002" w:type="pct"/>
            <w:vAlign w:val="center"/>
          </w:tcPr>
          <w:p w14:paraId="1EA23694" w14:textId="77777777" w:rsidR="002B5D18" w:rsidRPr="00490C53" w:rsidDel="000A1204" w:rsidRDefault="002B5D18">
            <w:pPr>
              <w:pStyle w:val="Tabletext"/>
            </w:pPr>
            <w:r w:rsidRPr="00490C53">
              <w:t>Used VAT Deferral</w:t>
            </w:r>
          </w:p>
        </w:tc>
        <w:tc>
          <w:tcPr>
            <w:tcW w:w="999" w:type="pct"/>
            <w:vAlign w:val="center"/>
          </w:tcPr>
          <w:p w14:paraId="501493FF" w14:textId="77777777" w:rsidR="002B5D18" w:rsidRPr="00490C53" w:rsidRDefault="002B5D18">
            <w:pPr>
              <w:pStyle w:val="Tabletext"/>
              <w:spacing w:before="0"/>
              <w:jc w:val="center"/>
              <w:rPr>
                <w:rStyle w:val="Bold"/>
                <w:b w:val="0"/>
              </w:rPr>
            </w:pPr>
            <w:r w:rsidRPr="00490C53">
              <w:t>-0.001</w:t>
            </w:r>
            <w:r w:rsidRPr="00490C53">
              <w:br/>
              <w:t>(0.018)</w:t>
            </w:r>
          </w:p>
        </w:tc>
        <w:tc>
          <w:tcPr>
            <w:tcW w:w="999" w:type="pct"/>
            <w:vAlign w:val="center"/>
          </w:tcPr>
          <w:p w14:paraId="407E7B5F" w14:textId="77777777" w:rsidR="002B5D18" w:rsidRPr="00490C53" w:rsidRDefault="002B5D18">
            <w:pPr>
              <w:pStyle w:val="Tabletext"/>
              <w:spacing w:before="0"/>
              <w:jc w:val="center"/>
              <w:rPr>
                <w:rStyle w:val="Bold"/>
                <w:b w:val="0"/>
              </w:rPr>
            </w:pPr>
            <w:r w:rsidRPr="00490C53">
              <w:t>-0.066</w:t>
            </w:r>
            <w:r w:rsidRPr="00490C53">
              <w:br/>
              <w:t>(0.041)</w:t>
            </w:r>
          </w:p>
        </w:tc>
      </w:tr>
      <w:tr w:rsidR="002B5D18" w:rsidRPr="00490C53" w14:paraId="55DFC01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43A8EFFA" w14:textId="77777777" w:rsidR="002B5D18" w:rsidRPr="00490C53" w:rsidDel="000A1204" w:rsidRDefault="002B5D18">
            <w:pPr>
              <w:pStyle w:val="Tabletext"/>
            </w:pPr>
            <w:r w:rsidRPr="00490C53">
              <w:t>Used Other Support</w:t>
            </w:r>
          </w:p>
        </w:tc>
        <w:tc>
          <w:tcPr>
            <w:tcW w:w="999" w:type="pct"/>
            <w:vAlign w:val="center"/>
          </w:tcPr>
          <w:p w14:paraId="430B2B87" w14:textId="77777777" w:rsidR="002B5D18" w:rsidRPr="00490C53" w:rsidRDefault="002B5D18">
            <w:pPr>
              <w:pStyle w:val="Tabletext"/>
              <w:spacing w:before="0"/>
              <w:jc w:val="center"/>
              <w:rPr>
                <w:rStyle w:val="Bold"/>
                <w:b w:val="0"/>
              </w:rPr>
            </w:pPr>
            <w:r w:rsidRPr="00490C53">
              <w:t>-0.027</w:t>
            </w:r>
            <w:r w:rsidRPr="00490C53">
              <w:br/>
              <w:t>(0.026)</w:t>
            </w:r>
          </w:p>
        </w:tc>
        <w:tc>
          <w:tcPr>
            <w:tcW w:w="999" w:type="pct"/>
            <w:vAlign w:val="center"/>
          </w:tcPr>
          <w:p w14:paraId="1E91AE7D" w14:textId="77777777" w:rsidR="002B5D18" w:rsidRPr="00490C53" w:rsidRDefault="002B5D18">
            <w:pPr>
              <w:pStyle w:val="Tabletext"/>
              <w:spacing w:before="0"/>
              <w:jc w:val="center"/>
              <w:rPr>
                <w:rStyle w:val="Bold"/>
                <w:b w:val="0"/>
              </w:rPr>
            </w:pPr>
            <w:r w:rsidRPr="00490C53">
              <w:t>-0.026</w:t>
            </w:r>
            <w:r w:rsidRPr="00490C53">
              <w:br/>
              <w:t>(0.036)</w:t>
            </w:r>
          </w:p>
        </w:tc>
      </w:tr>
      <w:tr w:rsidR="002B5D18" w:rsidRPr="00490C53" w14:paraId="7332A3F7" w14:textId="77777777">
        <w:tblPrEx>
          <w:tblCellMar>
            <w:left w:w="108" w:type="dxa"/>
            <w:right w:w="108" w:type="dxa"/>
          </w:tblCellMar>
        </w:tblPrEx>
        <w:tc>
          <w:tcPr>
            <w:tcW w:w="3002" w:type="pct"/>
            <w:vAlign w:val="center"/>
          </w:tcPr>
          <w:p w14:paraId="03D8DB32" w14:textId="77777777" w:rsidR="002B5D18" w:rsidRPr="00490C53" w:rsidDel="000A1204" w:rsidRDefault="002B5D18">
            <w:pPr>
              <w:pStyle w:val="Tabletext"/>
            </w:pPr>
            <w:r w:rsidRPr="00490C53">
              <w:t>Constant</w:t>
            </w:r>
          </w:p>
        </w:tc>
        <w:tc>
          <w:tcPr>
            <w:tcW w:w="999" w:type="pct"/>
            <w:vAlign w:val="center"/>
          </w:tcPr>
          <w:p w14:paraId="315DC06B" w14:textId="77777777" w:rsidR="002B5D18" w:rsidRPr="00490C53" w:rsidRDefault="002B5D18">
            <w:pPr>
              <w:pStyle w:val="Tabletext"/>
              <w:spacing w:before="0"/>
              <w:jc w:val="center"/>
              <w:rPr>
                <w:rStyle w:val="Bold"/>
                <w:b w:val="0"/>
              </w:rPr>
            </w:pPr>
            <w:r w:rsidRPr="00490C53">
              <w:t>1.538***</w:t>
            </w:r>
            <w:r w:rsidRPr="00490C53">
              <w:br/>
              <w:t>(0.009)</w:t>
            </w:r>
          </w:p>
        </w:tc>
        <w:tc>
          <w:tcPr>
            <w:tcW w:w="999" w:type="pct"/>
            <w:vAlign w:val="center"/>
          </w:tcPr>
          <w:p w14:paraId="74AB85A3" w14:textId="77777777" w:rsidR="002B5D18" w:rsidRPr="00490C53" w:rsidRDefault="002B5D18">
            <w:pPr>
              <w:pStyle w:val="Tabletext"/>
              <w:spacing w:before="0"/>
              <w:jc w:val="center"/>
              <w:rPr>
                <w:rStyle w:val="Bold"/>
                <w:b w:val="0"/>
              </w:rPr>
            </w:pPr>
            <w:r w:rsidRPr="00490C53">
              <w:t>2.846***</w:t>
            </w:r>
            <w:r w:rsidRPr="00490C53">
              <w:br/>
              <w:t>(0.010)</w:t>
            </w:r>
          </w:p>
        </w:tc>
      </w:tr>
      <w:tr w:rsidR="002B5D18" w:rsidRPr="00490C53" w14:paraId="7357C1F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tcBorders>
              <w:top w:val="single" w:sz="4" w:space="0" w:color="0054BA"/>
            </w:tcBorders>
            <w:vAlign w:val="center"/>
          </w:tcPr>
          <w:p w14:paraId="78C92E57" w14:textId="77777777" w:rsidR="002B5D18" w:rsidRPr="00490C53" w:rsidRDefault="002B5D18">
            <w:pPr>
              <w:pStyle w:val="Tabletext"/>
            </w:pPr>
            <w:r w:rsidRPr="00490C53">
              <w:t>Observations</w:t>
            </w:r>
          </w:p>
        </w:tc>
        <w:tc>
          <w:tcPr>
            <w:tcW w:w="999" w:type="pct"/>
            <w:tcBorders>
              <w:top w:val="single" w:sz="4" w:space="0" w:color="0054BA"/>
            </w:tcBorders>
            <w:vAlign w:val="center"/>
          </w:tcPr>
          <w:p w14:paraId="5903CA4C" w14:textId="77777777" w:rsidR="002B5D18" w:rsidRPr="00490C53" w:rsidRDefault="002B5D18">
            <w:pPr>
              <w:pStyle w:val="Tabletext"/>
              <w:jc w:val="center"/>
              <w:rPr>
                <w:rStyle w:val="Bold"/>
                <w:b w:val="0"/>
              </w:rPr>
            </w:pPr>
            <w:r w:rsidRPr="00490C53">
              <w:t>2,183</w:t>
            </w:r>
          </w:p>
        </w:tc>
        <w:tc>
          <w:tcPr>
            <w:tcW w:w="999" w:type="pct"/>
            <w:tcBorders>
              <w:top w:val="single" w:sz="4" w:space="0" w:color="0054BA"/>
            </w:tcBorders>
            <w:vAlign w:val="center"/>
          </w:tcPr>
          <w:p w14:paraId="0174A7D8" w14:textId="77777777" w:rsidR="002B5D18" w:rsidRPr="00490C53" w:rsidRDefault="002B5D18">
            <w:pPr>
              <w:pStyle w:val="Tabletext"/>
              <w:jc w:val="center"/>
              <w:rPr>
                <w:rStyle w:val="Bold"/>
                <w:b w:val="0"/>
              </w:rPr>
            </w:pPr>
            <w:r w:rsidRPr="00490C53">
              <w:t>1,511</w:t>
            </w:r>
          </w:p>
        </w:tc>
      </w:tr>
      <w:tr w:rsidR="002B5D18" w:rsidRPr="00490C53" w14:paraId="5FF5690B" w14:textId="77777777">
        <w:tblPrEx>
          <w:tblCellMar>
            <w:left w:w="108" w:type="dxa"/>
            <w:right w:w="108" w:type="dxa"/>
          </w:tblCellMar>
        </w:tblPrEx>
        <w:tc>
          <w:tcPr>
            <w:tcW w:w="3002" w:type="pct"/>
            <w:vAlign w:val="center"/>
          </w:tcPr>
          <w:p w14:paraId="08B8F8ED" w14:textId="77777777" w:rsidR="002B5D18" w:rsidRPr="00490C53" w:rsidRDefault="002B5D18">
            <w:pPr>
              <w:pStyle w:val="Tabletext"/>
            </w:pPr>
            <w:r w:rsidRPr="00490C53">
              <w:t>R-squared</w:t>
            </w:r>
          </w:p>
        </w:tc>
        <w:tc>
          <w:tcPr>
            <w:tcW w:w="999" w:type="pct"/>
            <w:vAlign w:val="center"/>
          </w:tcPr>
          <w:p w14:paraId="3B32532C" w14:textId="77777777" w:rsidR="002B5D18" w:rsidRPr="00490C53" w:rsidRDefault="002B5D18">
            <w:pPr>
              <w:pStyle w:val="Tabletext"/>
              <w:jc w:val="center"/>
              <w:rPr>
                <w:rStyle w:val="Bold"/>
                <w:b w:val="0"/>
              </w:rPr>
            </w:pPr>
            <w:r w:rsidRPr="00490C53">
              <w:t>0.060</w:t>
            </w:r>
          </w:p>
        </w:tc>
        <w:tc>
          <w:tcPr>
            <w:tcW w:w="999" w:type="pct"/>
            <w:vAlign w:val="center"/>
          </w:tcPr>
          <w:p w14:paraId="14AD85DF" w14:textId="77777777" w:rsidR="002B5D18" w:rsidRPr="00490C53" w:rsidRDefault="002B5D18">
            <w:pPr>
              <w:pStyle w:val="Tabletext"/>
              <w:jc w:val="center"/>
              <w:rPr>
                <w:rStyle w:val="Bold"/>
                <w:b w:val="0"/>
              </w:rPr>
            </w:pPr>
            <w:r w:rsidRPr="00490C53">
              <w:t>0.073</w:t>
            </w:r>
          </w:p>
        </w:tc>
      </w:tr>
      <w:tr w:rsidR="002B5D18" w:rsidRPr="00490C53" w14:paraId="63A7452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tcBorders>
              <w:bottom w:val="single" w:sz="4" w:space="0" w:color="0054BA" w:themeColor="accent2"/>
            </w:tcBorders>
            <w:vAlign w:val="center"/>
          </w:tcPr>
          <w:p w14:paraId="64CBAB34" w14:textId="77777777" w:rsidR="002B5D18" w:rsidRPr="00490C53" w:rsidRDefault="002B5D18">
            <w:pPr>
              <w:pStyle w:val="Tabletext"/>
            </w:pPr>
            <w:r w:rsidRPr="00490C53">
              <w:t>Business fixed effects</w:t>
            </w:r>
          </w:p>
        </w:tc>
        <w:tc>
          <w:tcPr>
            <w:tcW w:w="999" w:type="pct"/>
            <w:tcBorders>
              <w:bottom w:val="single" w:sz="4" w:space="0" w:color="0054BA" w:themeColor="accent2"/>
            </w:tcBorders>
            <w:vAlign w:val="center"/>
          </w:tcPr>
          <w:p w14:paraId="7473CC6B" w14:textId="77777777" w:rsidR="002B5D18" w:rsidRPr="00490C53" w:rsidRDefault="002B5D18">
            <w:pPr>
              <w:pStyle w:val="Tabletext"/>
              <w:spacing w:before="0" w:line="240" w:lineRule="auto"/>
              <w:jc w:val="center"/>
              <w:rPr>
                <w:rStyle w:val="Bold"/>
                <w:rFonts w:cstheme="minorHAnsi"/>
                <w:sz w:val="22"/>
              </w:rPr>
            </w:pPr>
            <w:r w:rsidRPr="00490C53">
              <w:t>Yes</w:t>
            </w:r>
          </w:p>
        </w:tc>
        <w:tc>
          <w:tcPr>
            <w:tcW w:w="999" w:type="pct"/>
            <w:tcBorders>
              <w:bottom w:val="single" w:sz="4" w:space="0" w:color="0054BA" w:themeColor="accent2"/>
            </w:tcBorders>
            <w:vAlign w:val="center"/>
          </w:tcPr>
          <w:p w14:paraId="19761F9B" w14:textId="77777777" w:rsidR="002B5D18" w:rsidRPr="00490C53" w:rsidRDefault="002B5D18">
            <w:pPr>
              <w:pStyle w:val="Tabletext"/>
              <w:spacing w:before="0" w:line="240" w:lineRule="auto"/>
              <w:jc w:val="center"/>
              <w:rPr>
                <w:rStyle w:val="Bold"/>
                <w:rFonts w:cstheme="minorHAnsi"/>
                <w:sz w:val="22"/>
              </w:rPr>
            </w:pPr>
            <w:r w:rsidRPr="00490C53">
              <w:t>Yes</w:t>
            </w:r>
          </w:p>
        </w:tc>
      </w:tr>
    </w:tbl>
    <w:p w14:paraId="23153D84" w14:textId="4C263EB0" w:rsidR="002B5D18" w:rsidRPr="00490C53" w:rsidRDefault="00DA466B" w:rsidP="002B5D18">
      <w:pPr>
        <w:pStyle w:val="Caption"/>
      </w:pPr>
      <w:r>
        <w:t xml:space="preserve">Note: </w:t>
      </w:r>
      <w:r w:rsidR="002B5D18" w:rsidRPr="00490C53">
        <w:t>Robust standard errors in parentheses. *** p-value&lt;0.01, ** p-value&lt;0.05, * p-value&lt;0.1. Source: London Economics’ analysis of survey data.</w:t>
      </w:r>
    </w:p>
    <w:p w14:paraId="00E5C1F4" w14:textId="35A93DFE" w:rsidR="002B5D18" w:rsidRPr="00490C53" w:rsidRDefault="002B5D18" w:rsidP="002B5D18">
      <w:pPr>
        <w:pStyle w:val="Heading5"/>
      </w:pPr>
      <w:bookmarkStart w:id="280" w:name="_Ref92817041"/>
      <w:bookmarkStart w:id="281" w:name="_Ref92816448"/>
      <w:r w:rsidRPr="00490C53">
        <w:lastRenderedPageBreak/>
        <w:t xml:space="preserve">Table </w:t>
      </w:r>
      <w:r w:rsidRPr="00846F78">
        <w:fldChar w:fldCharType="begin"/>
      </w:r>
      <w:r w:rsidRPr="00490C53">
        <w:instrText xml:space="preserve"> SEQ Table \* ARABIC </w:instrText>
      </w:r>
      <w:r w:rsidRPr="00846F78">
        <w:fldChar w:fldCharType="separate"/>
      </w:r>
      <w:r w:rsidR="00397D49">
        <w:rPr>
          <w:noProof/>
        </w:rPr>
        <w:t>35</w:t>
      </w:r>
      <w:r w:rsidRPr="00846F78">
        <w:fldChar w:fldCharType="end"/>
      </w:r>
      <w:bookmarkEnd w:id="280"/>
      <w:r w:rsidRPr="00490C53">
        <w:t>: Estimated impact of the Covid-19 Loan Guarantee Schemes on turnover – by protected characteristics</w:t>
      </w:r>
      <w:bookmarkEnd w:id="281"/>
      <w:r w:rsidRPr="00490C53">
        <w:t xml:space="preserve"> among business ownership</w:t>
      </w:r>
    </w:p>
    <w:tbl>
      <w:tblPr>
        <w:tblStyle w:val="TableGrid"/>
        <w:tblW w:w="5000" w:type="pct"/>
        <w:tblLook w:val="04A0" w:firstRow="1" w:lastRow="0" w:firstColumn="1" w:lastColumn="0" w:noHBand="0" w:noVBand="1"/>
      </w:tblPr>
      <w:tblGrid>
        <w:gridCol w:w="5628"/>
        <w:gridCol w:w="2264"/>
        <w:gridCol w:w="2262"/>
      </w:tblGrid>
      <w:tr w:rsidR="002B5D18" w:rsidRPr="00490C53" w14:paraId="0AFC820A" w14:textId="77777777">
        <w:trPr>
          <w:cnfStyle w:val="100000000000" w:firstRow="1" w:lastRow="0" w:firstColumn="0" w:lastColumn="0" w:oddVBand="0" w:evenVBand="0" w:oddHBand="0" w:evenHBand="0" w:firstRowFirstColumn="0" w:firstRowLastColumn="0" w:lastRowFirstColumn="0" w:lastRowLastColumn="0"/>
          <w:tblHeader/>
        </w:trPr>
        <w:tc>
          <w:tcPr>
            <w:tcW w:w="2771" w:type="pct"/>
          </w:tcPr>
          <w:p w14:paraId="094E6EAF" w14:textId="77777777" w:rsidR="002B5D18" w:rsidRPr="00490C53" w:rsidRDefault="002B5D18">
            <w:pPr>
              <w:pStyle w:val="Tablecolumnheading-inkblue"/>
              <w:rPr>
                <w:b w:val="0"/>
                <w:color w:val="FFFFFF" w:themeColor="background1"/>
                <w:sz w:val="22"/>
                <w:szCs w:val="20"/>
              </w:rPr>
            </w:pPr>
            <w:r w:rsidRPr="00490C53">
              <w:rPr>
                <w:color w:val="FFFFFF" w:themeColor="background1"/>
                <w:sz w:val="22"/>
                <w:szCs w:val="20"/>
              </w:rPr>
              <w:t>Variable</w:t>
            </w:r>
          </w:p>
        </w:tc>
        <w:tc>
          <w:tcPr>
            <w:tcW w:w="1115" w:type="pct"/>
          </w:tcPr>
          <w:p w14:paraId="20F8D62A"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BBLS</w:t>
            </w:r>
          </w:p>
        </w:tc>
        <w:tc>
          <w:tcPr>
            <w:tcW w:w="1114" w:type="pct"/>
          </w:tcPr>
          <w:p w14:paraId="053CDD25"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CBILS/CLBILS</w:t>
            </w:r>
          </w:p>
        </w:tc>
      </w:tr>
      <w:tr w:rsidR="002B5D18" w:rsidRPr="00490C53" w14:paraId="25BCC81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vAlign w:val="center"/>
          </w:tcPr>
          <w:p w14:paraId="14156E33" w14:textId="77777777" w:rsidR="002B5D18" w:rsidRPr="00490C53" w:rsidRDefault="002B5D18">
            <w:pPr>
              <w:pStyle w:val="Tabletext"/>
            </w:pPr>
            <w:r w:rsidRPr="00490C53">
              <w:t>Post intervention (Year 2)</w:t>
            </w:r>
          </w:p>
        </w:tc>
        <w:tc>
          <w:tcPr>
            <w:tcW w:w="1115" w:type="pct"/>
            <w:vAlign w:val="center"/>
          </w:tcPr>
          <w:p w14:paraId="15314AF9" w14:textId="77777777" w:rsidR="002B5D18" w:rsidRPr="00490C53" w:rsidRDefault="002B5D18">
            <w:pPr>
              <w:pStyle w:val="Tabletext"/>
              <w:spacing w:before="0"/>
              <w:jc w:val="center"/>
            </w:pPr>
            <w:r w:rsidRPr="00490C53">
              <w:t>-0.047</w:t>
            </w:r>
            <w:r w:rsidRPr="00490C53">
              <w:br/>
              <w:t>(0.063)</w:t>
            </w:r>
          </w:p>
        </w:tc>
        <w:tc>
          <w:tcPr>
            <w:tcW w:w="1114" w:type="pct"/>
            <w:vAlign w:val="center"/>
          </w:tcPr>
          <w:p w14:paraId="1F15E346" w14:textId="77777777" w:rsidR="002B5D18" w:rsidRPr="00490C53" w:rsidRDefault="002B5D18">
            <w:pPr>
              <w:pStyle w:val="Tabletext"/>
              <w:spacing w:before="0"/>
              <w:jc w:val="center"/>
            </w:pPr>
            <w:r w:rsidRPr="00490C53">
              <w:t>-0.044</w:t>
            </w:r>
            <w:r w:rsidRPr="00490C53">
              <w:br/>
              <w:t>(0.094)</w:t>
            </w:r>
          </w:p>
        </w:tc>
      </w:tr>
      <w:tr w:rsidR="002B5D18" w:rsidRPr="00490C53" w14:paraId="26C28006" w14:textId="77777777">
        <w:tblPrEx>
          <w:tblCellMar>
            <w:left w:w="108" w:type="dxa"/>
            <w:right w:w="108" w:type="dxa"/>
          </w:tblCellMar>
        </w:tblPrEx>
        <w:tc>
          <w:tcPr>
            <w:tcW w:w="2771" w:type="pct"/>
            <w:vAlign w:val="center"/>
          </w:tcPr>
          <w:p w14:paraId="5654D968" w14:textId="77777777" w:rsidR="002B5D18" w:rsidRPr="00490C53" w:rsidRDefault="002B5D18">
            <w:pPr>
              <w:pStyle w:val="Tabletext"/>
            </w:pPr>
            <w:r w:rsidRPr="00490C53">
              <w:t>Borrower, post intervention (Year 2)</w:t>
            </w:r>
          </w:p>
        </w:tc>
        <w:tc>
          <w:tcPr>
            <w:tcW w:w="1115" w:type="pct"/>
            <w:vAlign w:val="center"/>
          </w:tcPr>
          <w:p w14:paraId="10255213" w14:textId="77777777" w:rsidR="002B5D18" w:rsidRPr="00490C53" w:rsidRDefault="002B5D18">
            <w:pPr>
              <w:pStyle w:val="Tabletext"/>
              <w:spacing w:before="0"/>
              <w:jc w:val="center"/>
            </w:pPr>
            <w:r w:rsidRPr="00490C53">
              <w:t>0.004</w:t>
            </w:r>
            <w:r w:rsidRPr="00490C53">
              <w:br/>
              <w:t>(0.003)</w:t>
            </w:r>
          </w:p>
        </w:tc>
        <w:tc>
          <w:tcPr>
            <w:tcW w:w="1114" w:type="pct"/>
            <w:vAlign w:val="center"/>
          </w:tcPr>
          <w:p w14:paraId="02CA5243" w14:textId="77777777" w:rsidR="002B5D18" w:rsidRPr="00490C53" w:rsidRDefault="002B5D18">
            <w:pPr>
              <w:pStyle w:val="Tabletext"/>
              <w:spacing w:before="0"/>
              <w:jc w:val="center"/>
            </w:pPr>
            <w:r w:rsidRPr="00490C53">
              <w:t>-0.026</w:t>
            </w:r>
            <w:r w:rsidRPr="00490C53">
              <w:br/>
              <w:t>(0.199)</w:t>
            </w:r>
          </w:p>
        </w:tc>
      </w:tr>
      <w:tr w:rsidR="002B5D18" w:rsidRPr="00490C53" w14:paraId="1183C56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vAlign w:val="center"/>
          </w:tcPr>
          <w:p w14:paraId="0EB63C0E" w14:textId="77777777" w:rsidR="002B5D18" w:rsidRPr="00490C53" w:rsidRDefault="002B5D18">
            <w:pPr>
              <w:pStyle w:val="Tabletext"/>
            </w:pPr>
            <w:r w:rsidRPr="00490C53">
              <w:t>Majority female representation</w:t>
            </w:r>
            <w:r w:rsidRPr="00490C53">
              <w:rPr>
                <w:rStyle w:val="FootnoteReference"/>
              </w:rPr>
              <w:footnoteReference w:id="151"/>
            </w:r>
            <w:r w:rsidRPr="00490C53">
              <w:t>, post intervention (Year 2)</w:t>
            </w:r>
          </w:p>
        </w:tc>
        <w:tc>
          <w:tcPr>
            <w:tcW w:w="1115" w:type="pct"/>
            <w:vAlign w:val="center"/>
          </w:tcPr>
          <w:p w14:paraId="002A8F5A" w14:textId="77777777" w:rsidR="002B5D18" w:rsidRPr="00490C53" w:rsidRDefault="002B5D18">
            <w:pPr>
              <w:pStyle w:val="Tabletext"/>
              <w:spacing w:before="0"/>
              <w:jc w:val="center"/>
            </w:pPr>
            <w:r w:rsidRPr="00490C53">
              <w:t>0.017</w:t>
            </w:r>
            <w:r w:rsidRPr="00490C53">
              <w:br/>
              <w:t>(0.044)</w:t>
            </w:r>
          </w:p>
        </w:tc>
        <w:tc>
          <w:tcPr>
            <w:tcW w:w="1114" w:type="pct"/>
            <w:vAlign w:val="center"/>
          </w:tcPr>
          <w:p w14:paraId="7BCA0DE3" w14:textId="77777777" w:rsidR="002B5D18" w:rsidRPr="00490C53" w:rsidRDefault="002B5D18">
            <w:pPr>
              <w:pStyle w:val="Tabletext"/>
              <w:spacing w:before="0"/>
              <w:jc w:val="center"/>
            </w:pPr>
            <w:r w:rsidRPr="00490C53">
              <w:t>-0.412*</w:t>
            </w:r>
            <w:r w:rsidRPr="00490C53">
              <w:br/>
              <w:t>(0.177)</w:t>
            </w:r>
          </w:p>
        </w:tc>
      </w:tr>
      <w:tr w:rsidR="002B5D18" w:rsidRPr="00490C53" w14:paraId="2504C23E" w14:textId="77777777">
        <w:tblPrEx>
          <w:tblCellMar>
            <w:left w:w="108" w:type="dxa"/>
            <w:right w:w="108" w:type="dxa"/>
          </w:tblCellMar>
        </w:tblPrEx>
        <w:tc>
          <w:tcPr>
            <w:tcW w:w="2771" w:type="pct"/>
            <w:vAlign w:val="center"/>
          </w:tcPr>
          <w:p w14:paraId="07383BDD" w14:textId="77777777" w:rsidR="002B5D18" w:rsidRPr="00490C53" w:rsidRDefault="002B5D18">
            <w:pPr>
              <w:pStyle w:val="Tabletext"/>
            </w:pPr>
            <w:r w:rsidRPr="00490C53">
              <w:t>Majority female representation, Borrower, post intervention (Year 2)</w:t>
            </w:r>
          </w:p>
        </w:tc>
        <w:tc>
          <w:tcPr>
            <w:tcW w:w="1115" w:type="pct"/>
            <w:vAlign w:val="center"/>
          </w:tcPr>
          <w:p w14:paraId="135D390C" w14:textId="77777777" w:rsidR="002B5D18" w:rsidRPr="00490C53" w:rsidRDefault="002B5D18">
            <w:pPr>
              <w:pStyle w:val="Tabletext"/>
              <w:spacing w:before="0"/>
              <w:jc w:val="center"/>
            </w:pPr>
            <w:r w:rsidRPr="00490C53">
              <w:t>0.026</w:t>
            </w:r>
            <w:r w:rsidRPr="00490C53">
              <w:br/>
              <w:t>(0.045)</w:t>
            </w:r>
          </w:p>
        </w:tc>
        <w:tc>
          <w:tcPr>
            <w:tcW w:w="1114" w:type="pct"/>
            <w:vAlign w:val="center"/>
          </w:tcPr>
          <w:p w14:paraId="7A6237D4" w14:textId="77777777" w:rsidR="002B5D18" w:rsidRPr="00490C53" w:rsidRDefault="002B5D18">
            <w:pPr>
              <w:pStyle w:val="Tabletext"/>
              <w:spacing w:before="0"/>
              <w:jc w:val="center"/>
            </w:pPr>
            <w:r w:rsidRPr="00490C53">
              <w:t>0.311</w:t>
            </w:r>
            <w:r w:rsidRPr="00490C53">
              <w:br/>
              <w:t>(0.383)</w:t>
            </w:r>
          </w:p>
        </w:tc>
      </w:tr>
      <w:tr w:rsidR="002B5D18" w:rsidRPr="00490C53" w14:paraId="5F1B1BC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vAlign w:val="center"/>
          </w:tcPr>
          <w:p w14:paraId="429C92AC" w14:textId="77777777" w:rsidR="002B5D18" w:rsidRPr="00490C53" w:rsidRDefault="002B5D18">
            <w:pPr>
              <w:pStyle w:val="Tabletext"/>
            </w:pPr>
            <w:r w:rsidRPr="00490C53">
              <w:t>Majority ethnic minority representation, post intervention (Year 2)</w:t>
            </w:r>
          </w:p>
        </w:tc>
        <w:tc>
          <w:tcPr>
            <w:tcW w:w="1115" w:type="pct"/>
            <w:vAlign w:val="center"/>
          </w:tcPr>
          <w:p w14:paraId="0BB3BBA3" w14:textId="77777777" w:rsidR="002B5D18" w:rsidRPr="00490C53" w:rsidRDefault="002B5D18">
            <w:pPr>
              <w:pStyle w:val="Tabletext"/>
              <w:spacing w:before="0"/>
              <w:jc w:val="center"/>
            </w:pPr>
            <w:r w:rsidRPr="00490C53">
              <w:t>0.214</w:t>
            </w:r>
            <w:r w:rsidRPr="00490C53">
              <w:br/>
              <w:t>(0.143)</w:t>
            </w:r>
          </w:p>
        </w:tc>
        <w:tc>
          <w:tcPr>
            <w:tcW w:w="1114" w:type="pct"/>
            <w:vAlign w:val="center"/>
          </w:tcPr>
          <w:p w14:paraId="093205F4" w14:textId="77777777" w:rsidR="002B5D18" w:rsidRPr="00490C53" w:rsidRDefault="002B5D18">
            <w:pPr>
              <w:pStyle w:val="Tabletext"/>
              <w:spacing w:before="0"/>
              <w:jc w:val="center"/>
            </w:pPr>
            <w:r w:rsidRPr="00490C53">
              <w:t>-0.301**</w:t>
            </w:r>
            <w:r w:rsidRPr="00490C53">
              <w:br/>
              <w:t>(0.079)</w:t>
            </w:r>
          </w:p>
        </w:tc>
      </w:tr>
      <w:tr w:rsidR="002B5D18" w:rsidRPr="00490C53" w14:paraId="7B9A7E07" w14:textId="77777777">
        <w:tblPrEx>
          <w:tblCellMar>
            <w:left w:w="108" w:type="dxa"/>
            <w:right w:w="108" w:type="dxa"/>
          </w:tblCellMar>
        </w:tblPrEx>
        <w:tc>
          <w:tcPr>
            <w:tcW w:w="2771" w:type="pct"/>
            <w:vAlign w:val="center"/>
          </w:tcPr>
          <w:p w14:paraId="2E05C610" w14:textId="77777777" w:rsidR="002B5D18" w:rsidRPr="00490C53" w:rsidRDefault="002B5D18">
            <w:pPr>
              <w:pStyle w:val="Tabletext"/>
            </w:pPr>
            <w:r w:rsidRPr="00490C53">
              <w:t>Majority ethnic minority representation, Borrower, post intervention (Year 2)</w:t>
            </w:r>
          </w:p>
        </w:tc>
        <w:tc>
          <w:tcPr>
            <w:tcW w:w="1115" w:type="pct"/>
            <w:vAlign w:val="center"/>
          </w:tcPr>
          <w:p w14:paraId="2E8C17B3" w14:textId="77777777" w:rsidR="002B5D18" w:rsidRPr="00490C53" w:rsidRDefault="002B5D18">
            <w:pPr>
              <w:pStyle w:val="Tabletext"/>
              <w:spacing w:before="0"/>
              <w:jc w:val="center"/>
            </w:pPr>
            <w:r w:rsidRPr="00490C53">
              <w:t>-0.231</w:t>
            </w:r>
            <w:r w:rsidRPr="00490C53">
              <w:br/>
              <w:t>(0.259)</w:t>
            </w:r>
          </w:p>
        </w:tc>
        <w:tc>
          <w:tcPr>
            <w:tcW w:w="1114" w:type="pct"/>
            <w:vAlign w:val="center"/>
          </w:tcPr>
          <w:p w14:paraId="4F75F73B" w14:textId="77777777" w:rsidR="002B5D18" w:rsidRPr="00490C53" w:rsidRDefault="002B5D18">
            <w:pPr>
              <w:pStyle w:val="Tabletext"/>
              <w:spacing w:before="0"/>
              <w:jc w:val="center"/>
            </w:pPr>
            <w:r w:rsidRPr="00490C53">
              <w:t>1.038</w:t>
            </w:r>
            <w:r w:rsidRPr="00490C53">
              <w:br/>
              <w:t>(0.510)</w:t>
            </w:r>
          </w:p>
        </w:tc>
      </w:tr>
      <w:tr w:rsidR="002B5D18" w:rsidRPr="00490C53" w14:paraId="77E78A0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vAlign w:val="center"/>
          </w:tcPr>
          <w:p w14:paraId="70E1CC73" w14:textId="77777777" w:rsidR="002B5D18" w:rsidRPr="00490C53" w:rsidRDefault="002B5D18">
            <w:pPr>
              <w:pStyle w:val="Tabletext"/>
            </w:pPr>
            <w:bookmarkStart w:id="282" w:name="_Hlk92836410"/>
            <w:r w:rsidRPr="00490C53">
              <w:t>Post intervention (Year 1)</w:t>
            </w:r>
          </w:p>
        </w:tc>
        <w:tc>
          <w:tcPr>
            <w:tcW w:w="1115" w:type="pct"/>
            <w:vAlign w:val="center"/>
          </w:tcPr>
          <w:p w14:paraId="216D4600" w14:textId="77777777" w:rsidR="002B5D18" w:rsidRPr="00490C53" w:rsidRDefault="002B5D18">
            <w:pPr>
              <w:pStyle w:val="Tabletext"/>
              <w:spacing w:before="0"/>
              <w:jc w:val="center"/>
              <w:rPr>
                <w:rStyle w:val="Bold"/>
                <w:b w:val="0"/>
              </w:rPr>
            </w:pPr>
            <w:r w:rsidRPr="00490C53">
              <w:t>-0.162</w:t>
            </w:r>
            <w:r w:rsidRPr="00490C53">
              <w:br/>
              <w:t>(0.099)</w:t>
            </w:r>
          </w:p>
        </w:tc>
        <w:tc>
          <w:tcPr>
            <w:tcW w:w="1114" w:type="pct"/>
            <w:vAlign w:val="center"/>
          </w:tcPr>
          <w:p w14:paraId="782328F7" w14:textId="77777777" w:rsidR="002B5D18" w:rsidRPr="00490C53" w:rsidRDefault="002B5D18">
            <w:pPr>
              <w:pStyle w:val="Tabletext"/>
              <w:spacing w:before="0"/>
              <w:jc w:val="center"/>
              <w:rPr>
                <w:rStyle w:val="Bold"/>
                <w:b w:val="0"/>
              </w:rPr>
            </w:pPr>
            <w:r w:rsidRPr="00490C53">
              <w:t>-0.248*</w:t>
            </w:r>
            <w:r w:rsidRPr="00490C53">
              <w:br/>
              <w:t>(0.105)</w:t>
            </w:r>
          </w:p>
        </w:tc>
      </w:tr>
      <w:tr w:rsidR="002B5D18" w:rsidRPr="00490C53" w14:paraId="5A34B7E4" w14:textId="77777777">
        <w:tblPrEx>
          <w:tblCellMar>
            <w:left w:w="108" w:type="dxa"/>
            <w:right w:w="108" w:type="dxa"/>
          </w:tblCellMar>
        </w:tblPrEx>
        <w:tc>
          <w:tcPr>
            <w:tcW w:w="2771" w:type="pct"/>
            <w:vAlign w:val="center"/>
          </w:tcPr>
          <w:p w14:paraId="08A844E2" w14:textId="77777777" w:rsidR="002B5D18" w:rsidRPr="00490C53" w:rsidRDefault="002B5D18">
            <w:pPr>
              <w:pStyle w:val="Tabletext"/>
            </w:pPr>
            <w:r w:rsidRPr="00490C53">
              <w:t>Borrower, post intervention (Year 1)</w:t>
            </w:r>
          </w:p>
        </w:tc>
        <w:tc>
          <w:tcPr>
            <w:tcW w:w="1115" w:type="pct"/>
            <w:vAlign w:val="center"/>
          </w:tcPr>
          <w:p w14:paraId="3A674714" w14:textId="77777777" w:rsidR="002B5D18" w:rsidRPr="00490C53" w:rsidRDefault="002B5D18">
            <w:pPr>
              <w:pStyle w:val="Tabletext"/>
              <w:spacing w:before="0"/>
              <w:jc w:val="center"/>
              <w:rPr>
                <w:rStyle w:val="Bold"/>
                <w:b w:val="0"/>
              </w:rPr>
            </w:pPr>
            <w:r w:rsidRPr="00490C53">
              <w:t>0.005</w:t>
            </w:r>
            <w:r w:rsidRPr="00490C53">
              <w:br/>
              <w:t>(0.041)</w:t>
            </w:r>
          </w:p>
        </w:tc>
        <w:tc>
          <w:tcPr>
            <w:tcW w:w="1114" w:type="pct"/>
            <w:vAlign w:val="center"/>
          </w:tcPr>
          <w:p w14:paraId="271E8DDA" w14:textId="77777777" w:rsidR="002B5D18" w:rsidRPr="00490C53" w:rsidRDefault="002B5D18">
            <w:pPr>
              <w:pStyle w:val="Tabletext"/>
              <w:spacing w:before="0"/>
              <w:jc w:val="center"/>
              <w:rPr>
                <w:rStyle w:val="Bold"/>
                <w:b w:val="0"/>
              </w:rPr>
            </w:pPr>
            <w:r w:rsidRPr="00490C53">
              <w:t>-0.070</w:t>
            </w:r>
            <w:r w:rsidRPr="00490C53">
              <w:br/>
              <w:t>(0.098)</w:t>
            </w:r>
          </w:p>
        </w:tc>
      </w:tr>
      <w:tr w:rsidR="002B5D18" w:rsidRPr="00490C53" w14:paraId="7BF416C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vAlign w:val="center"/>
          </w:tcPr>
          <w:p w14:paraId="337F7B8C" w14:textId="77777777" w:rsidR="002B5D18" w:rsidRPr="00490C53" w:rsidDel="000A1204" w:rsidRDefault="002B5D18">
            <w:pPr>
              <w:pStyle w:val="Tabletext"/>
            </w:pPr>
            <w:r w:rsidRPr="00490C53">
              <w:t>Majority female representation</w:t>
            </w:r>
            <w:r w:rsidRPr="00490C53">
              <w:rPr>
                <w:rStyle w:val="FootnoteReference"/>
              </w:rPr>
              <w:footnoteReference w:id="152"/>
            </w:r>
            <w:r w:rsidRPr="00490C53">
              <w:t>, post intervention (Year 1)</w:t>
            </w:r>
          </w:p>
        </w:tc>
        <w:tc>
          <w:tcPr>
            <w:tcW w:w="1115" w:type="pct"/>
            <w:vAlign w:val="center"/>
          </w:tcPr>
          <w:p w14:paraId="3CB37BE8" w14:textId="77777777" w:rsidR="002B5D18" w:rsidRPr="00490C53" w:rsidRDefault="002B5D18">
            <w:pPr>
              <w:pStyle w:val="Tabletext"/>
              <w:spacing w:before="0"/>
              <w:jc w:val="center"/>
              <w:rPr>
                <w:rStyle w:val="Bold"/>
                <w:b w:val="0"/>
              </w:rPr>
            </w:pPr>
            <w:r w:rsidRPr="00490C53">
              <w:t>-0.154</w:t>
            </w:r>
            <w:r w:rsidRPr="00490C53">
              <w:br/>
              <w:t>(0.120)</w:t>
            </w:r>
          </w:p>
        </w:tc>
        <w:tc>
          <w:tcPr>
            <w:tcW w:w="1114" w:type="pct"/>
            <w:vAlign w:val="center"/>
          </w:tcPr>
          <w:p w14:paraId="4CA54926" w14:textId="77777777" w:rsidR="002B5D18" w:rsidRPr="00490C53" w:rsidRDefault="002B5D18">
            <w:pPr>
              <w:pStyle w:val="Tabletext"/>
              <w:spacing w:before="0"/>
              <w:jc w:val="center"/>
              <w:rPr>
                <w:rStyle w:val="Bold"/>
                <w:b w:val="0"/>
              </w:rPr>
            </w:pPr>
            <w:r w:rsidRPr="00490C53">
              <w:t>-0.239*</w:t>
            </w:r>
            <w:r w:rsidRPr="00490C53">
              <w:br/>
              <w:t>(0.096)</w:t>
            </w:r>
          </w:p>
        </w:tc>
      </w:tr>
      <w:tr w:rsidR="002B5D18" w:rsidRPr="00490C53" w14:paraId="03ED44AB" w14:textId="77777777">
        <w:tblPrEx>
          <w:tblCellMar>
            <w:left w:w="108" w:type="dxa"/>
            <w:right w:w="108" w:type="dxa"/>
          </w:tblCellMar>
        </w:tblPrEx>
        <w:tc>
          <w:tcPr>
            <w:tcW w:w="2771" w:type="pct"/>
            <w:vAlign w:val="center"/>
          </w:tcPr>
          <w:p w14:paraId="5E1B1102" w14:textId="77777777" w:rsidR="002B5D18" w:rsidRPr="00490C53" w:rsidDel="000A1204" w:rsidRDefault="002B5D18">
            <w:pPr>
              <w:pStyle w:val="Tabletext"/>
            </w:pPr>
            <w:r w:rsidRPr="00490C53">
              <w:t>Majority female representation, Borrower, post intervention (Year 1)</w:t>
            </w:r>
          </w:p>
        </w:tc>
        <w:tc>
          <w:tcPr>
            <w:tcW w:w="1115" w:type="pct"/>
            <w:vAlign w:val="center"/>
          </w:tcPr>
          <w:p w14:paraId="4F685A75" w14:textId="77777777" w:rsidR="002B5D18" w:rsidRPr="00490C53" w:rsidRDefault="002B5D18">
            <w:pPr>
              <w:pStyle w:val="Tabletext"/>
              <w:spacing w:before="0"/>
              <w:jc w:val="center"/>
              <w:rPr>
                <w:rStyle w:val="Bold"/>
                <w:b w:val="0"/>
              </w:rPr>
            </w:pPr>
            <w:r w:rsidRPr="00490C53">
              <w:t>0.033</w:t>
            </w:r>
            <w:r w:rsidRPr="00490C53">
              <w:br/>
              <w:t>(0.101)</w:t>
            </w:r>
          </w:p>
        </w:tc>
        <w:tc>
          <w:tcPr>
            <w:tcW w:w="1114" w:type="pct"/>
            <w:vAlign w:val="center"/>
          </w:tcPr>
          <w:p w14:paraId="71632772" w14:textId="77777777" w:rsidR="002B5D18" w:rsidRPr="00490C53" w:rsidRDefault="002B5D18">
            <w:pPr>
              <w:pStyle w:val="Tabletext"/>
              <w:spacing w:before="0"/>
              <w:jc w:val="center"/>
              <w:rPr>
                <w:rStyle w:val="Bold"/>
                <w:b w:val="0"/>
              </w:rPr>
            </w:pPr>
            <w:r w:rsidRPr="00490C53">
              <w:t>0.253*</w:t>
            </w:r>
            <w:r w:rsidRPr="00490C53">
              <w:br/>
              <w:t>(0.108)</w:t>
            </w:r>
          </w:p>
        </w:tc>
      </w:tr>
      <w:bookmarkEnd w:id="282"/>
      <w:tr w:rsidR="002B5D18" w:rsidRPr="00490C53" w14:paraId="65FF5FD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vAlign w:val="center"/>
          </w:tcPr>
          <w:p w14:paraId="406FF829" w14:textId="77777777" w:rsidR="002B5D18" w:rsidRPr="00490C53" w:rsidDel="000A1204" w:rsidRDefault="002B5D18">
            <w:pPr>
              <w:pStyle w:val="Tabletext"/>
            </w:pPr>
            <w:r w:rsidRPr="00490C53">
              <w:t>Majority ethnic minority representation, post intervention (Year 1)</w:t>
            </w:r>
          </w:p>
        </w:tc>
        <w:tc>
          <w:tcPr>
            <w:tcW w:w="1115" w:type="pct"/>
            <w:vAlign w:val="center"/>
          </w:tcPr>
          <w:p w14:paraId="229024E6" w14:textId="77777777" w:rsidR="002B5D18" w:rsidRPr="00490C53" w:rsidRDefault="002B5D18">
            <w:pPr>
              <w:pStyle w:val="Tabletext"/>
              <w:spacing w:before="0"/>
              <w:jc w:val="center"/>
              <w:rPr>
                <w:rStyle w:val="Bold"/>
                <w:b w:val="0"/>
              </w:rPr>
            </w:pPr>
            <w:r w:rsidRPr="00490C53">
              <w:t>0.322</w:t>
            </w:r>
            <w:r w:rsidRPr="00490C53">
              <w:br/>
              <w:t>(0.215)</w:t>
            </w:r>
          </w:p>
        </w:tc>
        <w:tc>
          <w:tcPr>
            <w:tcW w:w="1114" w:type="pct"/>
            <w:vAlign w:val="center"/>
          </w:tcPr>
          <w:p w14:paraId="0EE44388" w14:textId="77777777" w:rsidR="002B5D18" w:rsidRPr="00490C53" w:rsidRDefault="002B5D18">
            <w:pPr>
              <w:pStyle w:val="Tabletext"/>
              <w:spacing w:before="0"/>
              <w:jc w:val="center"/>
              <w:rPr>
                <w:rStyle w:val="Bold"/>
                <w:b w:val="0"/>
              </w:rPr>
            </w:pPr>
            <w:r w:rsidRPr="00490C53">
              <w:t>-0.152</w:t>
            </w:r>
            <w:r w:rsidRPr="00490C53">
              <w:br/>
              <w:t>(0.092)</w:t>
            </w:r>
          </w:p>
        </w:tc>
      </w:tr>
      <w:tr w:rsidR="002B5D18" w:rsidRPr="00490C53" w14:paraId="1C5BDDCD" w14:textId="77777777">
        <w:tblPrEx>
          <w:tblCellMar>
            <w:left w:w="108" w:type="dxa"/>
            <w:right w:w="108" w:type="dxa"/>
          </w:tblCellMar>
        </w:tblPrEx>
        <w:tc>
          <w:tcPr>
            <w:tcW w:w="2771" w:type="pct"/>
            <w:vAlign w:val="center"/>
          </w:tcPr>
          <w:p w14:paraId="110BC399" w14:textId="77777777" w:rsidR="002B5D18" w:rsidRPr="00490C53" w:rsidDel="000A1204" w:rsidRDefault="002B5D18">
            <w:pPr>
              <w:pStyle w:val="Tabletext"/>
            </w:pPr>
            <w:r w:rsidRPr="00490C53">
              <w:lastRenderedPageBreak/>
              <w:t>Majority ethnic minority representation, Borrower, post intervention (Year 1)</w:t>
            </w:r>
          </w:p>
        </w:tc>
        <w:tc>
          <w:tcPr>
            <w:tcW w:w="1115" w:type="pct"/>
            <w:vAlign w:val="center"/>
          </w:tcPr>
          <w:p w14:paraId="0B5B82ED" w14:textId="77777777" w:rsidR="002B5D18" w:rsidRPr="00490C53" w:rsidRDefault="002B5D18">
            <w:pPr>
              <w:pStyle w:val="Tabletext"/>
              <w:spacing w:before="0"/>
              <w:jc w:val="center"/>
              <w:rPr>
                <w:rStyle w:val="Bold"/>
                <w:b w:val="0"/>
              </w:rPr>
            </w:pPr>
            <w:r w:rsidRPr="00490C53">
              <w:t>-0.218</w:t>
            </w:r>
            <w:r w:rsidRPr="00490C53">
              <w:br/>
              <w:t>(0.336)</w:t>
            </w:r>
          </w:p>
        </w:tc>
        <w:tc>
          <w:tcPr>
            <w:tcW w:w="1114" w:type="pct"/>
            <w:vAlign w:val="center"/>
          </w:tcPr>
          <w:p w14:paraId="50BA765E" w14:textId="77777777" w:rsidR="002B5D18" w:rsidRPr="00490C53" w:rsidRDefault="002B5D18">
            <w:pPr>
              <w:pStyle w:val="Tabletext"/>
              <w:spacing w:before="0"/>
              <w:jc w:val="center"/>
              <w:rPr>
                <w:rStyle w:val="Bold"/>
                <w:b w:val="0"/>
              </w:rPr>
            </w:pPr>
            <w:r w:rsidRPr="00490C53">
              <w:t>0.123</w:t>
            </w:r>
            <w:r w:rsidRPr="00490C53">
              <w:br/>
              <w:t>(0.406)</w:t>
            </w:r>
          </w:p>
        </w:tc>
      </w:tr>
      <w:tr w:rsidR="002B5D18" w:rsidRPr="00490C53" w14:paraId="23D9C81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vAlign w:val="center"/>
          </w:tcPr>
          <w:p w14:paraId="0B58B94C" w14:textId="77777777" w:rsidR="002B5D18" w:rsidRPr="00490C53" w:rsidDel="000A1204" w:rsidRDefault="002B5D18">
            <w:pPr>
              <w:pStyle w:val="Tabletext"/>
            </w:pPr>
            <w:r w:rsidRPr="00490C53">
              <w:t>Used CJRS</w:t>
            </w:r>
          </w:p>
        </w:tc>
        <w:tc>
          <w:tcPr>
            <w:tcW w:w="1115" w:type="pct"/>
            <w:vAlign w:val="center"/>
          </w:tcPr>
          <w:p w14:paraId="65C95872" w14:textId="77777777" w:rsidR="002B5D18" w:rsidRPr="00490C53" w:rsidRDefault="002B5D18">
            <w:pPr>
              <w:pStyle w:val="Tabletext"/>
              <w:spacing w:before="0"/>
              <w:jc w:val="center"/>
              <w:rPr>
                <w:rStyle w:val="Bold"/>
                <w:b w:val="0"/>
              </w:rPr>
            </w:pPr>
            <w:r w:rsidRPr="00490C53">
              <w:t>-0.131**</w:t>
            </w:r>
            <w:r w:rsidRPr="00490C53">
              <w:br/>
              <w:t>(0.041)</w:t>
            </w:r>
          </w:p>
        </w:tc>
        <w:tc>
          <w:tcPr>
            <w:tcW w:w="1114" w:type="pct"/>
            <w:vAlign w:val="center"/>
          </w:tcPr>
          <w:p w14:paraId="78530452" w14:textId="77777777" w:rsidR="002B5D18" w:rsidRPr="00490C53" w:rsidRDefault="002B5D18">
            <w:pPr>
              <w:pStyle w:val="Tabletext"/>
              <w:spacing w:before="0"/>
              <w:jc w:val="center"/>
              <w:rPr>
                <w:rStyle w:val="Bold"/>
                <w:b w:val="0"/>
              </w:rPr>
            </w:pPr>
            <w:r w:rsidRPr="00490C53">
              <w:t>0.016</w:t>
            </w:r>
            <w:r w:rsidRPr="00490C53">
              <w:br/>
              <w:t>(0.124)</w:t>
            </w:r>
          </w:p>
        </w:tc>
      </w:tr>
      <w:tr w:rsidR="002B5D18" w:rsidRPr="00490C53" w14:paraId="14B99007" w14:textId="77777777">
        <w:tblPrEx>
          <w:tblCellMar>
            <w:left w:w="108" w:type="dxa"/>
            <w:right w:w="108" w:type="dxa"/>
          </w:tblCellMar>
        </w:tblPrEx>
        <w:tc>
          <w:tcPr>
            <w:tcW w:w="2771" w:type="pct"/>
            <w:vAlign w:val="center"/>
          </w:tcPr>
          <w:p w14:paraId="74DE99A2" w14:textId="77777777" w:rsidR="002B5D18" w:rsidRPr="00490C53" w:rsidDel="000A1204" w:rsidRDefault="002B5D18">
            <w:pPr>
              <w:pStyle w:val="Tabletext"/>
            </w:pPr>
            <w:r w:rsidRPr="00490C53">
              <w:t>Used VAT Deferral</w:t>
            </w:r>
          </w:p>
        </w:tc>
        <w:tc>
          <w:tcPr>
            <w:tcW w:w="1115" w:type="pct"/>
            <w:vAlign w:val="center"/>
          </w:tcPr>
          <w:p w14:paraId="1AB8D649" w14:textId="77777777" w:rsidR="002B5D18" w:rsidRPr="00490C53" w:rsidRDefault="002B5D18">
            <w:pPr>
              <w:pStyle w:val="Tabletext"/>
              <w:spacing w:before="0"/>
              <w:jc w:val="center"/>
              <w:rPr>
                <w:rStyle w:val="Bold"/>
                <w:b w:val="0"/>
              </w:rPr>
            </w:pPr>
            <w:r w:rsidRPr="00490C53">
              <w:t>0.011</w:t>
            </w:r>
            <w:r w:rsidRPr="00490C53">
              <w:br/>
              <w:t>(0.069)</w:t>
            </w:r>
          </w:p>
        </w:tc>
        <w:tc>
          <w:tcPr>
            <w:tcW w:w="1114" w:type="pct"/>
            <w:vAlign w:val="center"/>
          </w:tcPr>
          <w:p w14:paraId="400180DE" w14:textId="77777777" w:rsidR="002B5D18" w:rsidRPr="00490C53" w:rsidRDefault="002B5D18">
            <w:pPr>
              <w:pStyle w:val="Tabletext"/>
              <w:spacing w:before="0"/>
              <w:jc w:val="center"/>
              <w:rPr>
                <w:rStyle w:val="Bold"/>
                <w:b w:val="0"/>
              </w:rPr>
            </w:pPr>
            <w:r w:rsidRPr="00490C53">
              <w:t>0.034</w:t>
            </w:r>
            <w:r w:rsidRPr="00490C53">
              <w:br/>
              <w:t>(0.071)</w:t>
            </w:r>
          </w:p>
        </w:tc>
      </w:tr>
      <w:tr w:rsidR="002B5D18" w:rsidRPr="00490C53" w14:paraId="01809F8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vAlign w:val="center"/>
          </w:tcPr>
          <w:p w14:paraId="2DD72C0B" w14:textId="77777777" w:rsidR="002B5D18" w:rsidRPr="00490C53" w:rsidDel="000A1204" w:rsidRDefault="002B5D18">
            <w:pPr>
              <w:pStyle w:val="Tabletext"/>
            </w:pPr>
            <w:r w:rsidRPr="00490C53">
              <w:t>Used Other Support</w:t>
            </w:r>
          </w:p>
        </w:tc>
        <w:tc>
          <w:tcPr>
            <w:tcW w:w="1115" w:type="pct"/>
            <w:vAlign w:val="center"/>
          </w:tcPr>
          <w:p w14:paraId="32C1711F" w14:textId="77777777" w:rsidR="002B5D18" w:rsidRPr="00490C53" w:rsidRDefault="002B5D18">
            <w:pPr>
              <w:pStyle w:val="Tabletext"/>
              <w:spacing w:before="0"/>
              <w:jc w:val="center"/>
              <w:rPr>
                <w:rStyle w:val="Bold"/>
                <w:b w:val="0"/>
              </w:rPr>
            </w:pPr>
            <w:r w:rsidRPr="00490C53">
              <w:t>-0.018</w:t>
            </w:r>
            <w:r w:rsidRPr="00490C53">
              <w:br/>
              <w:t>(0.065)</w:t>
            </w:r>
          </w:p>
        </w:tc>
        <w:tc>
          <w:tcPr>
            <w:tcW w:w="1114" w:type="pct"/>
            <w:vAlign w:val="center"/>
          </w:tcPr>
          <w:p w14:paraId="421D84E8" w14:textId="77777777" w:rsidR="002B5D18" w:rsidRPr="00490C53" w:rsidRDefault="002B5D18">
            <w:pPr>
              <w:pStyle w:val="Tabletext"/>
              <w:spacing w:before="0"/>
              <w:jc w:val="center"/>
              <w:rPr>
                <w:rStyle w:val="Bold"/>
                <w:b w:val="0"/>
              </w:rPr>
            </w:pPr>
            <w:r w:rsidRPr="00490C53">
              <w:t>0.082</w:t>
            </w:r>
            <w:r w:rsidRPr="00490C53">
              <w:br/>
              <w:t>(0.070)</w:t>
            </w:r>
          </w:p>
        </w:tc>
      </w:tr>
      <w:tr w:rsidR="002B5D18" w:rsidRPr="00490C53" w14:paraId="74A47644" w14:textId="77777777">
        <w:tblPrEx>
          <w:tblCellMar>
            <w:left w:w="108" w:type="dxa"/>
            <w:right w:w="108" w:type="dxa"/>
          </w:tblCellMar>
        </w:tblPrEx>
        <w:tc>
          <w:tcPr>
            <w:tcW w:w="2771" w:type="pct"/>
            <w:vAlign w:val="center"/>
          </w:tcPr>
          <w:p w14:paraId="3E7509C9" w14:textId="77777777" w:rsidR="002B5D18" w:rsidRPr="00490C53" w:rsidRDefault="002B5D18">
            <w:pPr>
              <w:pStyle w:val="Tabletext"/>
            </w:pPr>
            <w:r w:rsidRPr="00490C53">
              <w:t>Constant</w:t>
            </w:r>
          </w:p>
        </w:tc>
        <w:tc>
          <w:tcPr>
            <w:tcW w:w="1115" w:type="pct"/>
            <w:vAlign w:val="center"/>
          </w:tcPr>
          <w:p w14:paraId="2B0534A5" w14:textId="77777777" w:rsidR="002B5D18" w:rsidRPr="00490C53" w:rsidRDefault="002B5D18">
            <w:pPr>
              <w:pStyle w:val="Tabletext"/>
              <w:spacing w:before="0"/>
              <w:jc w:val="center"/>
              <w:rPr>
                <w:rStyle w:val="Bold"/>
                <w:b w:val="0"/>
              </w:rPr>
            </w:pPr>
            <w:r w:rsidRPr="00490C53">
              <w:t>12.645***</w:t>
            </w:r>
            <w:r w:rsidRPr="00490C53">
              <w:br/>
              <w:t>(0.039)</w:t>
            </w:r>
          </w:p>
        </w:tc>
        <w:tc>
          <w:tcPr>
            <w:tcW w:w="1114" w:type="pct"/>
            <w:vAlign w:val="center"/>
          </w:tcPr>
          <w:p w14:paraId="01C16DF8" w14:textId="77777777" w:rsidR="002B5D18" w:rsidRPr="00490C53" w:rsidRDefault="002B5D18">
            <w:pPr>
              <w:pStyle w:val="Tabletext"/>
              <w:spacing w:before="0"/>
              <w:jc w:val="center"/>
              <w:rPr>
                <w:rStyle w:val="Bold"/>
                <w:b w:val="0"/>
              </w:rPr>
            </w:pPr>
            <w:r w:rsidRPr="00490C53">
              <w:t>14.475***</w:t>
            </w:r>
            <w:r w:rsidRPr="00490C53">
              <w:br/>
              <w:t>(0.028)</w:t>
            </w:r>
          </w:p>
        </w:tc>
      </w:tr>
      <w:tr w:rsidR="002B5D18" w:rsidRPr="00490C53" w14:paraId="63C1E2B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tcBorders>
              <w:top w:val="single" w:sz="4" w:space="0" w:color="0054BA"/>
            </w:tcBorders>
            <w:vAlign w:val="center"/>
          </w:tcPr>
          <w:p w14:paraId="645A113B" w14:textId="77777777" w:rsidR="002B5D18" w:rsidRPr="00490C53" w:rsidRDefault="002B5D18">
            <w:pPr>
              <w:pStyle w:val="Tabletext"/>
            </w:pPr>
            <w:r w:rsidRPr="00490C53">
              <w:t>Observations</w:t>
            </w:r>
          </w:p>
        </w:tc>
        <w:tc>
          <w:tcPr>
            <w:tcW w:w="1115" w:type="pct"/>
            <w:tcBorders>
              <w:top w:val="single" w:sz="4" w:space="0" w:color="0054BA"/>
            </w:tcBorders>
            <w:vAlign w:val="center"/>
          </w:tcPr>
          <w:p w14:paraId="6E53DF05" w14:textId="77777777" w:rsidR="002B5D18" w:rsidRPr="00490C53" w:rsidRDefault="002B5D18">
            <w:pPr>
              <w:pStyle w:val="Tabletext"/>
              <w:jc w:val="center"/>
              <w:rPr>
                <w:rStyle w:val="Bold"/>
                <w:b w:val="0"/>
              </w:rPr>
            </w:pPr>
            <w:r w:rsidRPr="00490C53">
              <w:t>2,074</w:t>
            </w:r>
          </w:p>
        </w:tc>
        <w:tc>
          <w:tcPr>
            <w:tcW w:w="1114" w:type="pct"/>
            <w:tcBorders>
              <w:top w:val="single" w:sz="4" w:space="0" w:color="0054BA"/>
            </w:tcBorders>
            <w:vAlign w:val="center"/>
          </w:tcPr>
          <w:p w14:paraId="229FB3CF" w14:textId="77777777" w:rsidR="002B5D18" w:rsidRPr="00490C53" w:rsidRDefault="002B5D18">
            <w:pPr>
              <w:pStyle w:val="Tabletext"/>
              <w:jc w:val="center"/>
              <w:rPr>
                <w:rStyle w:val="Bold"/>
                <w:b w:val="0"/>
              </w:rPr>
            </w:pPr>
            <w:r w:rsidRPr="00490C53">
              <w:t>1,356</w:t>
            </w:r>
          </w:p>
        </w:tc>
      </w:tr>
      <w:tr w:rsidR="002B5D18" w:rsidRPr="00490C53" w14:paraId="27CA1EA1" w14:textId="77777777">
        <w:tblPrEx>
          <w:tblCellMar>
            <w:left w:w="108" w:type="dxa"/>
            <w:right w:w="108" w:type="dxa"/>
          </w:tblCellMar>
        </w:tblPrEx>
        <w:tc>
          <w:tcPr>
            <w:tcW w:w="2771" w:type="pct"/>
            <w:vAlign w:val="center"/>
          </w:tcPr>
          <w:p w14:paraId="202464FF" w14:textId="77777777" w:rsidR="002B5D18" w:rsidRPr="00490C53" w:rsidRDefault="002B5D18">
            <w:pPr>
              <w:pStyle w:val="Tabletext"/>
            </w:pPr>
            <w:r w:rsidRPr="00490C53">
              <w:t>R-squared</w:t>
            </w:r>
          </w:p>
        </w:tc>
        <w:tc>
          <w:tcPr>
            <w:tcW w:w="1115" w:type="pct"/>
            <w:vAlign w:val="center"/>
          </w:tcPr>
          <w:p w14:paraId="2F43598A" w14:textId="77777777" w:rsidR="002B5D18" w:rsidRPr="00490C53" w:rsidRDefault="002B5D18">
            <w:pPr>
              <w:pStyle w:val="Tabletext"/>
              <w:jc w:val="center"/>
              <w:rPr>
                <w:rStyle w:val="Bold"/>
                <w:b w:val="0"/>
              </w:rPr>
            </w:pPr>
            <w:r w:rsidRPr="00490C53">
              <w:t>0.103</w:t>
            </w:r>
          </w:p>
        </w:tc>
        <w:tc>
          <w:tcPr>
            <w:tcW w:w="1114" w:type="pct"/>
            <w:vAlign w:val="center"/>
          </w:tcPr>
          <w:p w14:paraId="45CEC0E0" w14:textId="77777777" w:rsidR="002B5D18" w:rsidRPr="00490C53" w:rsidRDefault="002B5D18">
            <w:pPr>
              <w:pStyle w:val="Tabletext"/>
              <w:jc w:val="center"/>
              <w:rPr>
                <w:rStyle w:val="Bold"/>
                <w:b w:val="0"/>
              </w:rPr>
            </w:pPr>
            <w:r w:rsidRPr="00490C53">
              <w:t>0.095</w:t>
            </w:r>
          </w:p>
        </w:tc>
      </w:tr>
      <w:tr w:rsidR="002B5D18" w:rsidRPr="00490C53" w14:paraId="4497619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71" w:type="pct"/>
            <w:tcBorders>
              <w:bottom w:val="single" w:sz="4" w:space="0" w:color="0054BA" w:themeColor="accent2"/>
            </w:tcBorders>
            <w:vAlign w:val="center"/>
          </w:tcPr>
          <w:p w14:paraId="1005C462" w14:textId="77777777" w:rsidR="002B5D18" w:rsidRPr="00490C53" w:rsidRDefault="002B5D18">
            <w:pPr>
              <w:pStyle w:val="Tabletext"/>
            </w:pPr>
            <w:r w:rsidRPr="00490C53">
              <w:t>Business fixed effects</w:t>
            </w:r>
          </w:p>
        </w:tc>
        <w:tc>
          <w:tcPr>
            <w:tcW w:w="1115" w:type="pct"/>
            <w:tcBorders>
              <w:bottom w:val="single" w:sz="4" w:space="0" w:color="0054BA" w:themeColor="accent2"/>
            </w:tcBorders>
            <w:vAlign w:val="center"/>
          </w:tcPr>
          <w:p w14:paraId="484B986D" w14:textId="77777777" w:rsidR="002B5D18" w:rsidRPr="00490C53" w:rsidRDefault="002B5D18">
            <w:pPr>
              <w:pStyle w:val="Tabletext"/>
              <w:spacing w:before="0" w:line="240" w:lineRule="auto"/>
              <w:jc w:val="center"/>
              <w:rPr>
                <w:rStyle w:val="Bold"/>
                <w:rFonts w:cstheme="minorHAnsi"/>
                <w:b w:val="0"/>
                <w:bCs/>
                <w:sz w:val="22"/>
              </w:rPr>
            </w:pPr>
            <w:r w:rsidRPr="00490C53">
              <w:rPr>
                <w:rStyle w:val="Bold"/>
                <w:rFonts w:cstheme="minorHAnsi"/>
                <w:b w:val="0"/>
                <w:bCs/>
                <w:sz w:val="22"/>
              </w:rPr>
              <w:t>Y</w:t>
            </w:r>
            <w:r w:rsidRPr="00490C53">
              <w:rPr>
                <w:rStyle w:val="Bold"/>
                <w:rFonts w:cstheme="minorHAnsi"/>
                <w:b w:val="0"/>
                <w:bCs/>
              </w:rPr>
              <w:t>es</w:t>
            </w:r>
          </w:p>
        </w:tc>
        <w:tc>
          <w:tcPr>
            <w:tcW w:w="1114" w:type="pct"/>
            <w:tcBorders>
              <w:bottom w:val="single" w:sz="4" w:space="0" w:color="0054BA" w:themeColor="accent2"/>
            </w:tcBorders>
            <w:vAlign w:val="center"/>
          </w:tcPr>
          <w:p w14:paraId="1723699D" w14:textId="77777777" w:rsidR="002B5D18" w:rsidRPr="00490C53" w:rsidRDefault="002B5D18">
            <w:pPr>
              <w:pStyle w:val="Tabletext"/>
              <w:spacing w:before="0" w:line="240" w:lineRule="auto"/>
              <w:jc w:val="center"/>
              <w:rPr>
                <w:rStyle w:val="Bold"/>
                <w:rFonts w:cstheme="minorHAnsi"/>
                <w:b w:val="0"/>
                <w:bCs/>
                <w:sz w:val="22"/>
              </w:rPr>
            </w:pPr>
            <w:r w:rsidRPr="00490C53">
              <w:rPr>
                <w:rStyle w:val="Bold"/>
                <w:rFonts w:cstheme="minorHAnsi"/>
                <w:b w:val="0"/>
                <w:bCs/>
                <w:sz w:val="22"/>
              </w:rPr>
              <w:t>Y</w:t>
            </w:r>
            <w:r w:rsidRPr="00490C53">
              <w:rPr>
                <w:rStyle w:val="Bold"/>
                <w:rFonts w:cstheme="minorHAnsi"/>
                <w:b w:val="0"/>
                <w:bCs/>
              </w:rPr>
              <w:t>es</w:t>
            </w:r>
          </w:p>
        </w:tc>
      </w:tr>
    </w:tbl>
    <w:p w14:paraId="7E8872A3" w14:textId="33498D98" w:rsidR="002B5D18" w:rsidRPr="00490C53" w:rsidRDefault="00DA466B" w:rsidP="002B5D18">
      <w:pPr>
        <w:pStyle w:val="Caption"/>
        <w:spacing w:before="0" w:after="0"/>
      </w:pPr>
      <w:r>
        <w:t xml:space="preserve">Note: </w:t>
      </w:r>
      <w:r w:rsidR="002B5D18" w:rsidRPr="00490C53">
        <w:t xml:space="preserve">Robust standard errors in parentheses. *** p-value&lt;0.01, ** p-value&lt;0.05, * p-value&lt;0.1. Source: London Economics’ analysis of survey data.   </w:t>
      </w:r>
    </w:p>
    <w:p w14:paraId="53A2D6AB" w14:textId="62EC2BDC" w:rsidR="002B5D18" w:rsidRPr="00490C53" w:rsidRDefault="002B5D18" w:rsidP="002B5D18">
      <w:pPr>
        <w:pStyle w:val="Heading5"/>
      </w:pPr>
      <w:bookmarkStart w:id="283" w:name="_Ref124159760"/>
      <w:r w:rsidRPr="00490C53">
        <w:t xml:space="preserve">Table </w:t>
      </w:r>
      <w:r w:rsidRPr="00846F78">
        <w:fldChar w:fldCharType="begin"/>
      </w:r>
      <w:r w:rsidRPr="00490C53">
        <w:instrText xml:space="preserve"> SEQ Table \* ARABIC </w:instrText>
      </w:r>
      <w:r w:rsidRPr="00846F78">
        <w:fldChar w:fldCharType="separate"/>
      </w:r>
      <w:r w:rsidR="00397D49">
        <w:rPr>
          <w:noProof/>
        </w:rPr>
        <w:t>36</w:t>
      </w:r>
      <w:r w:rsidRPr="00846F78">
        <w:fldChar w:fldCharType="end"/>
      </w:r>
      <w:bookmarkEnd w:id="283"/>
      <w:r w:rsidRPr="00490C53">
        <w:t xml:space="preserve"> : Estimated impact of the Covid-19 Loan Guarantee Schemes on employment – by protected characteristics among business ownership</w:t>
      </w:r>
    </w:p>
    <w:tbl>
      <w:tblPr>
        <w:tblStyle w:val="TableGrid"/>
        <w:tblW w:w="5000" w:type="pct"/>
        <w:tblLook w:val="04A0" w:firstRow="1" w:lastRow="0" w:firstColumn="1" w:lastColumn="0" w:noHBand="0" w:noVBand="1"/>
      </w:tblPr>
      <w:tblGrid>
        <w:gridCol w:w="5670"/>
        <w:gridCol w:w="2126"/>
        <w:gridCol w:w="2358"/>
      </w:tblGrid>
      <w:tr w:rsidR="002B5D18" w:rsidRPr="00490C53" w14:paraId="58D62091" w14:textId="77777777">
        <w:trPr>
          <w:cnfStyle w:val="100000000000" w:firstRow="1" w:lastRow="0" w:firstColumn="0" w:lastColumn="0" w:oddVBand="0" w:evenVBand="0" w:oddHBand="0" w:evenHBand="0" w:firstRowFirstColumn="0" w:firstRowLastColumn="0" w:lastRowFirstColumn="0" w:lastRowLastColumn="0"/>
          <w:tblHeader/>
        </w:trPr>
        <w:tc>
          <w:tcPr>
            <w:tcW w:w="2792" w:type="pct"/>
          </w:tcPr>
          <w:p w14:paraId="291236EA" w14:textId="77777777" w:rsidR="002B5D18" w:rsidRPr="00490C53" w:rsidRDefault="002B5D18">
            <w:pPr>
              <w:pStyle w:val="Tablecolumnheading-inkblue"/>
              <w:rPr>
                <w:b w:val="0"/>
                <w:color w:val="FFFFFF" w:themeColor="background1"/>
                <w:sz w:val="22"/>
                <w:szCs w:val="20"/>
              </w:rPr>
            </w:pPr>
            <w:r w:rsidRPr="00490C53">
              <w:rPr>
                <w:color w:val="FFFFFF" w:themeColor="background1"/>
                <w:sz w:val="22"/>
                <w:szCs w:val="20"/>
              </w:rPr>
              <w:t>Variable</w:t>
            </w:r>
          </w:p>
        </w:tc>
        <w:tc>
          <w:tcPr>
            <w:tcW w:w="1047" w:type="pct"/>
          </w:tcPr>
          <w:p w14:paraId="3AD16BDA"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BBLS</w:t>
            </w:r>
          </w:p>
        </w:tc>
        <w:tc>
          <w:tcPr>
            <w:tcW w:w="1161" w:type="pct"/>
          </w:tcPr>
          <w:p w14:paraId="0F23508E" w14:textId="77777777" w:rsidR="002B5D18" w:rsidRPr="00490C53" w:rsidRDefault="002B5D18">
            <w:pPr>
              <w:pStyle w:val="Tablecolumnheading-inkblue"/>
              <w:jc w:val="center"/>
              <w:rPr>
                <w:bCs/>
                <w:color w:val="FFFFFF" w:themeColor="background1"/>
                <w:sz w:val="22"/>
                <w:szCs w:val="20"/>
              </w:rPr>
            </w:pPr>
            <w:r w:rsidRPr="00490C53">
              <w:rPr>
                <w:bCs/>
                <w:color w:val="FFFFFF" w:themeColor="background1"/>
                <w:sz w:val="22"/>
                <w:szCs w:val="20"/>
              </w:rPr>
              <w:t>CBILS/CLBILS</w:t>
            </w:r>
          </w:p>
        </w:tc>
      </w:tr>
      <w:tr w:rsidR="002B5D18" w:rsidRPr="00490C53" w14:paraId="1DD839A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vAlign w:val="center"/>
          </w:tcPr>
          <w:p w14:paraId="29AC315F" w14:textId="77777777" w:rsidR="002B5D18" w:rsidRPr="00490C53" w:rsidRDefault="002B5D18">
            <w:pPr>
              <w:pStyle w:val="Tabletext"/>
            </w:pPr>
            <w:r w:rsidRPr="00490C53">
              <w:t>Post intervention (Year 2)</w:t>
            </w:r>
          </w:p>
        </w:tc>
        <w:tc>
          <w:tcPr>
            <w:tcW w:w="1047" w:type="pct"/>
            <w:vAlign w:val="center"/>
          </w:tcPr>
          <w:p w14:paraId="4DEEC30E" w14:textId="77777777" w:rsidR="002B5D18" w:rsidRPr="00490C53" w:rsidRDefault="002B5D18">
            <w:pPr>
              <w:pStyle w:val="Tabletext"/>
              <w:spacing w:before="0"/>
              <w:jc w:val="center"/>
              <w:rPr>
                <w:rStyle w:val="Bold"/>
                <w:b w:val="0"/>
              </w:rPr>
            </w:pPr>
            <w:r w:rsidRPr="00490C53">
              <w:t>0.033</w:t>
            </w:r>
            <w:r w:rsidRPr="00490C53">
              <w:br/>
              <w:t>(0.032)</w:t>
            </w:r>
          </w:p>
        </w:tc>
        <w:tc>
          <w:tcPr>
            <w:tcW w:w="1161" w:type="pct"/>
            <w:vAlign w:val="center"/>
          </w:tcPr>
          <w:p w14:paraId="5BBDDD1B" w14:textId="77777777" w:rsidR="002B5D18" w:rsidRPr="00490C53" w:rsidRDefault="002B5D18">
            <w:pPr>
              <w:pStyle w:val="Tabletext"/>
              <w:spacing w:before="0"/>
              <w:jc w:val="center"/>
              <w:rPr>
                <w:rStyle w:val="Bold"/>
                <w:b w:val="0"/>
              </w:rPr>
            </w:pPr>
            <w:r w:rsidRPr="00490C53">
              <w:t>0.366</w:t>
            </w:r>
            <w:r w:rsidRPr="00490C53">
              <w:br/>
              <w:t>(0.271)</w:t>
            </w:r>
          </w:p>
        </w:tc>
      </w:tr>
      <w:tr w:rsidR="002B5D18" w:rsidRPr="00490C53" w14:paraId="7EB2D976" w14:textId="77777777">
        <w:tblPrEx>
          <w:tblCellMar>
            <w:left w:w="108" w:type="dxa"/>
            <w:right w:w="108" w:type="dxa"/>
          </w:tblCellMar>
        </w:tblPrEx>
        <w:tc>
          <w:tcPr>
            <w:tcW w:w="2792" w:type="pct"/>
            <w:vAlign w:val="center"/>
          </w:tcPr>
          <w:p w14:paraId="0B28F4F8" w14:textId="77777777" w:rsidR="002B5D18" w:rsidRPr="00490C53" w:rsidRDefault="002B5D18">
            <w:pPr>
              <w:pStyle w:val="Tabletext"/>
            </w:pPr>
            <w:r w:rsidRPr="00490C53">
              <w:t>Borrower, post intervention (Year 2)</w:t>
            </w:r>
          </w:p>
        </w:tc>
        <w:tc>
          <w:tcPr>
            <w:tcW w:w="1047" w:type="pct"/>
            <w:vAlign w:val="center"/>
          </w:tcPr>
          <w:p w14:paraId="3D4A8923" w14:textId="77777777" w:rsidR="002B5D18" w:rsidRPr="00490C53" w:rsidRDefault="002B5D18">
            <w:pPr>
              <w:pStyle w:val="Tabletext"/>
              <w:spacing w:before="0"/>
              <w:jc w:val="center"/>
              <w:rPr>
                <w:rStyle w:val="Bold"/>
                <w:b w:val="0"/>
              </w:rPr>
            </w:pPr>
            <w:r w:rsidRPr="00490C53">
              <w:t>-0.024</w:t>
            </w:r>
            <w:r w:rsidRPr="00490C53">
              <w:br/>
              <w:t>(0.054)</w:t>
            </w:r>
          </w:p>
        </w:tc>
        <w:tc>
          <w:tcPr>
            <w:tcW w:w="1161" w:type="pct"/>
            <w:vAlign w:val="center"/>
          </w:tcPr>
          <w:p w14:paraId="6F7BE2A5" w14:textId="77777777" w:rsidR="002B5D18" w:rsidRPr="00490C53" w:rsidRDefault="002B5D18">
            <w:pPr>
              <w:pStyle w:val="Tabletext"/>
              <w:spacing w:before="0"/>
              <w:jc w:val="center"/>
              <w:rPr>
                <w:rStyle w:val="Bold"/>
                <w:b w:val="0"/>
              </w:rPr>
            </w:pPr>
            <w:r w:rsidRPr="00490C53">
              <w:t>-0.243</w:t>
            </w:r>
            <w:r w:rsidRPr="00490C53">
              <w:br/>
              <w:t>(0.185)</w:t>
            </w:r>
          </w:p>
        </w:tc>
      </w:tr>
      <w:tr w:rsidR="002B5D18" w:rsidRPr="00490C53" w14:paraId="5E49298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vAlign w:val="center"/>
          </w:tcPr>
          <w:p w14:paraId="2E4D7815" w14:textId="77777777" w:rsidR="002B5D18" w:rsidRPr="00490C53" w:rsidRDefault="002B5D18">
            <w:pPr>
              <w:pStyle w:val="Tabletext"/>
            </w:pPr>
            <w:r w:rsidRPr="00490C53">
              <w:t>Majority female representation, post intervention (Year 2)</w:t>
            </w:r>
          </w:p>
        </w:tc>
        <w:tc>
          <w:tcPr>
            <w:tcW w:w="1047" w:type="pct"/>
            <w:vAlign w:val="center"/>
          </w:tcPr>
          <w:p w14:paraId="6D048CFA" w14:textId="77777777" w:rsidR="002B5D18" w:rsidRPr="00490C53" w:rsidRDefault="002B5D18">
            <w:pPr>
              <w:pStyle w:val="Tabletext"/>
              <w:spacing w:before="0"/>
              <w:jc w:val="center"/>
              <w:rPr>
                <w:rStyle w:val="Bold"/>
                <w:b w:val="0"/>
              </w:rPr>
            </w:pPr>
            <w:r w:rsidRPr="00490C53">
              <w:t>-0.006</w:t>
            </w:r>
            <w:r w:rsidRPr="00490C53">
              <w:br/>
              <w:t>(0.039)</w:t>
            </w:r>
          </w:p>
        </w:tc>
        <w:tc>
          <w:tcPr>
            <w:tcW w:w="1161" w:type="pct"/>
            <w:vAlign w:val="center"/>
          </w:tcPr>
          <w:p w14:paraId="62A13A5F" w14:textId="77777777" w:rsidR="002B5D18" w:rsidRPr="00490C53" w:rsidRDefault="002B5D18">
            <w:pPr>
              <w:pStyle w:val="Tabletext"/>
              <w:spacing w:before="0"/>
              <w:jc w:val="center"/>
              <w:rPr>
                <w:rStyle w:val="Bold"/>
                <w:b w:val="0"/>
              </w:rPr>
            </w:pPr>
            <w:r w:rsidRPr="00490C53">
              <w:t>-0.218</w:t>
            </w:r>
            <w:r w:rsidRPr="00490C53">
              <w:br/>
              <w:t>(0.222)</w:t>
            </w:r>
          </w:p>
        </w:tc>
      </w:tr>
      <w:tr w:rsidR="002B5D18" w:rsidRPr="00490C53" w14:paraId="1B97EC15" w14:textId="77777777">
        <w:tblPrEx>
          <w:tblCellMar>
            <w:left w:w="108" w:type="dxa"/>
            <w:right w:w="108" w:type="dxa"/>
          </w:tblCellMar>
        </w:tblPrEx>
        <w:tc>
          <w:tcPr>
            <w:tcW w:w="2792" w:type="pct"/>
            <w:vAlign w:val="center"/>
          </w:tcPr>
          <w:p w14:paraId="37CBD44C" w14:textId="77777777" w:rsidR="002B5D18" w:rsidRPr="00490C53" w:rsidRDefault="002B5D18">
            <w:pPr>
              <w:pStyle w:val="Tabletext"/>
            </w:pPr>
            <w:r w:rsidRPr="00490C53">
              <w:t>Majority female representation, Borrower, post intervention (Year 2)</w:t>
            </w:r>
          </w:p>
        </w:tc>
        <w:tc>
          <w:tcPr>
            <w:tcW w:w="1047" w:type="pct"/>
            <w:vAlign w:val="center"/>
          </w:tcPr>
          <w:p w14:paraId="219C4BCA" w14:textId="77777777" w:rsidR="002B5D18" w:rsidRPr="00490C53" w:rsidRDefault="002B5D18">
            <w:pPr>
              <w:pStyle w:val="Tabletext"/>
              <w:spacing w:before="0"/>
              <w:jc w:val="center"/>
              <w:rPr>
                <w:rStyle w:val="Bold"/>
                <w:b w:val="0"/>
              </w:rPr>
            </w:pPr>
            <w:r w:rsidRPr="00490C53">
              <w:t>0.022</w:t>
            </w:r>
            <w:r w:rsidRPr="00490C53">
              <w:br/>
              <w:t>(0.081)</w:t>
            </w:r>
          </w:p>
        </w:tc>
        <w:tc>
          <w:tcPr>
            <w:tcW w:w="1161" w:type="pct"/>
            <w:vAlign w:val="center"/>
          </w:tcPr>
          <w:p w14:paraId="0414589B" w14:textId="77777777" w:rsidR="002B5D18" w:rsidRPr="00490C53" w:rsidRDefault="002B5D18">
            <w:pPr>
              <w:pStyle w:val="Tabletext"/>
              <w:spacing w:before="0"/>
              <w:jc w:val="center"/>
              <w:rPr>
                <w:rStyle w:val="Bold"/>
                <w:b w:val="0"/>
              </w:rPr>
            </w:pPr>
            <w:r w:rsidRPr="00490C53">
              <w:t>0.061</w:t>
            </w:r>
            <w:r w:rsidRPr="00490C53">
              <w:br/>
              <w:t>(0.256)</w:t>
            </w:r>
          </w:p>
        </w:tc>
      </w:tr>
      <w:tr w:rsidR="002B5D18" w:rsidRPr="00490C53" w14:paraId="673171C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vAlign w:val="center"/>
          </w:tcPr>
          <w:p w14:paraId="2E4896D4" w14:textId="77777777" w:rsidR="002B5D18" w:rsidRPr="00490C53" w:rsidRDefault="002B5D18">
            <w:pPr>
              <w:pStyle w:val="Tabletext"/>
            </w:pPr>
            <w:r w:rsidRPr="00490C53">
              <w:t>Majority ethnic minority representation, post intervention (Year 2)</w:t>
            </w:r>
          </w:p>
        </w:tc>
        <w:tc>
          <w:tcPr>
            <w:tcW w:w="1047" w:type="pct"/>
            <w:vAlign w:val="center"/>
          </w:tcPr>
          <w:p w14:paraId="31CF1B82" w14:textId="77777777" w:rsidR="002B5D18" w:rsidRPr="00490C53" w:rsidRDefault="002B5D18">
            <w:pPr>
              <w:pStyle w:val="Tabletext"/>
              <w:spacing w:before="0"/>
              <w:jc w:val="center"/>
              <w:rPr>
                <w:rStyle w:val="Bold"/>
                <w:b w:val="0"/>
              </w:rPr>
            </w:pPr>
            <w:r w:rsidRPr="00490C53">
              <w:t>0.027</w:t>
            </w:r>
            <w:r w:rsidRPr="00490C53">
              <w:br/>
              <w:t>(0.444)</w:t>
            </w:r>
          </w:p>
        </w:tc>
        <w:tc>
          <w:tcPr>
            <w:tcW w:w="1161" w:type="pct"/>
            <w:vAlign w:val="center"/>
          </w:tcPr>
          <w:p w14:paraId="715F118E" w14:textId="77777777" w:rsidR="002B5D18" w:rsidRPr="00490C53" w:rsidRDefault="002B5D18">
            <w:pPr>
              <w:pStyle w:val="Tabletext"/>
              <w:spacing w:before="0"/>
              <w:jc w:val="center"/>
              <w:rPr>
                <w:rStyle w:val="Bold"/>
                <w:b w:val="0"/>
              </w:rPr>
            </w:pPr>
            <w:r w:rsidRPr="00490C53">
              <w:t>-0.550**</w:t>
            </w:r>
            <w:r w:rsidRPr="00490C53">
              <w:br/>
              <w:t>(0.173)</w:t>
            </w:r>
          </w:p>
        </w:tc>
      </w:tr>
      <w:tr w:rsidR="002B5D18" w:rsidRPr="00490C53" w14:paraId="2E2256CC" w14:textId="77777777">
        <w:tblPrEx>
          <w:tblCellMar>
            <w:left w:w="108" w:type="dxa"/>
            <w:right w:w="108" w:type="dxa"/>
          </w:tblCellMar>
        </w:tblPrEx>
        <w:tc>
          <w:tcPr>
            <w:tcW w:w="2792" w:type="pct"/>
            <w:vAlign w:val="center"/>
          </w:tcPr>
          <w:p w14:paraId="6EE7404D" w14:textId="77777777" w:rsidR="002B5D18" w:rsidRPr="00490C53" w:rsidRDefault="002B5D18">
            <w:pPr>
              <w:pStyle w:val="Tabletext"/>
            </w:pPr>
            <w:r w:rsidRPr="00490C53">
              <w:lastRenderedPageBreak/>
              <w:t>Majority ethnic minority representation, Borrower, post intervention (Year 2)</w:t>
            </w:r>
          </w:p>
        </w:tc>
        <w:tc>
          <w:tcPr>
            <w:tcW w:w="1047" w:type="pct"/>
            <w:vAlign w:val="center"/>
          </w:tcPr>
          <w:p w14:paraId="389AB5B8" w14:textId="77777777" w:rsidR="002B5D18" w:rsidRPr="00490C53" w:rsidRDefault="002B5D18">
            <w:pPr>
              <w:pStyle w:val="Tabletext"/>
              <w:spacing w:before="0"/>
              <w:jc w:val="center"/>
              <w:rPr>
                <w:rStyle w:val="Bold"/>
                <w:b w:val="0"/>
              </w:rPr>
            </w:pPr>
            <w:r w:rsidRPr="00490C53">
              <w:t>-0.148</w:t>
            </w:r>
            <w:r w:rsidRPr="00490C53">
              <w:br/>
              <w:t>(0.414)</w:t>
            </w:r>
          </w:p>
        </w:tc>
        <w:tc>
          <w:tcPr>
            <w:tcW w:w="1161" w:type="pct"/>
            <w:vAlign w:val="center"/>
          </w:tcPr>
          <w:p w14:paraId="223A357A" w14:textId="77777777" w:rsidR="002B5D18" w:rsidRPr="00490C53" w:rsidRDefault="002B5D18">
            <w:pPr>
              <w:pStyle w:val="Tabletext"/>
              <w:spacing w:before="0"/>
              <w:jc w:val="center"/>
              <w:rPr>
                <w:rStyle w:val="Bold"/>
                <w:b w:val="0"/>
              </w:rPr>
            </w:pPr>
            <w:r w:rsidRPr="00490C53">
              <w:t>0.541***</w:t>
            </w:r>
            <w:r w:rsidRPr="00490C53">
              <w:br/>
              <w:t>(0.032)</w:t>
            </w:r>
          </w:p>
        </w:tc>
      </w:tr>
      <w:tr w:rsidR="002B5D18" w:rsidRPr="00490C53" w14:paraId="2C41F24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vAlign w:val="center"/>
          </w:tcPr>
          <w:p w14:paraId="7668A2E7" w14:textId="77777777" w:rsidR="002B5D18" w:rsidRPr="00490C53" w:rsidRDefault="002B5D18">
            <w:pPr>
              <w:pStyle w:val="Tabletext"/>
            </w:pPr>
            <w:r w:rsidRPr="00490C53">
              <w:t>Post intervention (Year 1)</w:t>
            </w:r>
          </w:p>
        </w:tc>
        <w:tc>
          <w:tcPr>
            <w:tcW w:w="1047" w:type="pct"/>
            <w:vAlign w:val="center"/>
          </w:tcPr>
          <w:p w14:paraId="273E6D1C" w14:textId="77777777" w:rsidR="002B5D18" w:rsidRPr="00490C53" w:rsidRDefault="002B5D18">
            <w:pPr>
              <w:pStyle w:val="Tabletext"/>
              <w:spacing w:before="0"/>
              <w:jc w:val="center"/>
              <w:rPr>
                <w:rStyle w:val="Bold"/>
                <w:b w:val="0"/>
              </w:rPr>
            </w:pPr>
            <w:r w:rsidRPr="00490C53">
              <w:t>0.001</w:t>
            </w:r>
            <w:r w:rsidRPr="00490C53">
              <w:br/>
              <w:t>(0.027)</w:t>
            </w:r>
          </w:p>
        </w:tc>
        <w:tc>
          <w:tcPr>
            <w:tcW w:w="1161" w:type="pct"/>
            <w:vAlign w:val="center"/>
          </w:tcPr>
          <w:p w14:paraId="20EC81F2" w14:textId="77777777" w:rsidR="002B5D18" w:rsidRPr="00490C53" w:rsidRDefault="002B5D18">
            <w:pPr>
              <w:pStyle w:val="Tabletext"/>
              <w:spacing w:before="0"/>
              <w:jc w:val="center"/>
              <w:rPr>
                <w:rStyle w:val="Bold"/>
                <w:b w:val="0"/>
              </w:rPr>
            </w:pPr>
            <w:r w:rsidRPr="00490C53">
              <w:t>0.066</w:t>
            </w:r>
            <w:r w:rsidRPr="00490C53">
              <w:br/>
              <w:t>(0.094)</w:t>
            </w:r>
          </w:p>
        </w:tc>
      </w:tr>
      <w:tr w:rsidR="002B5D18" w:rsidRPr="00490C53" w14:paraId="31B69CA5" w14:textId="77777777">
        <w:tblPrEx>
          <w:tblCellMar>
            <w:left w:w="108" w:type="dxa"/>
            <w:right w:w="108" w:type="dxa"/>
          </w:tblCellMar>
        </w:tblPrEx>
        <w:tc>
          <w:tcPr>
            <w:tcW w:w="2792" w:type="pct"/>
            <w:vAlign w:val="center"/>
          </w:tcPr>
          <w:p w14:paraId="78F8BE65" w14:textId="77777777" w:rsidR="002B5D18" w:rsidRPr="00490C53" w:rsidRDefault="002B5D18">
            <w:pPr>
              <w:pStyle w:val="Tabletext"/>
            </w:pPr>
            <w:r w:rsidRPr="00490C53">
              <w:t xml:space="preserve">Borrower, post </w:t>
            </w:r>
            <w:proofErr w:type="gramStart"/>
            <w:r w:rsidRPr="00490C53">
              <w:t>intervention(</w:t>
            </w:r>
            <w:proofErr w:type="gramEnd"/>
            <w:r w:rsidRPr="00490C53">
              <w:t>Year 1)</w:t>
            </w:r>
          </w:p>
        </w:tc>
        <w:tc>
          <w:tcPr>
            <w:tcW w:w="1047" w:type="pct"/>
            <w:vAlign w:val="center"/>
          </w:tcPr>
          <w:p w14:paraId="79AD2DC3" w14:textId="77777777" w:rsidR="002B5D18" w:rsidRPr="00490C53" w:rsidRDefault="002B5D18">
            <w:pPr>
              <w:pStyle w:val="Tabletext"/>
              <w:spacing w:before="0"/>
              <w:jc w:val="center"/>
              <w:rPr>
                <w:rStyle w:val="Bold"/>
                <w:b w:val="0"/>
              </w:rPr>
            </w:pPr>
            <w:r w:rsidRPr="00490C53">
              <w:t>-0.022</w:t>
            </w:r>
            <w:r w:rsidRPr="00490C53">
              <w:br/>
              <w:t>(0.022)</w:t>
            </w:r>
          </w:p>
        </w:tc>
        <w:tc>
          <w:tcPr>
            <w:tcW w:w="1161" w:type="pct"/>
            <w:vAlign w:val="center"/>
          </w:tcPr>
          <w:p w14:paraId="03C18276" w14:textId="77777777" w:rsidR="002B5D18" w:rsidRPr="00490C53" w:rsidRDefault="002B5D18">
            <w:pPr>
              <w:pStyle w:val="Tabletext"/>
              <w:spacing w:before="0"/>
              <w:jc w:val="center"/>
              <w:rPr>
                <w:rStyle w:val="Bold"/>
                <w:b w:val="0"/>
              </w:rPr>
            </w:pPr>
            <w:r w:rsidRPr="00490C53">
              <w:t>0.074***</w:t>
            </w:r>
            <w:r w:rsidRPr="00490C53">
              <w:br/>
              <w:t>(0.015)</w:t>
            </w:r>
          </w:p>
        </w:tc>
      </w:tr>
      <w:tr w:rsidR="002B5D18" w:rsidRPr="00490C53" w14:paraId="40D4B80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vAlign w:val="center"/>
          </w:tcPr>
          <w:p w14:paraId="45A42D20" w14:textId="77777777" w:rsidR="002B5D18" w:rsidRPr="00490C53" w:rsidDel="000A1204" w:rsidRDefault="002B5D18">
            <w:pPr>
              <w:pStyle w:val="Tabletext"/>
            </w:pPr>
            <w:r w:rsidRPr="00490C53">
              <w:t>Majority female representation, post intervention (Year 1)</w:t>
            </w:r>
          </w:p>
        </w:tc>
        <w:tc>
          <w:tcPr>
            <w:tcW w:w="1047" w:type="pct"/>
            <w:vAlign w:val="center"/>
          </w:tcPr>
          <w:p w14:paraId="4663ED88" w14:textId="77777777" w:rsidR="002B5D18" w:rsidRPr="00490C53" w:rsidRDefault="002B5D18">
            <w:pPr>
              <w:pStyle w:val="Tabletext"/>
              <w:spacing w:before="0"/>
              <w:jc w:val="center"/>
              <w:rPr>
                <w:rStyle w:val="Bold"/>
                <w:b w:val="0"/>
              </w:rPr>
            </w:pPr>
            <w:r w:rsidRPr="00490C53">
              <w:t>-0.011</w:t>
            </w:r>
            <w:r w:rsidRPr="00490C53">
              <w:br/>
              <w:t>(0.020)</w:t>
            </w:r>
          </w:p>
        </w:tc>
        <w:tc>
          <w:tcPr>
            <w:tcW w:w="1161" w:type="pct"/>
            <w:vAlign w:val="center"/>
          </w:tcPr>
          <w:p w14:paraId="029C4A22" w14:textId="77777777" w:rsidR="002B5D18" w:rsidRPr="00490C53" w:rsidRDefault="002B5D18">
            <w:pPr>
              <w:pStyle w:val="Tabletext"/>
              <w:spacing w:before="0"/>
              <w:jc w:val="center"/>
              <w:rPr>
                <w:rStyle w:val="Bold"/>
                <w:b w:val="0"/>
              </w:rPr>
            </w:pPr>
            <w:r w:rsidRPr="00490C53">
              <w:t>0.001</w:t>
            </w:r>
            <w:r w:rsidRPr="00490C53">
              <w:br/>
              <w:t>(0.045)</w:t>
            </w:r>
          </w:p>
        </w:tc>
      </w:tr>
      <w:tr w:rsidR="002B5D18" w:rsidRPr="00490C53" w14:paraId="6849EB64" w14:textId="77777777">
        <w:tblPrEx>
          <w:tblCellMar>
            <w:left w:w="108" w:type="dxa"/>
            <w:right w:w="108" w:type="dxa"/>
          </w:tblCellMar>
        </w:tblPrEx>
        <w:tc>
          <w:tcPr>
            <w:tcW w:w="2792" w:type="pct"/>
            <w:vAlign w:val="center"/>
          </w:tcPr>
          <w:p w14:paraId="3BA45E1A" w14:textId="77777777" w:rsidR="002B5D18" w:rsidRPr="00490C53" w:rsidDel="000A1204" w:rsidRDefault="002B5D18">
            <w:pPr>
              <w:pStyle w:val="Tabletext"/>
            </w:pPr>
            <w:r w:rsidRPr="00490C53">
              <w:t>Majority female representation, Borrower, post intervention (Year 1)</w:t>
            </w:r>
          </w:p>
        </w:tc>
        <w:tc>
          <w:tcPr>
            <w:tcW w:w="1047" w:type="pct"/>
            <w:vAlign w:val="center"/>
          </w:tcPr>
          <w:p w14:paraId="2BBAE476" w14:textId="77777777" w:rsidR="002B5D18" w:rsidRPr="00490C53" w:rsidRDefault="002B5D18">
            <w:pPr>
              <w:pStyle w:val="Tabletext"/>
              <w:spacing w:before="0"/>
              <w:jc w:val="center"/>
              <w:rPr>
                <w:rStyle w:val="Bold"/>
                <w:b w:val="0"/>
              </w:rPr>
            </w:pPr>
            <w:r w:rsidRPr="00490C53">
              <w:t>0.003</w:t>
            </w:r>
            <w:r w:rsidRPr="00490C53">
              <w:br/>
              <w:t>(0.048)</w:t>
            </w:r>
          </w:p>
        </w:tc>
        <w:tc>
          <w:tcPr>
            <w:tcW w:w="1161" w:type="pct"/>
            <w:vAlign w:val="center"/>
          </w:tcPr>
          <w:p w14:paraId="3BDB549D" w14:textId="77777777" w:rsidR="002B5D18" w:rsidRPr="00490C53" w:rsidRDefault="002B5D18">
            <w:pPr>
              <w:pStyle w:val="Tabletext"/>
              <w:spacing w:before="0"/>
              <w:jc w:val="center"/>
              <w:rPr>
                <w:rStyle w:val="Bold"/>
                <w:b w:val="0"/>
              </w:rPr>
            </w:pPr>
            <w:r w:rsidRPr="00490C53">
              <w:t>-0.125**</w:t>
            </w:r>
            <w:r w:rsidRPr="00490C53">
              <w:br/>
              <w:t>(0.043)</w:t>
            </w:r>
          </w:p>
        </w:tc>
      </w:tr>
      <w:tr w:rsidR="002B5D18" w:rsidRPr="00490C53" w14:paraId="4C677AA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vAlign w:val="center"/>
          </w:tcPr>
          <w:p w14:paraId="76D84BCB" w14:textId="77777777" w:rsidR="002B5D18" w:rsidRPr="00490C53" w:rsidDel="000A1204" w:rsidRDefault="002B5D18">
            <w:pPr>
              <w:pStyle w:val="Tabletext"/>
            </w:pPr>
            <w:r w:rsidRPr="00490C53">
              <w:t>Majority ethnic minority representation, post intervention (Year 1)</w:t>
            </w:r>
          </w:p>
        </w:tc>
        <w:tc>
          <w:tcPr>
            <w:tcW w:w="1047" w:type="pct"/>
            <w:vAlign w:val="center"/>
          </w:tcPr>
          <w:p w14:paraId="62E09D3C" w14:textId="77777777" w:rsidR="002B5D18" w:rsidRPr="00490C53" w:rsidRDefault="002B5D18">
            <w:pPr>
              <w:pStyle w:val="Tabletext"/>
              <w:spacing w:before="0"/>
              <w:jc w:val="center"/>
              <w:rPr>
                <w:rStyle w:val="Bold"/>
                <w:b w:val="0"/>
              </w:rPr>
            </w:pPr>
            <w:r w:rsidRPr="00490C53">
              <w:t>-0.029</w:t>
            </w:r>
            <w:r w:rsidRPr="00490C53">
              <w:br/>
              <w:t>(0.063)</w:t>
            </w:r>
          </w:p>
        </w:tc>
        <w:tc>
          <w:tcPr>
            <w:tcW w:w="1161" w:type="pct"/>
            <w:vAlign w:val="center"/>
          </w:tcPr>
          <w:p w14:paraId="5DFCF59D" w14:textId="77777777" w:rsidR="002B5D18" w:rsidRPr="00490C53" w:rsidRDefault="002B5D18">
            <w:pPr>
              <w:pStyle w:val="Tabletext"/>
              <w:spacing w:before="0"/>
              <w:jc w:val="center"/>
              <w:rPr>
                <w:rStyle w:val="Bold"/>
                <w:b w:val="0"/>
              </w:rPr>
            </w:pPr>
            <w:r w:rsidRPr="00490C53">
              <w:t>-0.037</w:t>
            </w:r>
            <w:r w:rsidRPr="00490C53">
              <w:br/>
              <w:t>(0.093)</w:t>
            </w:r>
          </w:p>
        </w:tc>
      </w:tr>
      <w:tr w:rsidR="002B5D18" w:rsidRPr="00490C53" w14:paraId="5712CDB6" w14:textId="77777777">
        <w:tblPrEx>
          <w:tblCellMar>
            <w:left w:w="108" w:type="dxa"/>
            <w:right w:w="108" w:type="dxa"/>
          </w:tblCellMar>
        </w:tblPrEx>
        <w:tc>
          <w:tcPr>
            <w:tcW w:w="2792" w:type="pct"/>
            <w:vAlign w:val="center"/>
          </w:tcPr>
          <w:p w14:paraId="38DA153E" w14:textId="77777777" w:rsidR="002B5D18" w:rsidRPr="00490C53" w:rsidDel="000A1204" w:rsidRDefault="002B5D18">
            <w:pPr>
              <w:pStyle w:val="Tabletext"/>
            </w:pPr>
            <w:r w:rsidRPr="00490C53">
              <w:t>Majority ethnic minority representation, Borrower, post intervention (Year 1)</w:t>
            </w:r>
          </w:p>
        </w:tc>
        <w:tc>
          <w:tcPr>
            <w:tcW w:w="1047" w:type="pct"/>
            <w:vAlign w:val="center"/>
          </w:tcPr>
          <w:p w14:paraId="216DAF8F" w14:textId="77777777" w:rsidR="002B5D18" w:rsidRPr="00490C53" w:rsidRDefault="002B5D18">
            <w:pPr>
              <w:pStyle w:val="Tabletext"/>
              <w:spacing w:before="0"/>
              <w:jc w:val="center"/>
              <w:rPr>
                <w:rStyle w:val="Bold"/>
                <w:b w:val="0"/>
              </w:rPr>
            </w:pPr>
            <w:r w:rsidRPr="00490C53">
              <w:t>0.058</w:t>
            </w:r>
            <w:r w:rsidRPr="00490C53">
              <w:br/>
              <w:t>(0.118)</w:t>
            </w:r>
          </w:p>
        </w:tc>
        <w:tc>
          <w:tcPr>
            <w:tcW w:w="1161" w:type="pct"/>
            <w:vAlign w:val="center"/>
          </w:tcPr>
          <w:p w14:paraId="07F4D818" w14:textId="77777777" w:rsidR="002B5D18" w:rsidRPr="00490C53" w:rsidRDefault="002B5D18">
            <w:pPr>
              <w:pStyle w:val="Tabletext"/>
              <w:spacing w:before="0"/>
              <w:jc w:val="center"/>
              <w:rPr>
                <w:rStyle w:val="Bold"/>
                <w:b w:val="0"/>
              </w:rPr>
            </w:pPr>
            <w:r w:rsidRPr="00490C53">
              <w:t>0.018</w:t>
            </w:r>
            <w:r w:rsidRPr="00490C53">
              <w:br/>
              <w:t>(0.182)</w:t>
            </w:r>
          </w:p>
        </w:tc>
      </w:tr>
      <w:tr w:rsidR="002B5D18" w:rsidRPr="00490C53" w14:paraId="5CA1716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vAlign w:val="center"/>
          </w:tcPr>
          <w:p w14:paraId="076A936A" w14:textId="77777777" w:rsidR="002B5D18" w:rsidRPr="00490C53" w:rsidDel="000A1204" w:rsidRDefault="002B5D18">
            <w:pPr>
              <w:pStyle w:val="Tabletext"/>
            </w:pPr>
            <w:r w:rsidRPr="00490C53">
              <w:t>Used CJRS</w:t>
            </w:r>
          </w:p>
        </w:tc>
        <w:tc>
          <w:tcPr>
            <w:tcW w:w="1047" w:type="pct"/>
            <w:vAlign w:val="center"/>
          </w:tcPr>
          <w:p w14:paraId="1EA60A40" w14:textId="77777777" w:rsidR="002B5D18" w:rsidRPr="00490C53" w:rsidRDefault="002B5D18">
            <w:pPr>
              <w:pStyle w:val="Tabletext"/>
              <w:spacing w:before="0"/>
              <w:jc w:val="center"/>
              <w:rPr>
                <w:rStyle w:val="Bold"/>
                <w:b w:val="0"/>
              </w:rPr>
            </w:pPr>
            <w:r w:rsidRPr="00490C53">
              <w:t>-0.058**</w:t>
            </w:r>
            <w:r w:rsidRPr="00490C53">
              <w:br/>
              <w:t>(0.014)</w:t>
            </w:r>
          </w:p>
        </w:tc>
        <w:tc>
          <w:tcPr>
            <w:tcW w:w="1161" w:type="pct"/>
            <w:vAlign w:val="center"/>
          </w:tcPr>
          <w:p w14:paraId="62E3EA54" w14:textId="77777777" w:rsidR="002B5D18" w:rsidRPr="00490C53" w:rsidRDefault="002B5D18">
            <w:pPr>
              <w:pStyle w:val="Tabletext"/>
              <w:spacing w:before="0"/>
              <w:jc w:val="center"/>
              <w:rPr>
                <w:rStyle w:val="Bold"/>
                <w:b w:val="0"/>
              </w:rPr>
            </w:pPr>
            <w:r w:rsidRPr="00490C53">
              <w:t>-0.126</w:t>
            </w:r>
            <w:r w:rsidRPr="00490C53">
              <w:br/>
              <w:t>(0.078)</w:t>
            </w:r>
          </w:p>
        </w:tc>
      </w:tr>
      <w:tr w:rsidR="002B5D18" w:rsidRPr="00490C53" w14:paraId="5FDA5831" w14:textId="77777777">
        <w:tblPrEx>
          <w:tblCellMar>
            <w:left w:w="108" w:type="dxa"/>
            <w:right w:w="108" w:type="dxa"/>
          </w:tblCellMar>
        </w:tblPrEx>
        <w:tc>
          <w:tcPr>
            <w:tcW w:w="2792" w:type="pct"/>
            <w:vAlign w:val="center"/>
          </w:tcPr>
          <w:p w14:paraId="3887806A" w14:textId="77777777" w:rsidR="002B5D18" w:rsidRPr="00490C53" w:rsidDel="000A1204" w:rsidRDefault="002B5D18">
            <w:pPr>
              <w:pStyle w:val="Tabletext"/>
            </w:pPr>
            <w:r w:rsidRPr="00490C53">
              <w:t>Used VAT Deferral</w:t>
            </w:r>
          </w:p>
        </w:tc>
        <w:tc>
          <w:tcPr>
            <w:tcW w:w="1047" w:type="pct"/>
            <w:vAlign w:val="center"/>
          </w:tcPr>
          <w:p w14:paraId="415624BF" w14:textId="77777777" w:rsidR="002B5D18" w:rsidRPr="00490C53" w:rsidRDefault="002B5D18">
            <w:pPr>
              <w:pStyle w:val="Tabletext"/>
              <w:spacing w:before="0"/>
              <w:jc w:val="center"/>
              <w:rPr>
                <w:rStyle w:val="Bold"/>
                <w:b w:val="0"/>
              </w:rPr>
            </w:pPr>
            <w:r w:rsidRPr="00490C53">
              <w:t>-0.001</w:t>
            </w:r>
            <w:r w:rsidRPr="00490C53">
              <w:br/>
              <w:t>(0.023)</w:t>
            </w:r>
          </w:p>
        </w:tc>
        <w:tc>
          <w:tcPr>
            <w:tcW w:w="1161" w:type="pct"/>
            <w:vAlign w:val="center"/>
          </w:tcPr>
          <w:p w14:paraId="20CC7CBE" w14:textId="77777777" w:rsidR="002B5D18" w:rsidRPr="00490C53" w:rsidRDefault="002B5D18">
            <w:pPr>
              <w:pStyle w:val="Tabletext"/>
              <w:spacing w:before="0"/>
              <w:jc w:val="center"/>
              <w:rPr>
                <w:rStyle w:val="Bold"/>
                <w:b w:val="0"/>
              </w:rPr>
            </w:pPr>
            <w:r w:rsidRPr="00490C53">
              <w:t>-0.072</w:t>
            </w:r>
            <w:r w:rsidRPr="00490C53">
              <w:br/>
              <w:t>(0.035)</w:t>
            </w:r>
          </w:p>
        </w:tc>
      </w:tr>
      <w:tr w:rsidR="002B5D18" w:rsidRPr="00490C53" w14:paraId="71FBCC4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vAlign w:val="center"/>
          </w:tcPr>
          <w:p w14:paraId="56764177" w14:textId="77777777" w:rsidR="002B5D18" w:rsidRPr="00490C53" w:rsidDel="000A1204" w:rsidRDefault="002B5D18">
            <w:pPr>
              <w:pStyle w:val="Tabletext"/>
            </w:pPr>
            <w:r w:rsidRPr="00490C53">
              <w:t>Used Other Support</w:t>
            </w:r>
          </w:p>
        </w:tc>
        <w:tc>
          <w:tcPr>
            <w:tcW w:w="1047" w:type="pct"/>
            <w:vAlign w:val="center"/>
          </w:tcPr>
          <w:p w14:paraId="11BA6121" w14:textId="77777777" w:rsidR="002B5D18" w:rsidRPr="00490C53" w:rsidRDefault="002B5D18">
            <w:pPr>
              <w:pStyle w:val="Tabletext"/>
              <w:spacing w:before="0"/>
              <w:jc w:val="center"/>
              <w:rPr>
                <w:rStyle w:val="Bold"/>
                <w:b w:val="0"/>
              </w:rPr>
            </w:pPr>
            <w:r w:rsidRPr="00490C53">
              <w:t>-0.026</w:t>
            </w:r>
            <w:r w:rsidRPr="00490C53">
              <w:br/>
              <w:t>(0.031)</w:t>
            </w:r>
          </w:p>
        </w:tc>
        <w:tc>
          <w:tcPr>
            <w:tcW w:w="1161" w:type="pct"/>
            <w:vAlign w:val="center"/>
          </w:tcPr>
          <w:p w14:paraId="362CDBDF" w14:textId="77777777" w:rsidR="002B5D18" w:rsidRPr="00490C53" w:rsidRDefault="002B5D18">
            <w:pPr>
              <w:pStyle w:val="Tabletext"/>
              <w:spacing w:before="0"/>
              <w:jc w:val="center"/>
              <w:rPr>
                <w:rStyle w:val="Bold"/>
                <w:b w:val="0"/>
              </w:rPr>
            </w:pPr>
            <w:r w:rsidRPr="00490C53">
              <w:t>-0.033</w:t>
            </w:r>
            <w:r w:rsidRPr="00490C53">
              <w:br/>
              <w:t>(0.049)</w:t>
            </w:r>
          </w:p>
        </w:tc>
      </w:tr>
      <w:tr w:rsidR="002B5D18" w:rsidRPr="00490C53" w14:paraId="2A3A6B4C" w14:textId="77777777">
        <w:tblPrEx>
          <w:tblCellMar>
            <w:left w:w="108" w:type="dxa"/>
            <w:right w:w="108" w:type="dxa"/>
          </w:tblCellMar>
        </w:tblPrEx>
        <w:tc>
          <w:tcPr>
            <w:tcW w:w="2792" w:type="pct"/>
            <w:vAlign w:val="center"/>
          </w:tcPr>
          <w:p w14:paraId="63D8D0ED" w14:textId="77777777" w:rsidR="002B5D18" w:rsidRPr="00490C53" w:rsidDel="000A1204" w:rsidRDefault="002B5D18">
            <w:pPr>
              <w:pStyle w:val="Tabletext"/>
            </w:pPr>
            <w:r w:rsidRPr="00490C53">
              <w:t>Constant</w:t>
            </w:r>
          </w:p>
        </w:tc>
        <w:tc>
          <w:tcPr>
            <w:tcW w:w="1047" w:type="pct"/>
            <w:vAlign w:val="center"/>
          </w:tcPr>
          <w:p w14:paraId="0FD40E29" w14:textId="77777777" w:rsidR="002B5D18" w:rsidRPr="00490C53" w:rsidRDefault="002B5D18">
            <w:pPr>
              <w:pStyle w:val="Tabletext"/>
              <w:spacing w:before="0"/>
              <w:jc w:val="center"/>
              <w:rPr>
                <w:rStyle w:val="Bold"/>
                <w:b w:val="0"/>
              </w:rPr>
            </w:pPr>
            <w:r w:rsidRPr="00490C53">
              <w:t>1.538***</w:t>
            </w:r>
            <w:r w:rsidRPr="00490C53">
              <w:br/>
              <w:t>(0.009)</w:t>
            </w:r>
          </w:p>
        </w:tc>
        <w:tc>
          <w:tcPr>
            <w:tcW w:w="1161" w:type="pct"/>
            <w:vAlign w:val="center"/>
          </w:tcPr>
          <w:p w14:paraId="552FEA40" w14:textId="77777777" w:rsidR="002B5D18" w:rsidRPr="00490C53" w:rsidRDefault="002B5D18">
            <w:pPr>
              <w:pStyle w:val="Tabletext"/>
              <w:spacing w:before="0"/>
              <w:jc w:val="center"/>
              <w:rPr>
                <w:rStyle w:val="Bold"/>
                <w:b w:val="0"/>
              </w:rPr>
            </w:pPr>
            <w:r w:rsidRPr="00490C53">
              <w:t>2.713***</w:t>
            </w:r>
            <w:r w:rsidRPr="00490C53">
              <w:br/>
              <w:t>(0.016)</w:t>
            </w:r>
          </w:p>
        </w:tc>
      </w:tr>
      <w:tr w:rsidR="002B5D18" w:rsidRPr="00490C53" w14:paraId="0363071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tcBorders>
              <w:top w:val="single" w:sz="4" w:space="0" w:color="0054BA"/>
            </w:tcBorders>
            <w:vAlign w:val="center"/>
          </w:tcPr>
          <w:p w14:paraId="1E33187B" w14:textId="77777777" w:rsidR="002B5D18" w:rsidRPr="00490C53" w:rsidRDefault="002B5D18">
            <w:pPr>
              <w:pStyle w:val="Tabletext"/>
            </w:pPr>
            <w:r w:rsidRPr="00490C53">
              <w:t>Observations</w:t>
            </w:r>
          </w:p>
        </w:tc>
        <w:tc>
          <w:tcPr>
            <w:tcW w:w="1047" w:type="pct"/>
            <w:tcBorders>
              <w:top w:val="single" w:sz="4" w:space="0" w:color="0054BA"/>
            </w:tcBorders>
            <w:vAlign w:val="center"/>
          </w:tcPr>
          <w:p w14:paraId="293EE04E" w14:textId="77777777" w:rsidR="002B5D18" w:rsidRPr="00490C53" w:rsidRDefault="002B5D18">
            <w:pPr>
              <w:pStyle w:val="Tabletext"/>
              <w:jc w:val="center"/>
              <w:rPr>
                <w:rStyle w:val="Bold"/>
                <w:b w:val="0"/>
              </w:rPr>
            </w:pPr>
            <w:r w:rsidRPr="00490C53">
              <w:t>2,097</w:t>
            </w:r>
          </w:p>
        </w:tc>
        <w:tc>
          <w:tcPr>
            <w:tcW w:w="1161" w:type="pct"/>
            <w:tcBorders>
              <w:top w:val="single" w:sz="4" w:space="0" w:color="0054BA"/>
            </w:tcBorders>
            <w:vAlign w:val="center"/>
          </w:tcPr>
          <w:p w14:paraId="6C2FDDF6" w14:textId="77777777" w:rsidR="002B5D18" w:rsidRPr="00490C53" w:rsidRDefault="002B5D18">
            <w:pPr>
              <w:pStyle w:val="Tabletext"/>
              <w:jc w:val="center"/>
              <w:rPr>
                <w:rStyle w:val="Bold"/>
                <w:b w:val="0"/>
              </w:rPr>
            </w:pPr>
            <w:r w:rsidRPr="00490C53">
              <w:t>1,352</w:t>
            </w:r>
          </w:p>
        </w:tc>
      </w:tr>
      <w:tr w:rsidR="002B5D18" w:rsidRPr="00490C53" w14:paraId="3776831E" w14:textId="77777777">
        <w:tblPrEx>
          <w:tblCellMar>
            <w:left w:w="108" w:type="dxa"/>
            <w:right w:w="108" w:type="dxa"/>
          </w:tblCellMar>
        </w:tblPrEx>
        <w:tc>
          <w:tcPr>
            <w:tcW w:w="2792" w:type="pct"/>
            <w:vAlign w:val="center"/>
          </w:tcPr>
          <w:p w14:paraId="0914371B" w14:textId="77777777" w:rsidR="002B5D18" w:rsidRPr="00490C53" w:rsidRDefault="002B5D18">
            <w:pPr>
              <w:pStyle w:val="Tabletext"/>
            </w:pPr>
            <w:r w:rsidRPr="00490C53">
              <w:t>R-squared</w:t>
            </w:r>
          </w:p>
        </w:tc>
        <w:tc>
          <w:tcPr>
            <w:tcW w:w="1047" w:type="pct"/>
            <w:vAlign w:val="center"/>
          </w:tcPr>
          <w:p w14:paraId="6792C54C" w14:textId="77777777" w:rsidR="002B5D18" w:rsidRPr="00490C53" w:rsidRDefault="002B5D18">
            <w:pPr>
              <w:pStyle w:val="Tabletext"/>
              <w:jc w:val="center"/>
              <w:rPr>
                <w:rStyle w:val="Bold"/>
                <w:b w:val="0"/>
              </w:rPr>
            </w:pPr>
            <w:r w:rsidRPr="00490C53">
              <w:t>0.035</w:t>
            </w:r>
          </w:p>
        </w:tc>
        <w:tc>
          <w:tcPr>
            <w:tcW w:w="1161" w:type="pct"/>
            <w:vAlign w:val="center"/>
          </w:tcPr>
          <w:p w14:paraId="04A7E12F" w14:textId="77777777" w:rsidR="002B5D18" w:rsidRPr="00490C53" w:rsidRDefault="002B5D18">
            <w:pPr>
              <w:pStyle w:val="Tabletext"/>
              <w:jc w:val="center"/>
              <w:rPr>
                <w:rStyle w:val="Bold"/>
                <w:b w:val="0"/>
              </w:rPr>
            </w:pPr>
            <w:r w:rsidRPr="00490C53">
              <w:t>0.050</w:t>
            </w:r>
          </w:p>
        </w:tc>
      </w:tr>
      <w:tr w:rsidR="002B5D18" w:rsidRPr="00490C53" w14:paraId="2159E01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792" w:type="pct"/>
            <w:tcBorders>
              <w:bottom w:val="single" w:sz="4" w:space="0" w:color="0054BA" w:themeColor="accent2"/>
            </w:tcBorders>
            <w:vAlign w:val="center"/>
          </w:tcPr>
          <w:p w14:paraId="5890F4D5" w14:textId="77777777" w:rsidR="002B5D18" w:rsidRPr="00490C53" w:rsidRDefault="002B5D18">
            <w:pPr>
              <w:pStyle w:val="Tabletext"/>
            </w:pPr>
            <w:r w:rsidRPr="00490C53">
              <w:t>Business fixed effects</w:t>
            </w:r>
          </w:p>
        </w:tc>
        <w:tc>
          <w:tcPr>
            <w:tcW w:w="1047" w:type="pct"/>
            <w:tcBorders>
              <w:bottom w:val="single" w:sz="4" w:space="0" w:color="0054BA" w:themeColor="accent2"/>
            </w:tcBorders>
            <w:vAlign w:val="center"/>
          </w:tcPr>
          <w:p w14:paraId="4C0D6E8A" w14:textId="77777777" w:rsidR="002B5D18" w:rsidRPr="00490C53" w:rsidRDefault="002B5D18">
            <w:pPr>
              <w:pStyle w:val="Tabletext"/>
              <w:spacing w:before="0" w:line="240" w:lineRule="auto"/>
              <w:jc w:val="center"/>
              <w:rPr>
                <w:rStyle w:val="Bold"/>
                <w:rFonts w:cstheme="minorHAnsi"/>
                <w:b w:val="0"/>
                <w:bCs/>
                <w:sz w:val="22"/>
              </w:rPr>
            </w:pPr>
            <w:r w:rsidRPr="00490C53">
              <w:rPr>
                <w:rStyle w:val="Bold"/>
                <w:rFonts w:cstheme="minorHAnsi"/>
                <w:b w:val="0"/>
                <w:bCs/>
                <w:sz w:val="22"/>
              </w:rPr>
              <w:t>Y</w:t>
            </w:r>
            <w:r w:rsidRPr="00490C53">
              <w:rPr>
                <w:rStyle w:val="Bold"/>
                <w:rFonts w:cstheme="minorHAnsi"/>
                <w:b w:val="0"/>
                <w:bCs/>
              </w:rPr>
              <w:t>es</w:t>
            </w:r>
          </w:p>
        </w:tc>
        <w:tc>
          <w:tcPr>
            <w:tcW w:w="1161" w:type="pct"/>
            <w:tcBorders>
              <w:bottom w:val="single" w:sz="4" w:space="0" w:color="0054BA" w:themeColor="accent2"/>
            </w:tcBorders>
            <w:vAlign w:val="center"/>
          </w:tcPr>
          <w:p w14:paraId="3A5671D6" w14:textId="77777777" w:rsidR="002B5D18" w:rsidRPr="00490C53" w:rsidRDefault="002B5D18">
            <w:pPr>
              <w:pStyle w:val="Tabletext"/>
              <w:spacing w:before="0" w:line="240" w:lineRule="auto"/>
              <w:jc w:val="center"/>
              <w:rPr>
                <w:rStyle w:val="Bold"/>
                <w:rFonts w:cstheme="minorHAnsi"/>
                <w:b w:val="0"/>
                <w:bCs/>
                <w:sz w:val="22"/>
              </w:rPr>
            </w:pPr>
            <w:r w:rsidRPr="00490C53">
              <w:rPr>
                <w:rStyle w:val="Bold"/>
                <w:rFonts w:cstheme="minorHAnsi"/>
                <w:b w:val="0"/>
                <w:bCs/>
                <w:sz w:val="22"/>
              </w:rPr>
              <w:t>Y</w:t>
            </w:r>
            <w:r w:rsidRPr="00490C53">
              <w:rPr>
                <w:rStyle w:val="Bold"/>
                <w:rFonts w:cstheme="minorHAnsi"/>
                <w:b w:val="0"/>
                <w:bCs/>
              </w:rPr>
              <w:t>es</w:t>
            </w:r>
          </w:p>
        </w:tc>
      </w:tr>
    </w:tbl>
    <w:p w14:paraId="0FF64818" w14:textId="08A38A5D" w:rsidR="002B5D18" w:rsidRPr="00490C53" w:rsidRDefault="00DA466B" w:rsidP="002B5D18">
      <w:pPr>
        <w:pStyle w:val="Caption"/>
      </w:pPr>
      <w:r>
        <w:t xml:space="preserve">Note: </w:t>
      </w:r>
      <w:r w:rsidR="002B5D18" w:rsidRPr="00490C53">
        <w:t xml:space="preserve">Robust standard errors in parentheses. *** p-value&lt;0.01, ** p-value&lt;0.05, * p-value&lt;0.1. Source: London Economics’ analysis of survey data. </w:t>
      </w:r>
    </w:p>
    <w:p w14:paraId="7C2CEB66" w14:textId="448EC8A2" w:rsidR="00B672CA" w:rsidRPr="00490C53" w:rsidRDefault="00B672CA">
      <w:pPr>
        <w:spacing w:after="160" w:line="259" w:lineRule="auto"/>
        <w:rPr>
          <w:highlight w:val="yellow"/>
        </w:rPr>
      </w:pPr>
      <w:r w:rsidRPr="00490C53">
        <w:rPr>
          <w:highlight w:val="yellow"/>
        </w:rPr>
        <w:br w:type="page"/>
      </w:r>
    </w:p>
    <w:p w14:paraId="3B929679" w14:textId="06FA950C" w:rsidR="00AE2746" w:rsidRPr="00490C53" w:rsidRDefault="00AE2746" w:rsidP="00AE2746">
      <w:pPr>
        <w:pStyle w:val="Heading1"/>
      </w:pPr>
      <w:bookmarkStart w:id="284" w:name="_Ref126237016"/>
      <w:bookmarkStart w:id="285" w:name="_Ref126237143"/>
      <w:bookmarkStart w:id="286" w:name="_Ref122623010"/>
      <w:bookmarkStart w:id="287" w:name="_Ref122623082"/>
      <w:bookmarkStart w:id="288" w:name="_Ref123508936"/>
      <w:bookmarkStart w:id="289" w:name="_Ref123831796"/>
      <w:bookmarkStart w:id="290" w:name="_Ref123831810"/>
      <w:bookmarkStart w:id="291" w:name="_Ref123896087"/>
      <w:bookmarkStart w:id="292" w:name="_Ref123896131"/>
      <w:bookmarkStart w:id="293" w:name="_Toc151549905"/>
      <w:r w:rsidRPr="00490C53">
        <w:lastRenderedPageBreak/>
        <w:t xml:space="preserve">Annex </w:t>
      </w:r>
      <w:r w:rsidR="00ED5728">
        <w:t>4</w:t>
      </w:r>
      <w:bookmarkEnd w:id="284"/>
      <w:bookmarkEnd w:id="285"/>
      <w:bookmarkEnd w:id="286"/>
      <w:bookmarkEnd w:id="287"/>
      <w:bookmarkEnd w:id="288"/>
      <w:bookmarkEnd w:id="289"/>
      <w:bookmarkEnd w:id="290"/>
      <w:bookmarkEnd w:id="291"/>
      <w:bookmarkEnd w:id="292"/>
      <w:r w:rsidR="008465A3">
        <w:t xml:space="preserve"> – Secondary Analysis Methodology</w:t>
      </w:r>
      <w:bookmarkEnd w:id="293"/>
    </w:p>
    <w:p w14:paraId="01A382CB" w14:textId="760AAF47" w:rsidR="00AE2746" w:rsidRPr="00490C53" w:rsidRDefault="00AE2746" w:rsidP="00236B73">
      <w:pPr>
        <w:pStyle w:val="Heading2"/>
      </w:pPr>
      <w:bookmarkStart w:id="294" w:name="_Toc149801274"/>
      <w:bookmarkStart w:id="295" w:name="_Toc151016593"/>
      <w:bookmarkStart w:id="296" w:name="_Toc151549906"/>
      <w:r w:rsidRPr="00490C53">
        <w:t>Analysis of business survival</w:t>
      </w:r>
      <w:bookmarkEnd w:id="294"/>
      <w:bookmarkEnd w:id="295"/>
      <w:bookmarkEnd w:id="296"/>
    </w:p>
    <w:p w14:paraId="53B954F0" w14:textId="25A88D38" w:rsidR="00610C60" w:rsidRPr="00490C53" w:rsidRDefault="00610C60" w:rsidP="00610C60">
      <w:r w:rsidRPr="00490C53">
        <w:t>This annex section describes the approach used to quantify the impact of the Covid-19 Loan Guarantee Schemes on business survival</w:t>
      </w:r>
      <w:r w:rsidR="00D05E97" w:rsidRPr="00490C53">
        <w:t xml:space="preserve"> using secondary data</w:t>
      </w:r>
      <w:r w:rsidRPr="00490C53">
        <w:t>. As this analysis is intended as a</w:t>
      </w:r>
      <w:r w:rsidR="008875DF">
        <w:t xml:space="preserve">n assessment </w:t>
      </w:r>
      <w:r w:rsidRPr="00490C53">
        <w:t xml:space="preserve">of the </w:t>
      </w:r>
      <w:r w:rsidR="00183388" w:rsidRPr="00490C53">
        <w:t>Y</w:t>
      </w:r>
      <w:r w:rsidRPr="00490C53">
        <w:t>ear 1 survey</w:t>
      </w:r>
      <w:r w:rsidR="00CD2A66" w:rsidRPr="00490C53">
        <w:t>-based</w:t>
      </w:r>
      <w:r w:rsidRPr="00490C53">
        <w:t xml:space="preserve"> </w:t>
      </w:r>
      <w:r w:rsidR="00DC5E9B" w:rsidRPr="00490C53">
        <w:t>analysis</w:t>
      </w:r>
      <w:r w:rsidRPr="00490C53">
        <w:t xml:space="preserve">, any key differences are highlighted between </w:t>
      </w:r>
      <w:r w:rsidR="008C4B6D" w:rsidRPr="00490C53">
        <w:t xml:space="preserve">both </w:t>
      </w:r>
      <w:r w:rsidR="00DC5E9B" w:rsidRPr="00490C53">
        <w:t>exercise</w:t>
      </w:r>
      <w:r w:rsidR="00C55433" w:rsidRPr="00490C53">
        <w:t>s</w:t>
      </w:r>
      <w:r w:rsidRPr="00490C53">
        <w:t>.</w:t>
      </w:r>
    </w:p>
    <w:p w14:paraId="07FC6690" w14:textId="77777777" w:rsidR="00610C60" w:rsidRPr="005D5D23" w:rsidRDefault="00610C60" w:rsidP="00236B73">
      <w:r w:rsidRPr="00236B73">
        <w:rPr>
          <w:color w:val="142855" w:themeColor="text2"/>
        </w:rPr>
        <w:t>Overview</w:t>
      </w:r>
    </w:p>
    <w:p w14:paraId="63524610" w14:textId="61DD6E08" w:rsidR="00D14323" w:rsidRPr="00490C53" w:rsidRDefault="00610C60" w:rsidP="00610C60">
      <w:pPr>
        <w:rPr>
          <w:rFonts w:cstheme="minorHAnsi"/>
          <w:szCs w:val="24"/>
        </w:rPr>
      </w:pPr>
      <w:r w:rsidRPr="00490C53">
        <w:t xml:space="preserve">The key </w:t>
      </w:r>
      <w:r w:rsidR="006D4535" w:rsidRPr="00490C53">
        <w:t xml:space="preserve">difficulty </w:t>
      </w:r>
      <w:r w:rsidRPr="00490C53">
        <w:t xml:space="preserve">in identifying the effect of the </w:t>
      </w:r>
      <w:bookmarkStart w:id="297" w:name="_Hlk123050252"/>
      <w:r w:rsidRPr="00490C53">
        <w:rPr>
          <w:rFonts w:cstheme="minorHAnsi"/>
          <w:szCs w:val="24"/>
        </w:rPr>
        <w:t xml:space="preserve">Covid-19 Loan Guarantee Schemes </w:t>
      </w:r>
      <w:bookmarkEnd w:id="297"/>
      <w:r w:rsidRPr="00490C53">
        <w:t xml:space="preserve">on business survival is </w:t>
      </w:r>
      <w:r w:rsidR="00D85B3A" w:rsidRPr="00490C53">
        <w:t xml:space="preserve">estimating the </w:t>
      </w:r>
      <w:r w:rsidR="00290DCA" w:rsidRPr="00490C53">
        <w:t>‘</w:t>
      </w:r>
      <w:r w:rsidR="00D85B3A" w:rsidRPr="00490C53">
        <w:t>counterfactual</w:t>
      </w:r>
      <w:r w:rsidR="00290DCA" w:rsidRPr="00490C53">
        <w:t>’</w:t>
      </w:r>
      <w:r w:rsidR="00D85B3A" w:rsidRPr="00490C53">
        <w:t xml:space="preserve"> likelihood </w:t>
      </w:r>
      <w:r w:rsidR="00290DCA" w:rsidRPr="00490C53">
        <w:t xml:space="preserve">with which borrowers would have </w:t>
      </w:r>
      <w:r w:rsidR="004550ED">
        <w:t>permanently closed</w:t>
      </w:r>
      <w:r w:rsidR="004550ED" w:rsidRPr="00490C53">
        <w:t xml:space="preserve"> </w:t>
      </w:r>
      <w:r w:rsidR="00290DCA" w:rsidRPr="00490C53">
        <w:t xml:space="preserve">in the absence of the </w:t>
      </w:r>
      <w:r w:rsidR="00E60FE3" w:rsidRPr="00490C53">
        <w:rPr>
          <w:rFonts w:cstheme="minorHAnsi"/>
          <w:szCs w:val="24"/>
        </w:rPr>
        <w:t>BBLS and CBILS/CLBILS</w:t>
      </w:r>
      <w:r w:rsidR="00ED0F6A" w:rsidRPr="00490C53">
        <w:rPr>
          <w:rFonts w:cstheme="minorHAnsi"/>
          <w:szCs w:val="24"/>
        </w:rPr>
        <w:t>.</w:t>
      </w:r>
    </w:p>
    <w:p w14:paraId="5F7939F2" w14:textId="48926FBE" w:rsidR="008C52C3" w:rsidRPr="00490C53" w:rsidRDefault="0079707A" w:rsidP="00610C60">
      <w:r w:rsidRPr="00490C53">
        <w:t xml:space="preserve">The approach taken in the </w:t>
      </w:r>
      <w:r w:rsidR="00183388" w:rsidRPr="00490C53">
        <w:t>Y</w:t>
      </w:r>
      <w:r w:rsidRPr="00490C53">
        <w:t xml:space="preserve">ear 1 survey-based analysis was to </w:t>
      </w:r>
      <w:r w:rsidR="009314AF" w:rsidRPr="00490C53">
        <w:t xml:space="preserve">ask a sample of borrowers to </w:t>
      </w:r>
      <w:r w:rsidR="005A7197" w:rsidRPr="00490C53">
        <w:t>self-</w:t>
      </w:r>
      <w:r w:rsidR="009314AF" w:rsidRPr="00490C53">
        <w:t xml:space="preserve">assess </w:t>
      </w:r>
      <w:r w:rsidR="00DB208A" w:rsidRPr="00490C53">
        <w:t xml:space="preserve">their likelihood of closing in the absence of the Covid-19 Loan Guarantee Schemes. </w:t>
      </w:r>
      <w:r w:rsidR="00C85BAD" w:rsidRPr="00490C53">
        <w:t xml:space="preserve">Another approach – implemented in this </w:t>
      </w:r>
      <w:r w:rsidR="00A363DF">
        <w:t xml:space="preserve">secondary analysis </w:t>
      </w:r>
      <w:r w:rsidR="00C85BAD" w:rsidRPr="00490C53">
        <w:t xml:space="preserve">– is to </w:t>
      </w:r>
      <w:r w:rsidR="009844C2" w:rsidRPr="00490C53">
        <w:t>estimate that likelihood as</w:t>
      </w:r>
      <w:r w:rsidR="006D4535" w:rsidRPr="00490C53">
        <w:t xml:space="preserve"> the </w:t>
      </w:r>
      <w:r w:rsidR="004550ED">
        <w:t>closure</w:t>
      </w:r>
      <w:r w:rsidR="004550ED" w:rsidRPr="00490C53">
        <w:t xml:space="preserve"> </w:t>
      </w:r>
      <w:r w:rsidR="006D4535" w:rsidRPr="00490C53">
        <w:t xml:space="preserve">rate </w:t>
      </w:r>
      <w:r w:rsidR="00C54ADB" w:rsidRPr="00490C53">
        <w:t>among</w:t>
      </w:r>
      <w:r w:rsidR="006D4535" w:rsidRPr="00490C53">
        <w:t xml:space="preserve"> a group of selected non-borrowers. </w:t>
      </w:r>
    </w:p>
    <w:p w14:paraId="78F760F3" w14:textId="0F72DBE6" w:rsidR="00610C60" w:rsidRPr="00490C53" w:rsidRDefault="006D4535" w:rsidP="00610C60">
      <w:r w:rsidRPr="00490C53">
        <w:t xml:space="preserve">A challenge with that approach is </w:t>
      </w:r>
      <w:r w:rsidR="00610C60" w:rsidRPr="00490C53">
        <w:t xml:space="preserve">that there are likely to be differences between </w:t>
      </w:r>
      <w:r w:rsidR="00266E62" w:rsidRPr="00490C53">
        <w:t xml:space="preserve">borrowers </w:t>
      </w:r>
      <w:r w:rsidR="00610C60" w:rsidRPr="00490C53">
        <w:t xml:space="preserve">(the ‘treatment group’) and </w:t>
      </w:r>
      <w:r w:rsidR="005631B3" w:rsidRPr="00490C53">
        <w:t>non-borrowers</w:t>
      </w:r>
      <w:r w:rsidR="00610C60" w:rsidRPr="00490C53">
        <w:rPr>
          <w:rFonts w:cstheme="minorHAnsi"/>
          <w:szCs w:val="24"/>
        </w:rPr>
        <w:t xml:space="preserve"> </w:t>
      </w:r>
      <w:r w:rsidR="00610C60" w:rsidRPr="00490C53">
        <w:t xml:space="preserve">other than simply whether they participated in the </w:t>
      </w:r>
      <w:r w:rsidR="00610C60" w:rsidRPr="00490C53">
        <w:rPr>
          <w:rFonts w:cstheme="minorHAnsi"/>
          <w:szCs w:val="24"/>
        </w:rPr>
        <w:t>Covid-19 Loan Guarantee Schemes</w:t>
      </w:r>
      <w:r w:rsidR="00610C60" w:rsidRPr="00490C53">
        <w:t xml:space="preserve">. </w:t>
      </w:r>
    </w:p>
    <w:p w14:paraId="454F44C9" w14:textId="20FE5404" w:rsidR="00610C60" w:rsidRPr="00490C53" w:rsidRDefault="00610C60" w:rsidP="00610C60">
      <w:r w:rsidRPr="00490C53">
        <w:t xml:space="preserve">For example, one might expect that </w:t>
      </w:r>
      <w:r w:rsidR="008824EB" w:rsidRPr="00490C53">
        <w:t xml:space="preserve">firms </w:t>
      </w:r>
      <w:r w:rsidRPr="00490C53">
        <w:t xml:space="preserve">with a business model heavily disrupted by the pandemic </w:t>
      </w:r>
      <w:r w:rsidR="001C6165" w:rsidRPr="00490C53">
        <w:t xml:space="preserve">– </w:t>
      </w:r>
      <w:r w:rsidR="00994BE7">
        <w:t xml:space="preserve">for example </w:t>
      </w:r>
      <w:r w:rsidR="00CE77EC" w:rsidRPr="00490C53">
        <w:t>in the hospitality sector –</w:t>
      </w:r>
      <w:r w:rsidRPr="00490C53">
        <w:t xml:space="preserve"> would be more likely to access the </w:t>
      </w:r>
      <w:r w:rsidRPr="00490C53">
        <w:rPr>
          <w:rFonts w:cstheme="minorHAnsi"/>
          <w:szCs w:val="24"/>
        </w:rPr>
        <w:t xml:space="preserve">Covid-19 Loan Guarantee Schemes </w:t>
      </w:r>
      <w:r w:rsidRPr="00490C53">
        <w:t>than businesses whose activities were less affected by the pandemic.</w:t>
      </w:r>
    </w:p>
    <w:p w14:paraId="0D0EAC43" w14:textId="2029422E" w:rsidR="00610C60" w:rsidRPr="00490C53" w:rsidRDefault="00610C60" w:rsidP="00610C60">
      <w:pPr>
        <w:rPr>
          <w:rFonts w:cstheme="minorHAnsi"/>
          <w:szCs w:val="24"/>
        </w:rPr>
      </w:pPr>
      <w:r w:rsidRPr="00490C53">
        <w:t xml:space="preserve">Yet, </w:t>
      </w:r>
      <w:r w:rsidR="00EF6568" w:rsidRPr="00490C53">
        <w:t>the same factors affecting businesses’ likeli</w:t>
      </w:r>
      <w:r w:rsidR="00B27A80" w:rsidRPr="00490C53">
        <w:t xml:space="preserve">hood of accessing the </w:t>
      </w:r>
      <w:r w:rsidR="00B27A80" w:rsidRPr="00490C53">
        <w:rPr>
          <w:rFonts w:cstheme="minorHAnsi"/>
          <w:szCs w:val="24"/>
        </w:rPr>
        <w:t xml:space="preserve">Covid-19 Loan Guarantee Schemes </w:t>
      </w:r>
      <w:r w:rsidR="00562099" w:rsidRPr="00490C53">
        <w:rPr>
          <w:rFonts w:cstheme="minorHAnsi"/>
          <w:szCs w:val="24"/>
        </w:rPr>
        <w:t xml:space="preserve">may have also influenced their chances of survival during the pandemic. </w:t>
      </w:r>
      <w:r w:rsidR="00E07E6F" w:rsidRPr="00490C53">
        <w:rPr>
          <w:rFonts w:cstheme="minorHAnsi"/>
          <w:szCs w:val="24"/>
        </w:rPr>
        <w:t xml:space="preserve">Therefore, </w:t>
      </w:r>
      <w:r w:rsidR="005A584D" w:rsidRPr="00490C53">
        <w:rPr>
          <w:rFonts w:cstheme="minorHAnsi"/>
          <w:szCs w:val="24"/>
        </w:rPr>
        <w:t xml:space="preserve">simply </w:t>
      </w:r>
      <w:r w:rsidR="00E07E6F" w:rsidRPr="00490C53">
        <w:rPr>
          <w:rFonts w:cstheme="minorHAnsi"/>
          <w:szCs w:val="24"/>
        </w:rPr>
        <w:t xml:space="preserve">estimating the counterfactual </w:t>
      </w:r>
      <w:r w:rsidR="004550ED">
        <w:rPr>
          <w:rFonts w:cstheme="minorHAnsi"/>
          <w:szCs w:val="24"/>
        </w:rPr>
        <w:t>closure</w:t>
      </w:r>
      <w:r w:rsidR="004550ED" w:rsidRPr="00490C53">
        <w:rPr>
          <w:rFonts w:cstheme="minorHAnsi"/>
          <w:szCs w:val="24"/>
        </w:rPr>
        <w:t xml:space="preserve"> </w:t>
      </w:r>
      <w:r w:rsidR="00E07E6F" w:rsidRPr="00490C53">
        <w:rPr>
          <w:rFonts w:cstheme="minorHAnsi"/>
          <w:szCs w:val="24"/>
        </w:rPr>
        <w:t xml:space="preserve">rate </w:t>
      </w:r>
      <w:r w:rsidR="00AE754D" w:rsidRPr="00490C53">
        <w:rPr>
          <w:rFonts w:cstheme="minorHAnsi"/>
          <w:szCs w:val="24"/>
        </w:rPr>
        <w:t xml:space="preserve">as the </w:t>
      </w:r>
      <w:r w:rsidR="004550ED">
        <w:rPr>
          <w:rFonts w:cstheme="minorHAnsi"/>
          <w:szCs w:val="24"/>
        </w:rPr>
        <w:t>closure</w:t>
      </w:r>
      <w:r w:rsidR="004550ED" w:rsidRPr="00490C53">
        <w:rPr>
          <w:rFonts w:cstheme="minorHAnsi"/>
          <w:szCs w:val="24"/>
        </w:rPr>
        <w:t xml:space="preserve"> </w:t>
      </w:r>
      <w:r w:rsidR="00AE754D" w:rsidRPr="00490C53">
        <w:rPr>
          <w:rFonts w:cstheme="minorHAnsi"/>
          <w:szCs w:val="24"/>
        </w:rPr>
        <w:t xml:space="preserve">rate </w:t>
      </w:r>
      <w:r w:rsidR="00374EB5" w:rsidRPr="00490C53">
        <w:rPr>
          <w:rFonts w:cstheme="minorHAnsi"/>
          <w:szCs w:val="24"/>
        </w:rPr>
        <w:t>among the</w:t>
      </w:r>
      <w:r w:rsidR="00CC5A6A" w:rsidRPr="00490C53">
        <w:rPr>
          <w:rFonts w:cstheme="minorHAnsi"/>
          <w:szCs w:val="24"/>
        </w:rPr>
        <w:t xml:space="preserve"> overall</w:t>
      </w:r>
      <w:r w:rsidR="00374EB5" w:rsidRPr="00490C53">
        <w:rPr>
          <w:rFonts w:cstheme="minorHAnsi"/>
          <w:szCs w:val="24"/>
        </w:rPr>
        <w:t xml:space="preserve"> population of </w:t>
      </w:r>
      <w:r w:rsidR="00A40DCB" w:rsidRPr="00490C53">
        <w:rPr>
          <w:rFonts w:cstheme="minorHAnsi"/>
          <w:szCs w:val="24"/>
        </w:rPr>
        <w:t xml:space="preserve">businesses that did not access the </w:t>
      </w:r>
      <w:r w:rsidR="00A56D90" w:rsidRPr="00490C53">
        <w:rPr>
          <w:rFonts w:cstheme="minorHAnsi"/>
          <w:szCs w:val="24"/>
        </w:rPr>
        <w:t>BBLS and CBILS/CLBILS</w:t>
      </w:r>
      <w:r w:rsidR="00A40DCB" w:rsidRPr="00490C53">
        <w:rPr>
          <w:rFonts w:cstheme="minorHAnsi"/>
          <w:szCs w:val="24"/>
        </w:rPr>
        <w:t xml:space="preserve"> (or a representative sample thereof) </w:t>
      </w:r>
      <w:r w:rsidR="006F0259" w:rsidRPr="00490C53">
        <w:rPr>
          <w:rFonts w:cstheme="minorHAnsi"/>
          <w:szCs w:val="24"/>
        </w:rPr>
        <w:t xml:space="preserve">and comparing this to the </w:t>
      </w:r>
      <w:r w:rsidR="009025FF" w:rsidRPr="00490C53">
        <w:rPr>
          <w:rFonts w:cstheme="minorHAnsi"/>
          <w:szCs w:val="24"/>
        </w:rPr>
        <w:t xml:space="preserve">observed </w:t>
      </w:r>
      <w:r w:rsidR="004550ED">
        <w:rPr>
          <w:rFonts w:cstheme="minorHAnsi"/>
          <w:szCs w:val="24"/>
        </w:rPr>
        <w:t>closure</w:t>
      </w:r>
      <w:r w:rsidR="004550ED" w:rsidRPr="00490C53">
        <w:rPr>
          <w:rFonts w:cstheme="minorHAnsi"/>
          <w:szCs w:val="24"/>
        </w:rPr>
        <w:t xml:space="preserve"> </w:t>
      </w:r>
      <w:r w:rsidR="009025FF" w:rsidRPr="00490C53">
        <w:rPr>
          <w:rFonts w:cstheme="minorHAnsi"/>
          <w:szCs w:val="24"/>
        </w:rPr>
        <w:t xml:space="preserve">rate among </w:t>
      </w:r>
      <w:r w:rsidR="009025FF" w:rsidRPr="00490C53">
        <w:rPr>
          <w:rFonts w:cstheme="minorHAnsi"/>
          <w:szCs w:val="24"/>
        </w:rPr>
        <w:lastRenderedPageBreak/>
        <w:t xml:space="preserve">borrowers would </w:t>
      </w:r>
      <w:r w:rsidR="003E1FC5" w:rsidRPr="00490C53">
        <w:rPr>
          <w:rFonts w:cstheme="minorHAnsi"/>
          <w:szCs w:val="24"/>
        </w:rPr>
        <w:t xml:space="preserve">incorrectly attribute the impact of these other factors to the </w:t>
      </w:r>
      <w:r w:rsidR="00A56D90" w:rsidRPr="00490C53">
        <w:rPr>
          <w:rFonts w:cstheme="minorHAnsi"/>
          <w:szCs w:val="24"/>
        </w:rPr>
        <w:t>Covid-19 Loan Guarantee Schemes</w:t>
      </w:r>
      <w:r w:rsidR="003E1FC5" w:rsidRPr="00490C53">
        <w:rPr>
          <w:rFonts w:cstheme="minorHAnsi"/>
          <w:szCs w:val="24"/>
        </w:rPr>
        <w:t xml:space="preserve">. </w:t>
      </w:r>
      <w:r w:rsidRPr="00490C53">
        <w:t xml:space="preserve">It is </w:t>
      </w:r>
      <w:r w:rsidR="007C7764" w:rsidRPr="00490C53">
        <w:t xml:space="preserve">therefore </w:t>
      </w:r>
      <w:r w:rsidRPr="00490C53">
        <w:t xml:space="preserve">important that the analysis </w:t>
      </w:r>
      <w:r w:rsidR="00417573" w:rsidRPr="00490C53">
        <w:t xml:space="preserve">accounts for factors influencing both </w:t>
      </w:r>
      <w:r w:rsidR="00EA5815" w:rsidRPr="00490C53">
        <w:t xml:space="preserve">the likelihood of being a borrower and that of surviving. </w:t>
      </w:r>
    </w:p>
    <w:p w14:paraId="06F346A2" w14:textId="69DCAF68" w:rsidR="00610C60" w:rsidRPr="005D5D23" w:rsidRDefault="00610C60" w:rsidP="00236B73">
      <w:r w:rsidRPr="00236B73">
        <w:rPr>
          <w:color w:val="142855" w:themeColor="text2"/>
        </w:rPr>
        <w:t xml:space="preserve">Calculating the counterfactual </w:t>
      </w:r>
      <w:r w:rsidR="004550ED" w:rsidRPr="00236B73">
        <w:rPr>
          <w:color w:val="142855" w:themeColor="text2"/>
        </w:rPr>
        <w:t xml:space="preserve">closure </w:t>
      </w:r>
      <w:r w:rsidRPr="00236B73">
        <w:rPr>
          <w:color w:val="142855" w:themeColor="text2"/>
        </w:rPr>
        <w:t xml:space="preserve">rate of </w:t>
      </w:r>
      <w:r w:rsidR="00BA41EA" w:rsidRPr="00236B73">
        <w:rPr>
          <w:color w:val="142855" w:themeColor="text2"/>
        </w:rPr>
        <w:t>borrowers</w:t>
      </w:r>
    </w:p>
    <w:p w14:paraId="3DE9627C" w14:textId="57E9DCD7" w:rsidR="00610C60" w:rsidRPr="00490C53" w:rsidRDefault="00610C60" w:rsidP="00610C60">
      <w:r w:rsidRPr="00490C53">
        <w:t>To tackle this problem, propensity score matching (PSM)</w:t>
      </w:r>
      <w:r w:rsidRPr="00490C53">
        <w:rPr>
          <w:rStyle w:val="FootnoteReference"/>
        </w:rPr>
        <w:footnoteReference w:id="153"/>
      </w:r>
      <w:r w:rsidRPr="00490C53">
        <w:t xml:space="preserve"> is implemented to identify a set of </w:t>
      </w:r>
      <w:r w:rsidR="003B2677" w:rsidRPr="00490C53">
        <w:t>non-borrowers</w:t>
      </w:r>
      <w:r w:rsidRPr="00490C53">
        <w:t xml:space="preserve"> that closely resemble the treatment businesses, based on a ‘propensity score’. The propensity score is the probability of a business being in the treatment group</w:t>
      </w:r>
      <w:r w:rsidR="005053F3" w:rsidRPr="00490C53">
        <w:t xml:space="preserve"> (</w:t>
      </w:r>
      <w:proofErr w:type="gramStart"/>
      <w:r w:rsidR="005053F3" w:rsidRPr="00490C53">
        <w:t>i.e.</w:t>
      </w:r>
      <w:proofErr w:type="gramEnd"/>
      <w:r w:rsidR="005053F3" w:rsidRPr="00490C53">
        <w:t xml:space="preserve"> </w:t>
      </w:r>
      <w:r w:rsidR="00146AC6" w:rsidRPr="00490C53">
        <w:t xml:space="preserve">being </w:t>
      </w:r>
      <w:r w:rsidR="005053F3" w:rsidRPr="00490C53">
        <w:t>a borrower)</w:t>
      </w:r>
      <w:r w:rsidRPr="00490C53">
        <w:t>, estimated based on its characteristics</w:t>
      </w:r>
      <w:r w:rsidR="002C5DE1" w:rsidRPr="00490C53">
        <w:t xml:space="preserve"> (</w:t>
      </w:r>
      <w:r w:rsidR="00994BE7">
        <w:t xml:space="preserve">for example </w:t>
      </w:r>
      <w:r w:rsidR="002C5DE1" w:rsidRPr="00490C53">
        <w:t>turnover, sector etc.)</w:t>
      </w:r>
      <w:r w:rsidRPr="00490C53">
        <w:t>.</w:t>
      </w:r>
      <w:r w:rsidR="00FA1D2F" w:rsidRPr="00490C53">
        <w:t xml:space="preserve"> The underlying goal of PSM is to identify a subset of borrowers and some matched non-borrowers such that the only major difference between the two groups is that one group accessed one of the Covid-19 Loan Guarantee Schemes, and the other did not.</w:t>
      </w:r>
    </w:p>
    <w:p w14:paraId="3D73FA46" w14:textId="2A52CBDA" w:rsidR="00610C60" w:rsidRPr="00490C53" w:rsidRDefault="00610C60" w:rsidP="00610C60">
      <w:r w:rsidRPr="00490C53">
        <w:t xml:space="preserve">The counterfactual </w:t>
      </w:r>
      <w:r w:rsidR="004550ED">
        <w:t>closure</w:t>
      </w:r>
      <w:r w:rsidR="004550ED" w:rsidRPr="00490C53">
        <w:t xml:space="preserve"> </w:t>
      </w:r>
      <w:r w:rsidRPr="00490C53">
        <w:t xml:space="preserve">rate is estimated based on the </w:t>
      </w:r>
      <w:r w:rsidR="004550ED">
        <w:t>closure</w:t>
      </w:r>
      <w:r w:rsidR="004550ED" w:rsidRPr="00490C53">
        <w:t xml:space="preserve"> </w:t>
      </w:r>
      <w:r w:rsidRPr="00490C53">
        <w:t xml:space="preserve">rate </w:t>
      </w:r>
      <w:r w:rsidR="003B7AF4" w:rsidRPr="00490C53">
        <w:t xml:space="preserve">among the </w:t>
      </w:r>
      <w:r w:rsidR="00D5073C">
        <w:t>‘</w:t>
      </w:r>
      <w:r w:rsidR="00CF1B33" w:rsidRPr="00490C53">
        <w:t>control</w:t>
      </w:r>
      <w:r w:rsidR="00D5073C">
        <w:t>’</w:t>
      </w:r>
      <w:r w:rsidR="00CF1B33" w:rsidRPr="00490C53">
        <w:t xml:space="preserve"> group</w:t>
      </w:r>
      <w:r w:rsidR="00D5073C">
        <w:t xml:space="preserve"> of non-borrowers</w:t>
      </w:r>
      <w:r w:rsidR="003B7AF4" w:rsidRPr="00490C53">
        <w:t xml:space="preserve"> matched to the borrower sample</w:t>
      </w:r>
      <w:r w:rsidR="00CF1B33" w:rsidRPr="00490C53">
        <w:t xml:space="preserve"> (</w:t>
      </w:r>
      <w:r w:rsidR="00D947F6" w:rsidRPr="00490C53">
        <w:t xml:space="preserve">also referred to as </w:t>
      </w:r>
      <w:r w:rsidR="00CF1B33" w:rsidRPr="00490C53">
        <w:t>treatment group)</w:t>
      </w:r>
      <w:r w:rsidR="003B7AF4" w:rsidRPr="00490C53">
        <w:t xml:space="preserve"> via PSM</w:t>
      </w:r>
      <w:r w:rsidRPr="00490C53">
        <w:t xml:space="preserve">. </w:t>
      </w:r>
      <w:proofErr w:type="gramStart"/>
      <w:r w:rsidR="00D752BB" w:rsidRPr="00490C53">
        <w:t>For the purpose of</w:t>
      </w:r>
      <w:proofErr w:type="gramEnd"/>
      <w:r w:rsidR="00D752BB" w:rsidRPr="00490C53">
        <w:t xml:space="preserve"> this analysis</w:t>
      </w:r>
      <w:r w:rsidR="00E6418B" w:rsidRPr="00490C53">
        <w:t>,</w:t>
      </w:r>
      <w:r w:rsidR="00D752BB" w:rsidRPr="00490C53">
        <w:t xml:space="preserve"> </w:t>
      </w:r>
      <w:r w:rsidR="00FA7BFA" w:rsidRPr="00490C53">
        <w:t xml:space="preserve">a </w:t>
      </w:r>
      <w:r w:rsidR="004550ED">
        <w:t>closure</w:t>
      </w:r>
      <w:r w:rsidR="004550ED" w:rsidRPr="00490C53">
        <w:t xml:space="preserve"> </w:t>
      </w:r>
      <w:r w:rsidR="0051538B" w:rsidRPr="00490C53">
        <w:t>between 1</w:t>
      </w:r>
      <w:r w:rsidR="0051538B" w:rsidRPr="00490C53">
        <w:rPr>
          <w:vertAlign w:val="superscript"/>
        </w:rPr>
        <w:t>st</w:t>
      </w:r>
      <w:r w:rsidR="0051538B" w:rsidRPr="00490C53">
        <w:t xml:space="preserve"> April 2020 and 31</w:t>
      </w:r>
      <w:r w:rsidR="0051538B" w:rsidRPr="00490C53">
        <w:rPr>
          <w:vertAlign w:val="superscript"/>
        </w:rPr>
        <w:t>st</w:t>
      </w:r>
      <w:r w:rsidR="0051538B" w:rsidRPr="00490C53">
        <w:t xml:space="preserve"> March 2021 </w:t>
      </w:r>
      <w:r w:rsidR="00FA7BFA" w:rsidRPr="00490C53">
        <w:t xml:space="preserve">is identified </w:t>
      </w:r>
      <w:r w:rsidR="0051538B" w:rsidRPr="00490C53">
        <w:t>based on the IDBR ‘</w:t>
      </w:r>
      <w:proofErr w:type="spellStart"/>
      <w:r w:rsidR="0051538B" w:rsidRPr="00490C53">
        <w:t>deathdate</w:t>
      </w:r>
      <w:proofErr w:type="spellEnd"/>
      <w:r w:rsidR="0051538B" w:rsidRPr="00490C53">
        <w:t>’ variable</w:t>
      </w:r>
      <w:r w:rsidR="00CD2F78">
        <w:t xml:space="preserve"> (note, this variable indicates a business’s ‘death’ or closure and is not related to public health or human death)</w:t>
      </w:r>
      <w:r w:rsidR="0051538B" w:rsidRPr="00490C53">
        <w:t>.</w:t>
      </w:r>
      <w:r w:rsidRPr="00490C53">
        <w:rPr>
          <w:rStyle w:val="FootnoteReference"/>
        </w:rPr>
        <w:footnoteReference w:id="154"/>
      </w:r>
      <w:r w:rsidRPr="00490C53">
        <w:t xml:space="preserve"> </w:t>
      </w:r>
    </w:p>
    <w:p w14:paraId="2555375B" w14:textId="34D5B91F" w:rsidR="00610C60" w:rsidRPr="00490C53" w:rsidRDefault="00610C60" w:rsidP="00610C60">
      <w:r w:rsidRPr="00490C53">
        <w:t xml:space="preserve">The impact on business survival is then quantified as the difference between </w:t>
      </w:r>
      <w:r w:rsidR="003A7D88" w:rsidRPr="00490C53">
        <w:t xml:space="preserve">the </w:t>
      </w:r>
      <w:r w:rsidR="004550ED">
        <w:t>closure</w:t>
      </w:r>
      <w:r w:rsidR="004550ED" w:rsidRPr="00490C53">
        <w:t xml:space="preserve"> </w:t>
      </w:r>
      <w:r w:rsidRPr="00490C53">
        <w:t xml:space="preserve">rate in the </w:t>
      </w:r>
      <w:r w:rsidR="00F2529A" w:rsidRPr="00490C53">
        <w:t xml:space="preserve">borrower </w:t>
      </w:r>
      <w:r w:rsidR="003A7D88" w:rsidRPr="00490C53">
        <w:t xml:space="preserve">sample </w:t>
      </w:r>
      <w:r w:rsidRPr="00490C53">
        <w:t xml:space="preserve">and </w:t>
      </w:r>
      <w:r w:rsidR="00756A69" w:rsidRPr="00490C53">
        <w:t xml:space="preserve">that in the </w:t>
      </w:r>
      <w:r w:rsidRPr="00490C53">
        <w:t xml:space="preserve">matched </w:t>
      </w:r>
      <w:r w:rsidR="00F2529A" w:rsidRPr="00490C53">
        <w:t xml:space="preserve">non-borrower </w:t>
      </w:r>
      <w:r w:rsidRPr="00490C53">
        <w:t xml:space="preserve">sample. In line with the </w:t>
      </w:r>
      <w:r w:rsidR="00304D9C">
        <w:t>Y</w:t>
      </w:r>
      <w:r w:rsidRPr="00490C53">
        <w:t xml:space="preserve">ear 1 survey analysis, this </w:t>
      </w:r>
      <w:r w:rsidR="001F5733">
        <w:t>secondary</w:t>
      </w:r>
      <w:r w:rsidR="001F5733" w:rsidRPr="00490C53">
        <w:t xml:space="preserve"> </w:t>
      </w:r>
      <w:r w:rsidRPr="00490C53">
        <w:t xml:space="preserve">analysis is conducted separately for </w:t>
      </w:r>
      <w:r w:rsidR="00A1603D" w:rsidRPr="00490C53">
        <w:t xml:space="preserve">the </w:t>
      </w:r>
      <w:r w:rsidRPr="00490C53">
        <w:t>BBLS and CBILS/CLBILS. The models were estimated using S</w:t>
      </w:r>
      <w:r w:rsidR="001767C7" w:rsidRPr="00490C53">
        <w:t>tata</w:t>
      </w:r>
      <w:r w:rsidRPr="00490C53">
        <w:t xml:space="preserve">. Further detail on the methodology is presented in the </w:t>
      </w:r>
      <w:r w:rsidR="001767C7" w:rsidRPr="00490C53">
        <w:t>rest of this annex</w:t>
      </w:r>
      <w:r w:rsidRPr="00490C53">
        <w:t xml:space="preserve">. </w:t>
      </w:r>
    </w:p>
    <w:p w14:paraId="5139756D" w14:textId="2D1F00A0" w:rsidR="00610C60" w:rsidRPr="005D5D23" w:rsidRDefault="00610C60" w:rsidP="00236B73">
      <w:r w:rsidRPr="00236B73">
        <w:rPr>
          <w:color w:val="142855" w:themeColor="text2"/>
        </w:rPr>
        <w:t>Propensity Score Matching (PSM)</w:t>
      </w:r>
    </w:p>
    <w:p w14:paraId="245AA87F" w14:textId="2188107E" w:rsidR="00610C60" w:rsidRPr="00490C53" w:rsidRDefault="005103E9" w:rsidP="00610C60">
      <w:r w:rsidRPr="00490C53">
        <w:lastRenderedPageBreak/>
        <w:t>PSM</w:t>
      </w:r>
      <w:r w:rsidR="00610C60" w:rsidRPr="00490C53">
        <w:t xml:space="preserve"> involves matching </w:t>
      </w:r>
      <w:r w:rsidR="00E358F7" w:rsidRPr="00490C53">
        <w:t>borrowers</w:t>
      </w:r>
      <w:r w:rsidR="00610C60" w:rsidRPr="00490C53">
        <w:t xml:space="preserve"> to similar </w:t>
      </w:r>
      <w:r w:rsidR="006749F8" w:rsidRPr="00490C53">
        <w:t>non-borrowers</w:t>
      </w:r>
      <w:r w:rsidR="00610C60" w:rsidRPr="00490C53">
        <w:t xml:space="preserve"> </w:t>
      </w:r>
      <w:proofErr w:type="gramStart"/>
      <w:r w:rsidR="00610C60" w:rsidRPr="00490C53">
        <w:t>on the basis of</w:t>
      </w:r>
      <w:proofErr w:type="gramEnd"/>
      <w:r w:rsidR="00610C60" w:rsidRPr="00490C53">
        <w:t xml:space="preserve"> a ‘propensity score’. The propensity score is the </w:t>
      </w:r>
      <w:r w:rsidR="00B172C2" w:rsidRPr="00490C53">
        <w:t>conditional</w:t>
      </w:r>
      <w:r w:rsidR="006648BC" w:rsidRPr="00490C53">
        <w:t xml:space="preserve"> </w:t>
      </w:r>
      <w:r w:rsidR="00610C60" w:rsidRPr="00490C53">
        <w:t xml:space="preserve">probability of a business being </w:t>
      </w:r>
      <w:r w:rsidR="006749F8" w:rsidRPr="00490C53">
        <w:t>a borrower (</w:t>
      </w:r>
      <w:proofErr w:type="gramStart"/>
      <w:r w:rsidR="006749F8" w:rsidRPr="00490C53">
        <w:t>i.e.</w:t>
      </w:r>
      <w:proofErr w:type="gramEnd"/>
      <w:r w:rsidR="006749F8" w:rsidRPr="00490C53">
        <w:t xml:space="preserve"> </w:t>
      </w:r>
      <w:r w:rsidR="00610C60" w:rsidRPr="00490C53">
        <w:t>in the treatment group</w:t>
      </w:r>
      <w:r w:rsidR="006749F8" w:rsidRPr="00490C53">
        <w:t>)</w:t>
      </w:r>
      <w:r w:rsidR="00610C60" w:rsidRPr="00490C53">
        <w:t xml:space="preserve">, </w:t>
      </w:r>
      <w:r w:rsidR="002939C4" w:rsidRPr="00490C53">
        <w:t>given a set of</w:t>
      </w:r>
      <w:r w:rsidR="00610C60" w:rsidRPr="00490C53">
        <w:t xml:space="preserve"> characteristics</w:t>
      </w:r>
      <w:r w:rsidR="004F1ABD" w:rsidRPr="00490C53">
        <w:t xml:space="preserve"> (</w:t>
      </w:r>
      <w:r w:rsidR="00994BE7">
        <w:t xml:space="preserve">for example </w:t>
      </w:r>
      <w:r w:rsidR="004F1ABD" w:rsidRPr="00490C53">
        <w:t>turnover, sector etc.)</w:t>
      </w:r>
      <w:r w:rsidR="006E0D97" w:rsidRPr="00490C53">
        <w:t>. Propensity scores are</w:t>
      </w:r>
      <w:r w:rsidR="00F76FD4" w:rsidRPr="00490C53">
        <w:t xml:space="preserve"> estimated</w:t>
      </w:r>
      <w:r w:rsidR="00FB33D0" w:rsidRPr="00490C53">
        <w:t xml:space="preserve"> </w:t>
      </w:r>
      <w:r w:rsidR="00610C60" w:rsidRPr="00490C53">
        <w:t>using a logit model. The logit model is a standard econom</w:t>
      </w:r>
      <w:r w:rsidR="00711F82" w:rsidRPr="00490C53">
        <w:t>etr</w:t>
      </w:r>
      <w:r w:rsidR="00610C60" w:rsidRPr="00490C53">
        <w:t>ic model used when the outcome of interest is binary (</w:t>
      </w:r>
      <w:r w:rsidR="00994BE7">
        <w:t xml:space="preserve">for example </w:t>
      </w:r>
      <w:r w:rsidR="00610C60" w:rsidRPr="00490C53">
        <w:t xml:space="preserve">whether a business received a loan under the </w:t>
      </w:r>
      <w:r w:rsidR="00610C60" w:rsidRPr="00490C53">
        <w:rPr>
          <w:rFonts w:cstheme="minorHAnsi"/>
          <w:szCs w:val="24"/>
        </w:rPr>
        <w:t xml:space="preserve">Covid-19 Loan Guarantee Schemes </w:t>
      </w:r>
      <w:r w:rsidR="00610C60" w:rsidRPr="00490C53">
        <w:t xml:space="preserve">or not). This model is represented by the following equation for business </w:t>
      </w:r>
      <m:oMath>
        <m:r>
          <w:rPr>
            <w:rFonts w:ascii="Cambria Math" w:hAnsi="Cambria Math"/>
          </w:rPr>
          <m:t>i</m:t>
        </m:r>
      </m:oMath>
      <w:r w:rsidR="00610C60" w:rsidRPr="00490C53">
        <w:t>:</w:t>
      </w:r>
    </w:p>
    <w:p w14:paraId="44FED811" w14:textId="07D14815" w:rsidR="00610C60" w:rsidRPr="00490C53" w:rsidRDefault="006924B0" w:rsidP="00610C60">
      <w:pPr>
        <w:rPr>
          <w:rFonts w:eastAsiaTheme="minorEastAsia"/>
        </w:rPr>
      </w:pPr>
      <m:oMathPara>
        <m:oMathParaPr>
          <m:jc m:val="left"/>
        </m:oMathParaPr>
        <m:oMath>
          <m:sSub>
            <m:sSubPr>
              <m:ctrlPr>
                <w:rPr>
                  <w:rFonts w:ascii="Cambria Math" w:hAnsi="Cambria Math"/>
                  <w:i/>
                </w:rPr>
              </m:ctrlPr>
            </m:sSubPr>
            <m:e>
              <m:r>
                <m:rPr>
                  <m:sty m:val="p"/>
                </m:rPr>
                <w:rPr>
                  <w:rFonts w:ascii="Cambria Math" w:hAnsi="Cambria Math"/>
                </w:rPr>
                <m:t>Pr⁡</m:t>
              </m:r>
              <m:r>
                <w:rPr>
                  <w:rFonts w:ascii="Cambria Math" w:hAnsi="Cambria Math"/>
                </w:rPr>
                <m:t>(</m:t>
              </m:r>
              <m:r>
                <w:rPr>
                  <w:rFonts w:ascii="Cambria Math" w:hAnsi="Cambria Math"/>
                </w:rPr>
                <m:t>T</m:t>
              </m:r>
            </m:e>
            <m:sub>
              <m:r>
                <w:rPr>
                  <w:rFonts w:ascii="Cambria Math" w:hAnsi="Cambria Math"/>
                </w:rPr>
                <m:t>i</m:t>
              </m:r>
            </m:sub>
          </m:sSub>
          <m:r>
            <w:rPr>
              <w:rFonts w:ascii="Cambria Math" w:hAnsi="Cambria Math"/>
            </w:rPr>
            <m:t xml:space="preserve">=1 | </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i</m:t>
              </m:r>
            </m:sub>
          </m:sSub>
          <m:r>
            <w:rPr>
              <w:rFonts w:ascii="Cambria Math" w:hAnsi="Cambria Math"/>
            </w:rPr>
            <m:t>)=</m:t>
          </m:r>
          <m:r>
            <w:rPr>
              <w:rFonts w:ascii="Cambria Math" w:hAnsi="Cambria Math"/>
            </w:rPr>
            <m:t>F</m:t>
          </m:r>
          <m:r>
            <w:rPr>
              <w:rFonts w:ascii="Cambria Math" w:hAnsi="Cambria Math"/>
            </w:rPr>
            <m:t>(</m:t>
          </m:r>
          <m:r>
            <m:rPr>
              <m:sty m:val="bi"/>
            </m:rPr>
            <w:rPr>
              <w:rFonts w:ascii="Cambria Math" w:hAnsi="Cambria Math"/>
            </w:rPr>
            <m:t>β</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i</m:t>
              </m:r>
            </m:sub>
          </m:sSub>
          <m:r>
            <w:rPr>
              <w:rFonts w:ascii="Cambria Math" w:hAnsi="Cambria Math"/>
            </w:rPr>
            <m:t>)</m:t>
          </m:r>
        </m:oMath>
      </m:oMathPara>
    </w:p>
    <w:p w14:paraId="7FB3EC66" w14:textId="6191D3C8" w:rsidR="00610C60" w:rsidRPr="00846F78" w:rsidRDefault="006924B0" w:rsidP="00610C60">
      <w:pPr>
        <w:pStyle w:val="ListBullet"/>
        <w:rPr>
          <w:rFonts w:cstheme="minorHAnsi"/>
        </w:rPr>
      </w:pPr>
      <m:oMath>
        <m:sSub>
          <m:sSubPr>
            <m:ctrlPr>
              <w:rPr>
                <w:rFonts w:ascii="Cambria Math" w:hAnsi="Cambria Math"/>
              </w:rPr>
            </m:ctrlPr>
          </m:sSubPr>
          <m:e>
            <m:r>
              <w:rPr>
                <w:rFonts w:ascii="Cambria Math" w:hAnsi="Cambria Math"/>
              </w:rPr>
              <m:t>T</m:t>
            </m:r>
          </m:e>
          <m:sub>
            <m:r>
              <w:rPr>
                <w:rFonts w:ascii="Cambria Math" w:hAnsi="Cambria Math"/>
              </w:rPr>
              <m:t>i</m:t>
            </m:r>
          </m:sub>
        </m:sSub>
      </m:oMath>
      <w:r w:rsidR="00610C60" w:rsidRPr="00846F78">
        <w:rPr>
          <w:rFonts w:cstheme="minorHAnsi"/>
        </w:rPr>
        <w:t xml:space="preserve"> is a dummy variable that takes the value 1 if the business is </w:t>
      </w:r>
      <w:r w:rsidR="008F7F7E" w:rsidRPr="00846F78">
        <w:rPr>
          <w:rFonts w:cstheme="minorHAnsi"/>
        </w:rPr>
        <w:t>a borrower (</w:t>
      </w:r>
      <w:proofErr w:type="gramStart"/>
      <w:r w:rsidR="008F7F7E" w:rsidRPr="00846F78">
        <w:rPr>
          <w:rFonts w:cstheme="minorHAnsi"/>
        </w:rPr>
        <w:t>i.e.</w:t>
      </w:r>
      <w:proofErr w:type="gramEnd"/>
      <w:r w:rsidR="008F7F7E" w:rsidRPr="00846F78">
        <w:rPr>
          <w:rFonts w:cstheme="minorHAnsi"/>
        </w:rPr>
        <w:t xml:space="preserve"> </w:t>
      </w:r>
      <w:r w:rsidR="00610C60" w:rsidRPr="00846F78">
        <w:rPr>
          <w:rFonts w:cstheme="minorHAnsi"/>
        </w:rPr>
        <w:t>in the treatment group</w:t>
      </w:r>
      <w:r w:rsidR="008F7F7E" w:rsidRPr="00846F78">
        <w:rPr>
          <w:rFonts w:cstheme="minorHAnsi"/>
        </w:rPr>
        <w:t>)</w:t>
      </w:r>
      <w:r w:rsidR="00610C60" w:rsidRPr="00846F78">
        <w:rPr>
          <w:rFonts w:cstheme="minorHAnsi"/>
        </w:rPr>
        <w:t xml:space="preserve"> and 0 otherwise. </w:t>
      </w:r>
    </w:p>
    <w:p w14:paraId="3480F84C" w14:textId="77777777" w:rsidR="00610C60" w:rsidRPr="00846F78" w:rsidRDefault="0000288C" w:rsidP="00610C60">
      <w:pPr>
        <w:pStyle w:val="ListBullet"/>
        <w:rPr>
          <w:rFonts w:cstheme="minorHAnsi"/>
        </w:rPr>
      </w:pPr>
      <m:oMath>
        <m:r>
          <w:rPr>
            <w:rFonts w:ascii="Cambria Math" w:hAnsi="Cambria Math"/>
          </w:rPr>
          <m:t>F</m:t>
        </m:r>
      </m:oMath>
      <w:r w:rsidR="00610C60" w:rsidRPr="00846F78">
        <w:rPr>
          <w:rFonts w:cstheme="minorHAnsi"/>
        </w:rPr>
        <w:t xml:space="preserve"> is the cumulative standard logistic distribution, which is defined such that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-x</m:t>
                </m:r>
              </m:sup>
            </m:sSup>
          </m:den>
        </m:f>
      </m:oMath>
      <w:r w:rsidR="00610C60" w:rsidRPr="00846F78">
        <w:rPr>
          <w:rFonts w:cstheme="minorHAnsi"/>
        </w:rPr>
        <w:t>.</w:t>
      </w:r>
    </w:p>
    <w:p w14:paraId="52C23D2C" w14:textId="47B1B8BA" w:rsidR="00610C60" w:rsidRPr="00846F78" w:rsidRDefault="006924B0" w:rsidP="00610C60">
      <w:pPr>
        <w:pStyle w:val="ListBullet"/>
        <w:rPr>
          <w:rFonts w:cstheme="minorHAnsi"/>
        </w:rPr>
      </w:pP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i</m:t>
            </m:r>
          </m:sub>
        </m:sSub>
      </m:oMath>
      <w:r w:rsidR="00610C60" w:rsidRPr="00846F78">
        <w:rPr>
          <w:rFonts w:cstheme="minorHAnsi"/>
        </w:rPr>
        <w:t xml:space="preserve"> is a vector of </w:t>
      </w:r>
      <w:r w:rsidR="009457F0" w:rsidRPr="00846F78">
        <w:rPr>
          <w:rFonts w:cstheme="minorHAnsi"/>
        </w:rPr>
        <w:t xml:space="preserve">business </w:t>
      </w:r>
      <w:r w:rsidR="00610C60" w:rsidRPr="00846F78">
        <w:rPr>
          <w:rFonts w:cstheme="minorHAnsi"/>
        </w:rPr>
        <w:t xml:space="preserve">characteristics, and </w:t>
      </w:r>
      <m:oMath>
        <m:r>
          <m:rPr>
            <m:sty m:val="bi"/>
          </m:rPr>
          <w:rPr>
            <w:rFonts w:ascii="Cambria Math" w:hAnsi="Cambria Math"/>
          </w:rPr>
          <m:t>β</m:t>
        </m:r>
      </m:oMath>
      <w:r w:rsidR="00610C60" w:rsidRPr="00846F78">
        <w:rPr>
          <w:rFonts w:cstheme="minorHAnsi"/>
        </w:rPr>
        <w:t xml:space="preserve"> are the associated coefficients for these characteristics. These characteristics must be unaffected by the business’ decision of whether to participate in the Covid-19 Loan Guarantee Schemes. Details on the </w:t>
      </w:r>
      <w:r w:rsidR="00E138A0" w:rsidRPr="00846F78">
        <w:rPr>
          <w:rFonts w:cstheme="minorHAnsi"/>
        </w:rPr>
        <w:t xml:space="preserve">business </w:t>
      </w:r>
      <w:r w:rsidR="00610C60" w:rsidRPr="00846F78">
        <w:rPr>
          <w:rFonts w:cstheme="minorHAnsi"/>
        </w:rPr>
        <w:t xml:space="preserve">characteristics included in the Propensity Score Matching can be found in the discussion of the data. </w:t>
      </w:r>
    </w:p>
    <w:p w14:paraId="00B1985B" w14:textId="32767D65" w:rsidR="00610C60" w:rsidRPr="00490C53" w:rsidRDefault="00610C60" w:rsidP="00610C60">
      <w:r w:rsidRPr="00490C53">
        <w:t xml:space="preserve">Once the propensity scores have been calculated, each </w:t>
      </w:r>
      <w:r w:rsidR="00584FC7" w:rsidRPr="00490C53">
        <w:t>borrower</w:t>
      </w:r>
      <w:r w:rsidRPr="00490C53">
        <w:t xml:space="preserve"> is matched to the </w:t>
      </w:r>
      <w:r w:rsidR="00483BAC" w:rsidRPr="00490C53">
        <w:t>non-borrower</w:t>
      </w:r>
      <w:r w:rsidR="00E70904" w:rsidRPr="00490C53">
        <w:t>(</w:t>
      </w:r>
      <w:r w:rsidR="00483BAC" w:rsidRPr="00490C53">
        <w:t>s</w:t>
      </w:r>
      <w:r w:rsidR="00E70904" w:rsidRPr="00490C53">
        <w:t>)</w:t>
      </w:r>
      <w:r w:rsidR="00483BAC" w:rsidRPr="00490C53">
        <w:t xml:space="preserve"> </w:t>
      </w:r>
      <w:r w:rsidRPr="00490C53">
        <w:t>with the closest propensity score (</w:t>
      </w:r>
      <w:proofErr w:type="gramStart"/>
      <w:r w:rsidRPr="00490C53">
        <w:t>i.e.</w:t>
      </w:r>
      <w:proofErr w:type="gramEnd"/>
      <w:r w:rsidRPr="00490C53">
        <w:t xml:space="preserve"> the ‘nearest neighbour’).</w:t>
      </w:r>
    </w:p>
    <w:p w14:paraId="382E8698" w14:textId="529B3E4B" w:rsidR="00610C60" w:rsidRPr="00490C53" w:rsidRDefault="00610C60" w:rsidP="00610C60">
      <w:r w:rsidRPr="00490C53">
        <w:t xml:space="preserve">The matching algorithm also specifies a maximum allowable discrepancy in the propensity score between </w:t>
      </w:r>
      <w:r w:rsidR="00F12DB6" w:rsidRPr="00490C53">
        <w:t>a borrower</w:t>
      </w:r>
      <w:r w:rsidRPr="00490C53">
        <w:t xml:space="preserve"> and its matched </w:t>
      </w:r>
      <w:r w:rsidR="00F12DB6" w:rsidRPr="00490C53">
        <w:t>non-borrower</w:t>
      </w:r>
      <w:r w:rsidR="00A57A93" w:rsidRPr="00490C53">
        <w:t xml:space="preserve"> </w:t>
      </w:r>
      <w:r w:rsidRPr="00490C53">
        <w:t>(referred to as a cal</w:t>
      </w:r>
      <w:r w:rsidR="00DC510F">
        <w:t>l</w:t>
      </w:r>
      <w:r w:rsidRPr="00490C53">
        <w:t xml:space="preserve">iper). This ensures a minimum quality of match between the </w:t>
      </w:r>
      <w:r w:rsidR="00A57A93" w:rsidRPr="00490C53">
        <w:t xml:space="preserve">borrower </w:t>
      </w:r>
      <w:r w:rsidRPr="00490C53">
        <w:t xml:space="preserve">and </w:t>
      </w:r>
      <w:r w:rsidR="00A57A93" w:rsidRPr="00490C53">
        <w:t xml:space="preserve">non-borrower </w:t>
      </w:r>
      <w:r w:rsidRPr="00490C53">
        <w:t xml:space="preserve">groups but leads to the exclusion of </w:t>
      </w:r>
      <w:r w:rsidR="00A57A93" w:rsidRPr="00490C53">
        <w:t>borrowers</w:t>
      </w:r>
      <w:r w:rsidRPr="00490C53">
        <w:t xml:space="preserve"> that are not similar enough in propensity score to any </w:t>
      </w:r>
      <w:r w:rsidR="00BE23DB" w:rsidRPr="00490C53">
        <w:t>non-borrowers</w:t>
      </w:r>
      <w:r w:rsidRPr="00490C53">
        <w:t>. In line with the year 1 survey analysis, the cal</w:t>
      </w:r>
      <w:r w:rsidR="00DC510F">
        <w:t>l</w:t>
      </w:r>
      <w:r w:rsidRPr="00490C53">
        <w:t xml:space="preserve">iper in this </w:t>
      </w:r>
      <w:r w:rsidR="001F5733">
        <w:t>secondary analysis</w:t>
      </w:r>
      <w:r w:rsidR="001F5733" w:rsidRPr="00490C53">
        <w:t xml:space="preserve"> </w:t>
      </w:r>
      <w:r w:rsidRPr="00490C53">
        <w:t xml:space="preserve">is equal to one fifth of the standard deviation of the propensity scores. </w:t>
      </w:r>
    </w:p>
    <w:p w14:paraId="6BEE3D26" w14:textId="06B54816" w:rsidR="00610C60" w:rsidRPr="00490C53" w:rsidRDefault="00610C60" w:rsidP="00610C60">
      <w:r w:rsidRPr="00490C53">
        <w:t xml:space="preserve">The algorithm also allows for replacement, </w:t>
      </w:r>
      <w:proofErr w:type="gramStart"/>
      <w:r w:rsidRPr="00490C53">
        <w:t>i.e.</w:t>
      </w:r>
      <w:proofErr w:type="gramEnd"/>
      <w:r w:rsidRPr="00490C53">
        <w:t xml:space="preserve"> one </w:t>
      </w:r>
      <w:r w:rsidR="00205F30" w:rsidRPr="00490C53">
        <w:t>non-borrower</w:t>
      </w:r>
      <w:r w:rsidRPr="00490C53">
        <w:t xml:space="preserve"> can be matched to multiple different </w:t>
      </w:r>
      <w:r w:rsidR="00214F29" w:rsidRPr="00490C53">
        <w:t>borrowers</w:t>
      </w:r>
      <w:r w:rsidRPr="00490C53">
        <w:t xml:space="preserve">. The advantage of this is that the closest match is always used (thereby reducing bias of estimates), however </w:t>
      </w:r>
      <w:r w:rsidR="00FF1EA6" w:rsidRPr="00490C53">
        <w:t>the fact that</w:t>
      </w:r>
      <w:r w:rsidRPr="00490C53">
        <w:t xml:space="preserve"> some </w:t>
      </w:r>
      <w:r w:rsidR="00214F29" w:rsidRPr="00490C53">
        <w:t>non-borrower</w:t>
      </w:r>
      <w:r w:rsidR="004123E6" w:rsidRPr="00490C53">
        <w:t>s</w:t>
      </w:r>
      <w:r w:rsidRPr="00490C53">
        <w:t xml:space="preserve"> can be used multiple times reduc</w:t>
      </w:r>
      <w:r w:rsidR="00FF1EA6" w:rsidRPr="00490C53">
        <w:t>es</w:t>
      </w:r>
      <w:r w:rsidRPr="00490C53">
        <w:t xml:space="preserve"> the overall sample size (thereby increasing variance of estimates).</w:t>
      </w:r>
    </w:p>
    <w:p w14:paraId="57568867" w14:textId="77777777" w:rsidR="00183388" w:rsidRPr="00490C53" w:rsidRDefault="00610C60" w:rsidP="00610C60">
      <w:proofErr w:type="gramStart"/>
      <w:r w:rsidRPr="00490C53">
        <w:lastRenderedPageBreak/>
        <w:t>A</w:t>
      </w:r>
      <w:r w:rsidR="006F1A59" w:rsidRPr="00490C53">
        <w:t xml:space="preserve"> number of</w:t>
      </w:r>
      <w:proofErr w:type="gramEnd"/>
      <w:r w:rsidR="006F1A59" w:rsidRPr="00490C53">
        <w:t xml:space="preserve"> </w:t>
      </w:r>
      <w:r w:rsidR="00B65705" w:rsidRPr="00490C53">
        <w:t xml:space="preserve">other restrictions are placed on </w:t>
      </w:r>
      <w:r w:rsidR="00C80FAD" w:rsidRPr="00490C53">
        <w:t xml:space="preserve">the </w:t>
      </w:r>
      <w:r w:rsidR="00854BA2" w:rsidRPr="00490C53">
        <w:t>set of businesses</w:t>
      </w:r>
      <w:r w:rsidR="00690497" w:rsidRPr="00490C53">
        <w:t xml:space="preserve"> used</w:t>
      </w:r>
      <w:r w:rsidR="00E73734" w:rsidRPr="00490C53">
        <w:t xml:space="preserve"> in the analysis.</w:t>
      </w:r>
      <w:r w:rsidRPr="00490C53">
        <w:t xml:space="preserve"> </w:t>
      </w:r>
    </w:p>
    <w:p w14:paraId="302EA986" w14:textId="2B672656" w:rsidR="00183388" w:rsidRPr="00490C53" w:rsidRDefault="00E73734" w:rsidP="00183388">
      <w:pPr>
        <w:pStyle w:val="ListBullet"/>
      </w:pPr>
      <w:r w:rsidRPr="00490C53">
        <w:t xml:space="preserve">First, </w:t>
      </w:r>
      <w:r w:rsidR="00083505" w:rsidRPr="00490C53">
        <w:t>borrowers</w:t>
      </w:r>
      <w:r w:rsidR="00610C60" w:rsidRPr="00490C53">
        <w:t xml:space="preserve"> with a propensity score outside the range of propensity scores observed among </w:t>
      </w:r>
      <w:r w:rsidR="009B205D" w:rsidRPr="00490C53">
        <w:t xml:space="preserve">non-borrowers </w:t>
      </w:r>
      <w:r w:rsidR="00610C60" w:rsidRPr="00490C53">
        <w:t>are excluded.</w:t>
      </w:r>
      <w:r w:rsidR="00610C60" w:rsidRPr="00490C53">
        <w:rPr>
          <w:rStyle w:val="FootnoteReference"/>
        </w:rPr>
        <w:footnoteReference w:id="155"/>
      </w:r>
      <w:r w:rsidR="00610C60" w:rsidRPr="00490C53">
        <w:t xml:space="preserve"> For example, if a </w:t>
      </w:r>
      <w:r w:rsidR="00583D2D" w:rsidRPr="00490C53">
        <w:t xml:space="preserve">borrower </w:t>
      </w:r>
      <w:r w:rsidR="00610C60" w:rsidRPr="00490C53">
        <w:t xml:space="preserve">has a propensity score above the largest propensity score </w:t>
      </w:r>
      <w:r w:rsidR="0096686A" w:rsidRPr="00490C53">
        <w:t>among non-borrowers</w:t>
      </w:r>
      <w:r w:rsidR="00610C60" w:rsidRPr="00490C53">
        <w:t>, it will be excluded</w:t>
      </w:r>
      <w:r w:rsidR="008E3428" w:rsidRPr="00490C53">
        <w:t xml:space="preserve"> as</w:t>
      </w:r>
      <w:r w:rsidR="00610C60" w:rsidRPr="00490C53">
        <w:t xml:space="preserve"> there is no suitably similar </w:t>
      </w:r>
      <w:r w:rsidR="003A3306" w:rsidRPr="00490C53">
        <w:t xml:space="preserve">non-borrower </w:t>
      </w:r>
      <w:r w:rsidR="00610C60" w:rsidRPr="00490C53">
        <w:t xml:space="preserve">with which to match it. </w:t>
      </w:r>
    </w:p>
    <w:p w14:paraId="5F732D84" w14:textId="28B1A507" w:rsidR="00183388" w:rsidRPr="00490C53" w:rsidRDefault="00D230DF" w:rsidP="00183388">
      <w:pPr>
        <w:pStyle w:val="ListBullet"/>
      </w:pPr>
      <w:r w:rsidRPr="00490C53">
        <w:t>Second</w:t>
      </w:r>
      <w:r w:rsidR="00610C60" w:rsidRPr="00490C53">
        <w:t xml:space="preserve">, </w:t>
      </w:r>
      <w:r w:rsidR="007217C7" w:rsidRPr="00490C53">
        <w:t xml:space="preserve">borrowers </w:t>
      </w:r>
      <w:r w:rsidR="00F379FF" w:rsidRPr="00490C53">
        <w:t>are only matched</w:t>
      </w:r>
      <w:r w:rsidR="00610C60" w:rsidRPr="00490C53">
        <w:t xml:space="preserve"> to businesses that are active in </w:t>
      </w:r>
      <w:r w:rsidR="00D748F4">
        <w:t>the first year of the pandemic</w:t>
      </w:r>
      <w:r w:rsidR="00610C60" w:rsidRPr="00490C53">
        <w:t xml:space="preserve">. This is to ensure that </w:t>
      </w:r>
      <w:r w:rsidR="00AA57C2" w:rsidRPr="00490C53">
        <w:t xml:space="preserve">only active borrowers and non-borrowers are matched to one another and retained for the analysis. In this way, </w:t>
      </w:r>
      <w:r w:rsidR="00610C60" w:rsidRPr="00490C53">
        <w:t xml:space="preserve">business </w:t>
      </w:r>
      <w:r w:rsidR="004550ED">
        <w:t>closure</w:t>
      </w:r>
      <w:r w:rsidR="004550ED" w:rsidRPr="00490C53">
        <w:t xml:space="preserve"> </w:t>
      </w:r>
      <w:r w:rsidR="00610C60" w:rsidRPr="00490C53">
        <w:t xml:space="preserve">rates are </w:t>
      </w:r>
      <w:r w:rsidR="00AA57C2" w:rsidRPr="00490C53">
        <w:t xml:space="preserve">correctly </w:t>
      </w:r>
      <w:r w:rsidR="00610C60" w:rsidRPr="00490C53">
        <w:t xml:space="preserve">defined with reference </w:t>
      </w:r>
      <w:r w:rsidR="00AA57C2" w:rsidRPr="00490C53">
        <w:t xml:space="preserve">only </w:t>
      </w:r>
      <w:r w:rsidR="00610C60" w:rsidRPr="00490C53">
        <w:t>to active firms.</w:t>
      </w:r>
      <w:r w:rsidR="00610C60" w:rsidRPr="00490C53">
        <w:rPr>
          <w:rStyle w:val="FootnoteReference"/>
        </w:rPr>
        <w:footnoteReference w:id="156"/>
      </w:r>
      <w:r w:rsidR="00610C60" w:rsidRPr="00490C53">
        <w:t xml:space="preserve"> </w:t>
      </w:r>
    </w:p>
    <w:p w14:paraId="09997570" w14:textId="2F4E1DAE" w:rsidR="00183388" w:rsidRPr="00490C53" w:rsidRDefault="007F341F" w:rsidP="00183388">
      <w:pPr>
        <w:pStyle w:val="ListBullet"/>
      </w:pPr>
      <w:r>
        <w:t>Th</w:t>
      </w:r>
      <w:r w:rsidR="00D940D2">
        <w:t>ird,</w:t>
      </w:r>
      <w:r>
        <w:t xml:space="preserve"> </w:t>
      </w:r>
      <w:r w:rsidR="0053403B">
        <w:t xml:space="preserve">both the </w:t>
      </w:r>
      <w:r>
        <w:t xml:space="preserve">BBLS </w:t>
      </w:r>
      <w:r w:rsidR="0053403B">
        <w:t xml:space="preserve">and </w:t>
      </w:r>
      <w:r w:rsidR="00935874">
        <w:t xml:space="preserve">CBILS/CLBILS </w:t>
      </w:r>
      <w:r w:rsidR="00585D0C">
        <w:t xml:space="preserve">non-borrower </w:t>
      </w:r>
      <w:r>
        <w:t>group</w:t>
      </w:r>
      <w:r w:rsidR="00935874">
        <w:t>s</w:t>
      </w:r>
      <w:r>
        <w:t xml:space="preserve"> exclude businesses in receipt of any of the </w:t>
      </w:r>
      <w:r w:rsidRPr="00490C53">
        <w:rPr>
          <w:rFonts w:cstheme="minorHAnsi"/>
          <w:szCs w:val="24"/>
        </w:rPr>
        <w:t>Covid-19 Loan Guarantee Schemes</w:t>
      </w:r>
      <w:r w:rsidR="00A10E5E" w:rsidRPr="00490C53">
        <w:rPr>
          <w:rFonts w:cstheme="minorHAnsi"/>
          <w:szCs w:val="24"/>
        </w:rPr>
        <w:t xml:space="preserve"> (</w:t>
      </w:r>
      <w:proofErr w:type="gramStart"/>
      <w:r w:rsidR="00A10E5E" w:rsidRPr="00490C53">
        <w:rPr>
          <w:rFonts w:cstheme="minorHAnsi"/>
          <w:szCs w:val="24"/>
        </w:rPr>
        <w:t>i.e.</w:t>
      </w:r>
      <w:proofErr w:type="gramEnd"/>
      <w:r w:rsidR="00A10E5E" w:rsidRPr="00490C53">
        <w:rPr>
          <w:rFonts w:cstheme="minorHAnsi"/>
          <w:szCs w:val="24"/>
        </w:rPr>
        <w:t xml:space="preserve"> </w:t>
      </w:r>
      <w:r w:rsidR="00585D0C">
        <w:rPr>
          <w:rFonts w:cstheme="minorHAnsi"/>
          <w:szCs w:val="24"/>
        </w:rPr>
        <w:t xml:space="preserve">the </w:t>
      </w:r>
      <w:r w:rsidR="00880A30" w:rsidRPr="00490C53">
        <w:rPr>
          <w:rFonts w:cstheme="minorHAnsi"/>
          <w:szCs w:val="24"/>
        </w:rPr>
        <w:t xml:space="preserve">control group </w:t>
      </w:r>
      <w:r w:rsidR="00585D0C">
        <w:rPr>
          <w:rFonts w:cstheme="minorHAnsi"/>
          <w:szCs w:val="24"/>
        </w:rPr>
        <w:t>used in the analysis of the BBLS will</w:t>
      </w:r>
      <w:r w:rsidR="00585D0C" w:rsidRPr="00490C53">
        <w:rPr>
          <w:rFonts w:cstheme="minorHAnsi"/>
          <w:szCs w:val="24"/>
        </w:rPr>
        <w:t xml:space="preserve"> </w:t>
      </w:r>
      <w:r w:rsidR="00880A30" w:rsidRPr="00490C53">
        <w:rPr>
          <w:rFonts w:cstheme="minorHAnsi"/>
          <w:szCs w:val="24"/>
        </w:rPr>
        <w:t xml:space="preserve">not </w:t>
      </w:r>
      <w:r w:rsidR="001F2B47" w:rsidRPr="00490C53">
        <w:rPr>
          <w:rFonts w:cstheme="minorHAnsi"/>
          <w:szCs w:val="24"/>
        </w:rPr>
        <w:t xml:space="preserve">include </w:t>
      </w:r>
      <w:r w:rsidR="00C64A14" w:rsidRPr="00490C53">
        <w:rPr>
          <w:rFonts w:cstheme="minorHAnsi"/>
          <w:szCs w:val="24"/>
        </w:rPr>
        <w:t xml:space="preserve">any </w:t>
      </w:r>
      <w:r w:rsidR="00A10E5E" w:rsidRPr="00490C53">
        <w:rPr>
          <w:rFonts w:cstheme="minorHAnsi"/>
          <w:szCs w:val="24"/>
        </w:rPr>
        <w:t xml:space="preserve">businesses that </w:t>
      </w:r>
      <w:r w:rsidR="00880A30" w:rsidRPr="00490C53">
        <w:rPr>
          <w:rFonts w:cstheme="minorHAnsi"/>
          <w:szCs w:val="24"/>
        </w:rPr>
        <w:t xml:space="preserve">borrowed under the </w:t>
      </w:r>
      <w:r w:rsidR="00A10E5E" w:rsidRPr="00490C53">
        <w:rPr>
          <w:rFonts w:cstheme="minorHAnsi"/>
          <w:szCs w:val="24"/>
        </w:rPr>
        <w:t>CBILS/CLBILS</w:t>
      </w:r>
      <w:r w:rsidR="00E3237C" w:rsidRPr="00490C53">
        <w:rPr>
          <w:rFonts w:cstheme="minorHAnsi"/>
          <w:szCs w:val="24"/>
        </w:rPr>
        <w:t>, and vice versa</w:t>
      </w:r>
      <w:r w:rsidR="00A10E5E" w:rsidRPr="00490C53">
        <w:rPr>
          <w:rFonts w:cstheme="minorHAnsi"/>
          <w:szCs w:val="24"/>
        </w:rPr>
        <w:t>)</w:t>
      </w:r>
      <w:r w:rsidR="00FA605A" w:rsidRPr="00490C53">
        <w:rPr>
          <w:rFonts w:cstheme="minorHAnsi"/>
          <w:szCs w:val="24"/>
        </w:rPr>
        <w:t xml:space="preserve">. </w:t>
      </w:r>
    </w:p>
    <w:p w14:paraId="2DACCE7F" w14:textId="5FF6BB9D" w:rsidR="00610C60" w:rsidRPr="00490C53" w:rsidRDefault="00FA605A" w:rsidP="00846F78">
      <w:pPr>
        <w:pStyle w:val="ListBullet"/>
      </w:pPr>
      <w:r w:rsidRPr="00490C53">
        <w:rPr>
          <w:rFonts w:cstheme="minorHAnsi"/>
          <w:szCs w:val="24"/>
        </w:rPr>
        <w:t>Finally</w:t>
      </w:r>
      <w:r w:rsidR="007F341F" w:rsidRPr="00490C53">
        <w:rPr>
          <w:rFonts w:cstheme="minorHAnsi"/>
          <w:szCs w:val="24"/>
        </w:rPr>
        <w:t xml:space="preserve">, </w:t>
      </w:r>
      <w:r w:rsidR="004043E3" w:rsidRPr="00490C53">
        <w:rPr>
          <w:rFonts w:cstheme="minorHAnsi"/>
          <w:szCs w:val="24"/>
        </w:rPr>
        <w:t xml:space="preserve">businesses </w:t>
      </w:r>
      <w:r w:rsidR="007F341F">
        <w:t xml:space="preserve">with turnover greater than £5 million </w:t>
      </w:r>
      <w:r w:rsidR="004043E3">
        <w:t>are excluded from both the BBLS borrower and non-borrower sample</w:t>
      </w:r>
      <w:r w:rsidR="00C57604">
        <w:t>s</w:t>
      </w:r>
      <w:r w:rsidR="004043E3">
        <w:t xml:space="preserve"> </w:t>
      </w:r>
      <w:r w:rsidR="007F341F">
        <w:t xml:space="preserve">(99% of the BBLS borrower population had turnover under £5 million). </w:t>
      </w:r>
      <w:r w:rsidR="00C57604">
        <w:t xml:space="preserve">No such </w:t>
      </w:r>
      <w:r w:rsidR="007F341F">
        <w:t>turnover threshold was used to exclude any businesses</w:t>
      </w:r>
      <w:r w:rsidR="004F161B">
        <w:t xml:space="preserve"> from the CBILS/CLBILS borrower or non-borrower samples (indeed, </w:t>
      </w:r>
      <w:r w:rsidR="00932699">
        <w:t xml:space="preserve">there was a larger tail of businesses with </w:t>
      </w:r>
      <w:r w:rsidR="00155BE2">
        <w:t>high</w:t>
      </w:r>
      <w:r w:rsidR="00932699">
        <w:t xml:space="preserve"> turnover </w:t>
      </w:r>
      <w:r w:rsidR="00421137">
        <w:t xml:space="preserve">in the </w:t>
      </w:r>
      <w:r w:rsidR="004E37F7">
        <w:t>CBI</w:t>
      </w:r>
      <w:r w:rsidR="00932699">
        <w:t>LS</w:t>
      </w:r>
      <w:r w:rsidR="00F13B92">
        <w:t xml:space="preserve"> </w:t>
      </w:r>
      <w:r w:rsidR="00421137">
        <w:t xml:space="preserve">borrower </w:t>
      </w:r>
      <w:r w:rsidR="00423CB1">
        <w:t>population distribution</w:t>
      </w:r>
      <w:r w:rsidR="0094083B">
        <w:t xml:space="preserve">, and CLBILS </w:t>
      </w:r>
      <w:r w:rsidR="00E06B60">
        <w:t xml:space="preserve">borrowers had </w:t>
      </w:r>
      <w:r w:rsidR="00146D08">
        <w:t>high</w:t>
      </w:r>
      <w:r w:rsidR="00E06B60">
        <w:t xml:space="preserve"> turnover by definition</w:t>
      </w:r>
      <w:r w:rsidR="004F161B">
        <w:t>)</w:t>
      </w:r>
      <w:r w:rsidR="007F341F">
        <w:t xml:space="preserve">. </w:t>
      </w:r>
    </w:p>
    <w:p w14:paraId="597AA2FF" w14:textId="362598DA" w:rsidR="00610C60" w:rsidRPr="00490C53" w:rsidRDefault="00F07965" w:rsidP="00610C60">
      <w:r w:rsidRPr="00490C53">
        <w:t>PSM relies on</w:t>
      </w:r>
      <w:r w:rsidR="00610C60" w:rsidRPr="00490C53">
        <w:t xml:space="preserve"> two key assumptions. The first is the conditional independence assumption, which requires that given the observable </w:t>
      </w:r>
      <w:r w:rsidR="00385385" w:rsidRPr="00490C53">
        <w:t>firm characteristics</w:t>
      </w:r>
      <w:r w:rsidR="003D53F2" w:rsidRPr="00490C53">
        <w:t xml:space="preserve"> used to calculate propensity scores</w:t>
      </w:r>
      <w:r w:rsidR="00610C60" w:rsidRPr="00490C53">
        <w:t xml:space="preserve">, potential outcomes are independent of the treatment assignment. Put simply, this means that there must be no unobserved variables simultaneously influencing the treatment and the potential outcomes. This assumption is not directly testable, however the fact that </w:t>
      </w:r>
      <w:r w:rsidR="00610C60" w:rsidRPr="00490C53">
        <w:lastRenderedPageBreak/>
        <w:t xml:space="preserve">information is available on both immutable characteristics of the businesses as well as </w:t>
      </w:r>
      <w:r w:rsidR="00BF4347" w:rsidRPr="00490C53">
        <w:t xml:space="preserve">their pre-pandemic </w:t>
      </w:r>
      <w:r w:rsidR="00147FE0" w:rsidRPr="00490C53">
        <w:t>growth</w:t>
      </w:r>
      <w:r w:rsidR="00C455C8" w:rsidRPr="00846F78">
        <w:rPr>
          <w:rStyle w:val="FootnoteReference"/>
        </w:rPr>
        <w:footnoteReference w:id="157"/>
      </w:r>
      <w:r w:rsidR="00147FE0" w:rsidRPr="00490C53">
        <w:t xml:space="preserve"> </w:t>
      </w:r>
      <w:r w:rsidR="00610C60" w:rsidRPr="00490C53">
        <w:t xml:space="preserve">means that this condition may be satisfied. </w:t>
      </w:r>
    </w:p>
    <w:p w14:paraId="34E46AB6" w14:textId="2CFD6ABC" w:rsidR="00610C60" w:rsidRPr="00490C53" w:rsidRDefault="00610C60" w:rsidP="00610C60">
      <w:r w:rsidRPr="00490C53">
        <w:t xml:space="preserve">The second is the common support assumption. This requires that there are no combinations of relevant observed characteristics that can perfectly predict whether a business </w:t>
      </w:r>
      <w:r w:rsidR="005E2AAC" w:rsidRPr="00490C53">
        <w:t>is</w:t>
      </w:r>
      <w:r w:rsidR="00D408A4" w:rsidRPr="00490C53">
        <w:t xml:space="preserve"> a borrower</w:t>
      </w:r>
      <w:r w:rsidRPr="00490C53">
        <w:t xml:space="preserve"> or not. Given that participation in the </w:t>
      </w:r>
      <w:r w:rsidRPr="00490C53">
        <w:rPr>
          <w:rFonts w:cstheme="minorHAnsi"/>
          <w:szCs w:val="24"/>
        </w:rPr>
        <w:t xml:space="preserve">Covid-19 Loan Guarantee Schemes </w:t>
      </w:r>
      <w:r w:rsidRPr="00490C53">
        <w:t xml:space="preserve">is entirely voluntary and that the eligibility requirements are extremely broad this assumption should be satisfied. </w:t>
      </w:r>
    </w:p>
    <w:p w14:paraId="39DE887B" w14:textId="616D9903" w:rsidR="00610C60" w:rsidRPr="00490C53" w:rsidRDefault="00610C60" w:rsidP="00610C60">
      <w:r w:rsidRPr="00490C53">
        <w:t xml:space="preserve">The PSM substantially reduces the differences between the </w:t>
      </w:r>
      <w:r w:rsidR="005E5CD2" w:rsidRPr="00490C53">
        <w:t>borrower and non-borrower</w:t>
      </w:r>
      <w:r w:rsidRPr="00490C53">
        <w:t xml:space="preserve"> </w:t>
      </w:r>
      <w:r w:rsidR="00A22E1F" w:rsidRPr="00490C53">
        <w:t>groups</w:t>
      </w:r>
      <w:r w:rsidR="00CF1D70" w:rsidRPr="00490C53">
        <w:t xml:space="preserve">, which suggests </w:t>
      </w:r>
      <w:r w:rsidR="00C01E6B" w:rsidRPr="00490C53">
        <w:t>good matching quality</w:t>
      </w:r>
      <w:r w:rsidRPr="00490C53">
        <w:t xml:space="preserve">. </w:t>
      </w:r>
      <w:r w:rsidR="00427112" w:rsidRPr="00490C53">
        <w:t>Indeed, the</w:t>
      </w:r>
      <w:r w:rsidR="00696CC5" w:rsidRPr="00490C53">
        <w:t xml:space="preserve"> average difference in </w:t>
      </w:r>
      <w:r w:rsidR="009C6273" w:rsidRPr="00490C53">
        <w:t xml:space="preserve">the </w:t>
      </w:r>
      <w:r w:rsidR="00696CC5" w:rsidRPr="00490C53">
        <w:t xml:space="preserve">prevalence </w:t>
      </w:r>
      <w:r w:rsidR="009C6273" w:rsidRPr="00490C53">
        <w:t>of various characteristics</w:t>
      </w:r>
      <w:r w:rsidRPr="00490C53">
        <w:t xml:space="preserve"> </w:t>
      </w:r>
      <w:r w:rsidR="004A6049" w:rsidRPr="00490C53">
        <w:t xml:space="preserve">included in the PSM </w:t>
      </w:r>
      <w:r w:rsidR="00892E3F" w:rsidRPr="00490C53">
        <w:t xml:space="preserve">fell </w:t>
      </w:r>
      <w:r w:rsidRPr="00490C53">
        <w:t xml:space="preserve">by approximately 95% </w:t>
      </w:r>
      <w:r w:rsidR="00A57521" w:rsidRPr="00490C53">
        <w:t>in the case of the</w:t>
      </w:r>
      <w:r w:rsidRPr="00490C53">
        <w:t xml:space="preserve"> BBLS (</w:t>
      </w:r>
      <w:r w:rsidR="005F2F79" w:rsidRPr="00490C53">
        <w:t xml:space="preserve">a fall of </w:t>
      </w:r>
      <w:r w:rsidRPr="00490C53">
        <w:t xml:space="preserve">5.5 percentage points from 5.8% to 0.3%) and 97% </w:t>
      </w:r>
      <w:r w:rsidR="00A57521" w:rsidRPr="00490C53">
        <w:t xml:space="preserve">in the case of </w:t>
      </w:r>
      <w:r w:rsidRPr="00490C53">
        <w:t>the CBILS/CLBILS (</w:t>
      </w:r>
      <w:r w:rsidR="00104CA1" w:rsidRPr="00490C53">
        <w:t xml:space="preserve">a fall of </w:t>
      </w:r>
      <w:r w:rsidRPr="00490C53">
        <w:t xml:space="preserve">8.0 percentage points from 8.3% to 0.3%). The tables that follow </w:t>
      </w:r>
      <w:r w:rsidR="008E6A65" w:rsidRPr="00490C53">
        <w:t xml:space="preserve">provide more detail on </w:t>
      </w:r>
      <w:r w:rsidRPr="00490C53">
        <w:t xml:space="preserve">the differences in </w:t>
      </w:r>
      <w:r w:rsidR="001F4825" w:rsidRPr="00490C53">
        <w:t xml:space="preserve">the </w:t>
      </w:r>
      <w:r w:rsidRPr="00490C53">
        <w:t xml:space="preserve">prevalence of the </w:t>
      </w:r>
      <w:r w:rsidR="00351EEC" w:rsidRPr="00490C53">
        <w:t xml:space="preserve">various </w:t>
      </w:r>
      <w:r w:rsidRPr="00490C53">
        <w:t xml:space="preserve">characteristics included in the PSM </w:t>
      </w:r>
      <w:r w:rsidR="00351EEC" w:rsidRPr="00490C53">
        <w:t xml:space="preserve">across </w:t>
      </w:r>
      <w:r w:rsidR="00340E2D" w:rsidRPr="00490C53">
        <w:t>the borrower and non-borrower groups</w:t>
      </w:r>
      <w:r w:rsidRPr="00490C53">
        <w:t>, before and after the PSM.</w:t>
      </w:r>
    </w:p>
    <w:p w14:paraId="4EA93952" w14:textId="34F88D96" w:rsidR="007245CC" w:rsidRPr="00490C53" w:rsidRDefault="007245CC" w:rsidP="007245CC">
      <w:pPr>
        <w:pStyle w:val="Heading5"/>
      </w:pPr>
      <w:r w:rsidRPr="00490C53">
        <w:t xml:space="preserve">Table </w:t>
      </w:r>
      <w:r w:rsidR="00B6604F" w:rsidRPr="00846F78">
        <w:fldChar w:fldCharType="begin"/>
      </w:r>
      <w:r w:rsidR="00B6604F" w:rsidRPr="00490C53">
        <w:instrText xml:space="preserve"> SEQ Table \* ARABIC </w:instrText>
      </w:r>
      <w:r w:rsidR="00B6604F" w:rsidRPr="00846F78">
        <w:fldChar w:fldCharType="separate"/>
      </w:r>
      <w:r w:rsidR="00397D49">
        <w:rPr>
          <w:noProof/>
        </w:rPr>
        <w:t>37</w:t>
      </w:r>
      <w:r w:rsidR="00B6604F" w:rsidRPr="00846F78">
        <w:fldChar w:fldCharType="end"/>
      </w:r>
      <w:r w:rsidRPr="00490C53">
        <w:t>: Balance table - BBLS</w:t>
      </w:r>
    </w:p>
    <w:tbl>
      <w:tblPr>
        <w:tblStyle w:val="TableGrid"/>
        <w:tblW w:w="5000" w:type="pct"/>
        <w:tblLayout w:type="fixed"/>
        <w:tblLook w:val="04A0" w:firstRow="1" w:lastRow="0" w:firstColumn="1" w:lastColumn="0" w:noHBand="0" w:noVBand="1"/>
      </w:tblPr>
      <w:tblGrid>
        <w:gridCol w:w="1984"/>
        <w:gridCol w:w="3546"/>
        <w:gridCol w:w="2268"/>
        <w:gridCol w:w="2356"/>
      </w:tblGrid>
      <w:tr w:rsidR="007245CC" w:rsidRPr="00490C53" w14:paraId="70F4E9E6"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977" w:type="pct"/>
            <w:noWrap/>
            <w:vAlign w:val="top"/>
            <w:hideMark/>
          </w:tcPr>
          <w:p w14:paraId="4D08E9A3" w14:textId="77777777" w:rsidR="007245CC" w:rsidRPr="00490C53" w:rsidRDefault="007245CC">
            <w:pPr>
              <w:pStyle w:val="Tablecolumnheading-white"/>
              <w:rPr>
                <w:lang w:eastAsia="en-GB"/>
              </w:rPr>
            </w:pPr>
            <w:r w:rsidRPr="00490C53">
              <w:t>Characteristic</w:t>
            </w:r>
          </w:p>
        </w:tc>
        <w:tc>
          <w:tcPr>
            <w:tcW w:w="1746" w:type="pct"/>
            <w:noWrap/>
            <w:vAlign w:val="top"/>
            <w:hideMark/>
          </w:tcPr>
          <w:p w14:paraId="69F7ECCD" w14:textId="77777777" w:rsidR="007245CC" w:rsidRPr="00490C53" w:rsidRDefault="007245CC">
            <w:pPr>
              <w:pStyle w:val="Tablecolumnheading-white"/>
              <w:rPr>
                <w:lang w:eastAsia="en-GB"/>
              </w:rPr>
            </w:pPr>
            <w:r w:rsidRPr="00490C53">
              <w:t>Feature</w:t>
            </w:r>
          </w:p>
        </w:tc>
        <w:tc>
          <w:tcPr>
            <w:tcW w:w="1117" w:type="pct"/>
            <w:noWrap/>
            <w:vAlign w:val="center"/>
            <w:hideMark/>
          </w:tcPr>
          <w:p w14:paraId="67446576" w14:textId="77777777" w:rsidR="007245CC" w:rsidRPr="00490C53" w:rsidRDefault="007245CC">
            <w:pPr>
              <w:pStyle w:val="Tablecolumnheading-white"/>
              <w:spacing w:before="0"/>
              <w:jc w:val="right"/>
              <w:rPr>
                <w:lang w:eastAsia="en-GB"/>
              </w:rPr>
            </w:pPr>
            <w:r w:rsidRPr="00490C53">
              <w:t>Difference in prevalence between borrower and non-borrower groups (Full Sample)</w:t>
            </w:r>
          </w:p>
        </w:tc>
        <w:tc>
          <w:tcPr>
            <w:tcW w:w="1160" w:type="pct"/>
            <w:noWrap/>
            <w:vAlign w:val="center"/>
            <w:hideMark/>
          </w:tcPr>
          <w:p w14:paraId="45F55CC6" w14:textId="77777777" w:rsidR="007245CC" w:rsidRPr="00490C53" w:rsidRDefault="007245CC">
            <w:pPr>
              <w:pStyle w:val="Tablecolumnheading-white"/>
              <w:spacing w:before="0"/>
              <w:jc w:val="right"/>
              <w:rPr>
                <w:lang w:eastAsia="en-GB"/>
              </w:rPr>
            </w:pPr>
            <w:r w:rsidRPr="00490C53">
              <w:t>Difference in prevalence between borrower and non-borrower groups (After PSM)</w:t>
            </w:r>
          </w:p>
        </w:tc>
      </w:tr>
      <w:tr w:rsidR="007245CC" w:rsidRPr="00490C53" w14:paraId="6A33BD4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EBE11D0" w14:textId="77777777" w:rsidR="007245CC" w:rsidRPr="00490C53" w:rsidRDefault="007245CC">
            <w:pPr>
              <w:pStyle w:val="Tabletext"/>
              <w:rPr>
                <w:lang w:eastAsia="en-GB"/>
              </w:rPr>
            </w:pPr>
            <w:r w:rsidRPr="00490C53">
              <w:rPr>
                <w:b/>
                <w:bCs/>
              </w:rPr>
              <w:t>Turnover</w:t>
            </w:r>
          </w:p>
        </w:tc>
        <w:tc>
          <w:tcPr>
            <w:tcW w:w="1746" w:type="pct"/>
            <w:noWrap/>
            <w:vAlign w:val="top"/>
          </w:tcPr>
          <w:p w14:paraId="5CBE631A" w14:textId="77777777" w:rsidR="007245CC" w:rsidRPr="00490C53" w:rsidRDefault="007245CC">
            <w:pPr>
              <w:pStyle w:val="Tabletext"/>
              <w:rPr>
                <w:lang w:eastAsia="en-GB"/>
              </w:rPr>
            </w:pPr>
            <w:r w:rsidRPr="00490C53">
              <w:t>Less than 25,000</w:t>
            </w:r>
          </w:p>
        </w:tc>
        <w:tc>
          <w:tcPr>
            <w:tcW w:w="1117" w:type="pct"/>
            <w:noWrap/>
            <w:vAlign w:val="center"/>
          </w:tcPr>
          <w:p w14:paraId="0EECD71B" w14:textId="77777777" w:rsidR="007245CC" w:rsidRPr="00490C53" w:rsidRDefault="007245CC">
            <w:pPr>
              <w:pStyle w:val="Tabletext"/>
              <w:jc w:val="right"/>
              <w:rPr>
                <w:lang w:eastAsia="en-GB"/>
              </w:rPr>
            </w:pPr>
            <w:r w:rsidRPr="00490C53">
              <w:rPr>
                <w:rFonts w:cstheme="minorHAnsi"/>
                <w:szCs w:val="24"/>
              </w:rPr>
              <w:t>6.4%</w:t>
            </w:r>
          </w:p>
        </w:tc>
        <w:tc>
          <w:tcPr>
            <w:tcW w:w="1160" w:type="pct"/>
            <w:noWrap/>
            <w:vAlign w:val="center"/>
          </w:tcPr>
          <w:p w14:paraId="2F04E78C"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61ED84B6" w14:textId="77777777">
        <w:tblPrEx>
          <w:tblCellMar>
            <w:left w:w="108" w:type="dxa"/>
            <w:right w:w="108" w:type="dxa"/>
          </w:tblCellMar>
        </w:tblPrEx>
        <w:trPr>
          <w:trHeight w:val="290"/>
        </w:trPr>
        <w:tc>
          <w:tcPr>
            <w:tcW w:w="977" w:type="pct"/>
            <w:noWrap/>
            <w:vAlign w:val="top"/>
          </w:tcPr>
          <w:p w14:paraId="5DF20BD6" w14:textId="77777777" w:rsidR="007245CC" w:rsidRPr="00490C53" w:rsidRDefault="007245CC">
            <w:pPr>
              <w:pStyle w:val="Tabletext"/>
              <w:rPr>
                <w:lang w:eastAsia="en-GB"/>
              </w:rPr>
            </w:pPr>
          </w:p>
        </w:tc>
        <w:tc>
          <w:tcPr>
            <w:tcW w:w="1746" w:type="pct"/>
            <w:noWrap/>
            <w:vAlign w:val="top"/>
          </w:tcPr>
          <w:p w14:paraId="29BCFAEB" w14:textId="77777777" w:rsidR="007245CC" w:rsidRPr="00490C53" w:rsidRDefault="007245CC">
            <w:pPr>
              <w:pStyle w:val="Tabletext"/>
              <w:rPr>
                <w:lang w:eastAsia="en-GB"/>
              </w:rPr>
            </w:pPr>
            <w:r w:rsidRPr="00490C53">
              <w:t>Between 25,000 and 50,000</w:t>
            </w:r>
          </w:p>
        </w:tc>
        <w:tc>
          <w:tcPr>
            <w:tcW w:w="1117" w:type="pct"/>
            <w:noWrap/>
            <w:vAlign w:val="center"/>
          </w:tcPr>
          <w:p w14:paraId="51F2CB9B" w14:textId="77777777" w:rsidR="007245CC" w:rsidRPr="00490C53" w:rsidRDefault="007245CC">
            <w:pPr>
              <w:pStyle w:val="Tabletext"/>
              <w:jc w:val="right"/>
              <w:rPr>
                <w:lang w:eastAsia="en-GB"/>
              </w:rPr>
            </w:pPr>
            <w:r w:rsidRPr="00490C53">
              <w:rPr>
                <w:rFonts w:cstheme="minorHAnsi"/>
                <w:szCs w:val="24"/>
              </w:rPr>
              <w:t>5.3%</w:t>
            </w:r>
          </w:p>
        </w:tc>
        <w:tc>
          <w:tcPr>
            <w:tcW w:w="1160" w:type="pct"/>
            <w:noWrap/>
            <w:vAlign w:val="center"/>
          </w:tcPr>
          <w:p w14:paraId="6A79E906"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6BB0B40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0092BC8" w14:textId="77777777" w:rsidR="007245CC" w:rsidRPr="00490C53" w:rsidRDefault="007245CC">
            <w:pPr>
              <w:pStyle w:val="Tabletext"/>
              <w:rPr>
                <w:lang w:eastAsia="en-GB"/>
              </w:rPr>
            </w:pPr>
          </w:p>
        </w:tc>
        <w:tc>
          <w:tcPr>
            <w:tcW w:w="1746" w:type="pct"/>
            <w:noWrap/>
            <w:vAlign w:val="top"/>
          </w:tcPr>
          <w:p w14:paraId="2AE1868D" w14:textId="77777777" w:rsidR="007245CC" w:rsidRPr="00490C53" w:rsidRDefault="007245CC">
            <w:pPr>
              <w:pStyle w:val="Tabletext"/>
              <w:rPr>
                <w:lang w:eastAsia="en-GB"/>
              </w:rPr>
            </w:pPr>
            <w:r w:rsidRPr="00490C53">
              <w:t>Between 50,000 and 75,000</w:t>
            </w:r>
          </w:p>
        </w:tc>
        <w:tc>
          <w:tcPr>
            <w:tcW w:w="1117" w:type="pct"/>
            <w:noWrap/>
            <w:vAlign w:val="center"/>
          </w:tcPr>
          <w:p w14:paraId="28F3A278" w14:textId="77777777" w:rsidR="007245CC" w:rsidRPr="00490C53" w:rsidRDefault="007245CC">
            <w:pPr>
              <w:pStyle w:val="Tabletext"/>
              <w:jc w:val="right"/>
              <w:rPr>
                <w:lang w:eastAsia="en-GB"/>
              </w:rPr>
            </w:pPr>
            <w:r w:rsidRPr="00490C53">
              <w:rPr>
                <w:rFonts w:cstheme="minorHAnsi"/>
                <w:szCs w:val="24"/>
              </w:rPr>
              <w:t>10.7%</w:t>
            </w:r>
          </w:p>
        </w:tc>
        <w:tc>
          <w:tcPr>
            <w:tcW w:w="1160" w:type="pct"/>
            <w:noWrap/>
            <w:vAlign w:val="center"/>
          </w:tcPr>
          <w:p w14:paraId="25ACA7DE"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1FFED440" w14:textId="77777777">
        <w:tblPrEx>
          <w:tblCellMar>
            <w:left w:w="108" w:type="dxa"/>
            <w:right w:w="108" w:type="dxa"/>
          </w:tblCellMar>
        </w:tblPrEx>
        <w:trPr>
          <w:trHeight w:val="290"/>
        </w:trPr>
        <w:tc>
          <w:tcPr>
            <w:tcW w:w="977" w:type="pct"/>
            <w:noWrap/>
            <w:vAlign w:val="top"/>
          </w:tcPr>
          <w:p w14:paraId="74F87711" w14:textId="77777777" w:rsidR="007245CC" w:rsidRPr="00490C53" w:rsidRDefault="007245CC">
            <w:pPr>
              <w:pStyle w:val="Tabletext"/>
              <w:rPr>
                <w:lang w:eastAsia="en-GB"/>
              </w:rPr>
            </w:pPr>
          </w:p>
        </w:tc>
        <w:tc>
          <w:tcPr>
            <w:tcW w:w="1746" w:type="pct"/>
            <w:noWrap/>
            <w:vAlign w:val="top"/>
          </w:tcPr>
          <w:p w14:paraId="7AFCBC49" w14:textId="77777777" w:rsidR="007245CC" w:rsidRPr="00490C53" w:rsidRDefault="007245CC">
            <w:pPr>
              <w:pStyle w:val="Tabletext"/>
              <w:rPr>
                <w:lang w:eastAsia="en-GB"/>
              </w:rPr>
            </w:pPr>
            <w:r w:rsidRPr="00490C53">
              <w:t>Between 75,000 and 100,000</w:t>
            </w:r>
          </w:p>
        </w:tc>
        <w:tc>
          <w:tcPr>
            <w:tcW w:w="1117" w:type="pct"/>
            <w:noWrap/>
            <w:vAlign w:val="center"/>
          </w:tcPr>
          <w:p w14:paraId="4CD03920" w14:textId="77777777" w:rsidR="007245CC" w:rsidRPr="00490C53" w:rsidRDefault="007245CC">
            <w:pPr>
              <w:pStyle w:val="Tabletext"/>
              <w:jc w:val="right"/>
              <w:rPr>
                <w:lang w:eastAsia="en-GB"/>
              </w:rPr>
            </w:pPr>
            <w:r w:rsidRPr="00490C53">
              <w:rPr>
                <w:rFonts w:cstheme="minorHAnsi"/>
                <w:szCs w:val="24"/>
              </w:rPr>
              <w:t>6.5%</w:t>
            </w:r>
          </w:p>
        </w:tc>
        <w:tc>
          <w:tcPr>
            <w:tcW w:w="1160" w:type="pct"/>
            <w:noWrap/>
            <w:vAlign w:val="center"/>
          </w:tcPr>
          <w:p w14:paraId="6B2C5D29"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5CA8422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E215386" w14:textId="77777777" w:rsidR="007245CC" w:rsidRPr="00490C53" w:rsidRDefault="007245CC">
            <w:pPr>
              <w:pStyle w:val="Tabletext"/>
              <w:rPr>
                <w:lang w:eastAsia="en-GB"/>
              </w:rPr>
            </w:pPr>
          </w:p>
        </w:tc>
        <w:tc>
          <w:tcPr>
            <w:tcW w:w="1746" w:type="pct"/>
            <w:noWrap/>
            <w:vAlign w:val="top"/>
          </w:tcPr>
          <w:p w14:paraId="2F8DFEF7" w14:textId="77777777" w:rsidR="007245CC" w:rsidRPr="00490C53" w:rsidRDefault="007245CC">
            <w:pPr>
              <w:pStyle w:val="Tabletext"/>
              <w:rPr>
                <w:lang w:eastAsia="en-GB"/>
              </w:rPr>
            </w:pPr>
            <w:r w:rsidRPr="00490C53">
              <w:t>Between 100,000 and 125,000</w:t>
            </w:r>
          </w:p>
        </w:tc>
        <w:tc>
          <w:tcPr>
            <w:tcW w:w="1117" w:type="pct"/>
            <w:noWrap/>
            <w:vAlign w:val="center"/>
          </w:tcPr>
          <w:p w14:paraId="757B27EA" w14:textId="77777777" w:rsidR="007245CC" w:rsidRPr="00490C53" w:rsidRDefault="007245CC">
            <w:pPr>
              <w:pStyle w:val="Tabletext"/>
              <w:jc w:val="right"/>
              <w:rPr>
                <w:lang w:eastAsia="en-GB"/>
              </w:rPr>
            </w:pPr>
            <w:r w:rsidRPr="00490C53">
              <w:rPr>
                <w:rFonts w:cstheme="minorHAnsi"/>
                <w:szCs w:val="24"/>
              </w:rPr>
              <w:t>5.5%</w:t>
            </w:r>
          </w:p>
        </w:tc>
        <w:tc>
          <w:tcPr>
            <w:tcW w:w="1160" w:type="pct"/>
            <w:noWrap/>
            <w:vAlign w:val="center"/>
          </w:tcPr>
          <w:p w14:paraId="10B72237"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29915F6D" w14:textId="77777777">
        <w:tblPrEx>
          <w:tblCellMar>
            <w:left w:w="108" w:type="dxa"/>
            <w:right w:w="108" w:type="dxa"/>
          </w:tblCellMar>
        </w:tblPrEx>
        <w:trPr>
          <w:trHeight w:val="290"/>
        </w:trPr>
        <w:tc>
          <w:tcPr>
            <w:tcW w:w="977" w:type="pct"/>
            <w:noWrap/>
            <w:vAlign w:val="top"/>
          </w:tcPr>
          <w:p w14:paraId="3DFF2936" w14:textId="77777777" w:rsidR="007245CC" w:rsidRPr="00490C53" w:rsidRDefault="007245CC">
            <w:pPr>
              <w:pStyle w:val="Tabletext"/>
              <w:rPr>
                <w:lang w:eastAsia="en-GB"/>
              </w:rPr>
            </w:pPr>
          </w:p>
        </w:tc>
        <w:tc>
          <w:tcPr>
            <w:tcW w:w="1746" w:type="pct"/>
            <w:noWrap/>
            <w:vAlign w:val="top"/>
          </w:tcPr>
          <w:p w14:paraId="00DCE24D" w14:textId="77777777" w:rsidR="007245CC" w:rsidRPr="00490C53" w:rsidRDefault="007245CC">
            <w:pPr>
              <w:pStyle w:val="Tabletext"/>
              <w:rPr>
                <w:lang w:eastAsia="en-GB"/>
              </w:rPr>
            </w:pPr>
            <w:r w:rsidRPr="00490C53">
              <w:t>Between 125,000 and 150,000</w:t>
            </w:r>
          </w:p>
        </w:tc>
        <w:tc>
          <w:tcPr>
            <w:tcW w:w="1117" w:type="pct"/>
            <w:noWrap/>
            <w:vAlign w:val="center"/>
          </w:tcPr>
          <w:p w14:paraId="34E243BE" w14:textId="77777777" w:rsidR="007245CC" w:rsidRPr="00490C53" w:rsidRDefault="007245CC">
            <w:pPr>
              <w:pStyle w:val="Tabletext"/>
              <w:jc w:val="right"/>
              <w:rPr>
                <w:lang w:eastAsia="en-GB"/>
              </w:rPr>
            </w:pPr>
            <w:r w:rsidRPr="00490C53">
              <w:rPr>
                <w:rFonts w:cstheme="minorHAnsi"/>
                <w:szCs w:val="24"/>
              </w:rPr>
              <w:t>3.2%</w:t>
            </w:r>
          </w:p>
        </w:tc>
        <w:tc>
          <w:tcPr>
            <w:tcW w:w="1160" w:type="pct"/>
            <w:noWrap/>
            <w:vAlign w:val="center"/>
          </w:tcPr>
          <w:p w14:paraId="674DAA76" w14:textId="77777777" w:rsidR="007245CC" w:rsidRPr="00490C53" w:rsidRDefault="007245CC">
            <w:pPr>
              <w:pStyle w:val="Tabletext"/>
              <w:jc w:val="right"/>
              <w:rPr>
                <w:lang w:eastAsia="en-GB"/>
              </w:rPr>
            </w:pPr>
            <w:r w:rsidRPr="00490C53">
              <w:rPr>
                <w:rFonts w:cstheme="minorHAnsi"/>
                <w:szCs w:val="24"/>
              </w:rPr>
              <w:t>0.0%</w:t>
            </w:r>
          </w:p>
        </w:tc>
      </w:tr>
      <w:tr w:rsidR="007245CC" w:rsidRPr="00490C53" w14:paraId="76E3E28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9069FA1" w14:textId="77777777" w:rsidR="007245CC" w:rsidRPr="00490C53" w:rsidRDefault="007245CC">
            <w:pPr>
              <w:pStyle w:val="Tabletext"/>
              <w:rPr>
                <w:lang w:eastAsia="en-GB"/>
              </w:rPr>
            </w:pPr>
          </w:p>
        </w:tc>
        <w:tc>
          <w:tcPr>
            <w:tcW w:w="1746" w:type="pct"/>
            <w:noWrap/>
            <w:vAlign w:val="top"/>
          </w:tcPr>
          <w:p w14:paraId="1E26C4D3" w14:textId="77777777" w:rsidR="007245CC" w:rsidRPr="00490C53" w:rsidRDefault="007245CC">
            <w:pPr>
              <w:pStyle w:val="Tabletext"/>
              <w:rPr>
                <w:lang w:eastAsia="en-GB"/>
              </w:rPr>
            </w:pPr>
            <w:r w:rsidRPr="00490C53">
              <w:t>Between 150,000 and 175,000</w:t>
            </w:r>
          </w:p>
        </w:tc>
        <w:tc>
          <w:tcPr>
            <w:tcW w:w="1117" w:type="pct"/>
            <w:noWrap/>
            <w:vAlign w:val="center"/>
          </w:tcPr>
          <w:p w14:paraId="50598441" w14:textId="77777777" w:rsidR="007245CC" w:rsidRPr="00490C53" w:rsidRDefault="007245CC">
            <w:pPr>
              <w:pStyle w:val="Tabletext"/>
              <w:jc w:val="right"/>
              <w:rPr>
                <w:lang w:eastAsia="en-GB"/>
              </w:rPr>
            </w:pPr>
            <w:r w:rsidRPr="00490C53">
              <w:rPr>
                <w:rFonts w:cstheme="minorHAnsi"/>
                <w:szCs w:val="24"/>
              </w:rPr>
              <w:t>1.1%</w:t>
            </w:r>
          </w:p>
        </w:tc>
        <w:tc>
          <w:tcPr>
            <w:tcW w:w="1160" w:type="pct"/>
            <w:noWrap/>
            <w:vAlign w:val="center"/>
          </w:tcPr>
          <w:p w14:paraId="153394E5"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19F0CA51" w14:textId="77777777">
        <w:tblPrEx>
          <w:tblCellMar>
            <w:left w:w="108" w:type="dxa"/>
            <w:right w:w="108" w:type="dxa"/>
          </w:tblCellMar>
        </w:tblPrEx>
        <w:trPr>
          <w:trHeight w:val="290"/>
        </w:trPr>
        <w:tc>
          <w:tcPr>
            <w:tcW w:w="977" w:type="pct"/>
            <w:noWrap/>
            <w:vAlign w:val="top"/>
          </w:tcPr>
          <w:p w14:paraId="1F75CD2E" w14:textId="77777777" w:rsidR="007245CC" w:rsidRPr="00490C53" w:rsidRDefault="007245CC">
            <w:pPr>
              <w:pStyle w:val="Tabletext"/>
              <w:rPr>
                <w:lang w:eastAsia="en-GB"/>
              </w:rPr>
            </w:pPr>
          </w:p>
        </w:tc>
        <w:tc>
          <w:tcPr>
            <w:tcW w:w="1746" w:type="pct"/>
            <w:noWrap/>
            <w:vAlign w:val="top"/>
          </w:tcPr>
          <w:p w14:paraId="054D0E7E" w14:textId="77777777" w:rsidR="007245CC" w:rsidRPr="00490C53" w:rsidRDefault="007245CC">
            <w:pPr>
              <w:pStyle w:val="Tabletext"/>
              <w:rPr>
                <w:lang w:eastAsia="en-GB"/>
              </w:rPr>
            </w:pPr>
            <w:r w:rsidRPr="00490C53">
              <w:t>Between 175,000 and 200,000</w:t>
            </w:r>
          </w:p>
        </w:tc>
        <w:tc>
          <w:tcPr>
            <w:tcW w:w="1117" w:type="pct"/>
            <w:noWrap/>
            <w:vAlign w:val="center"/>
          </w:tcPr>
          <w:p w14:paraId="7831B4C3" w14:textId="77777777" w:rsidR="007245CC" w:rsidRPr="00490C53" w:rsidRDefault="007245CC">
            <w:pPr>
              <w:pStyle w:val="Tabletext"/>
              <w:jc w:val="right"/>
              <w:rPr>
                <w:lang w:eastAsia="en-GB"/>
              </w:rPr>
            </w:pPr>
            <w:r w:rsidRPr="00490C53">
              <w:rPr>
                <w:rFonts w:cstheme="minorHAnsi"/>
                <w:szCs w:val="24"/>
              </w:rPr>
              <w:t>0.2%</w:t>
            </w:r>
          </w:p>
        </w:tc>
        <w:tc>
          <w:tcPr>
            <w:tcW w:w="1160" w:type="pct"/>
            <w:noWrap/>
            <w:vAlign w:val="center"/>
          </w:tcPr>
          <w:p w14:paraId="25F09780" w14:textId="77777777" w:rsidR="007245CC" w:rsidRPr="00490C53" w:rsidRDefault="007245CC">
            <w:pPr>
              <w:pStyle w:val="Tabletext"/>
              <w:jc w:val="right"/>
              <w:rPr>
                <w:lang w:eastAsia="en-GB"/>
              </w:rPr>
            </w:pPr>
            <w:r w:rsidRPr="00490C53">
              <w:rPr>
                <w:rFonts w:cstheme="minorHAnsi"/>
                <w:szCs w:val="24"/>
              </w:rPr>
              <w:t>0.0%</w:t>
            </w:r>
          </w:p>
        </w:tc>
      </w:tr>
      <w:tr w:rsidR="007245CC" w:rsidRPr="00490C53" w14:paraId="6F0EC58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58E3D79" w14:textId="77777777" w:rsidR="007245CC" w:rsidRPr="00490C53" w:rsidRDefault="007245CC">
            <w:pPr>
              <w:pStyle w:val="Tabletext"/>
              <w:rPr>
                <w:lang w:eastAsia="en-GB"/>
              </w:rPr>
            </w:pPr>
          </w:p>
        </w:tc>
        <w:tc>
          <w:tcPr>
            <w:tcW w:w="1746" w:type="pct"/>
            <w:noWrap/>
            <w:vAlign w:val="top"/>
          </w:tcPr>
          <w:p w14:paraId="7CD91FB3" w14:textId="77777777" w:rsidR="007245CC" w:rsidRPr="00490C53" w:rsidRDefault="007245CC">
            <w:pPr>
              <w:pStyle w:val="Tabletext"/>
              <w:rPr>
                <w:lang w:eastAsia="en-GB"/>
              </w:rPr>
            </w:pPr>
            <w:r w:rsidRPr="00490C53">
              <w:t>Between 200,000 and 250,000</w:t>
            </w:r>
          </w:p>
        </w:tc>
        <w:tc>
          <w:tcPr>
            <w:tcW w:w="1117" w:type="pct"/>
            <w:noWrap/>
            <w:vAlign w:val="center"/>
          </w:tcPr>
          <w:p w14:paraId="30A20094" w14:textId="77777777" w:rsidR="007245CC" w:rsidRPr="00490C53" w:rsidRDefault="007245CC">
            <w:pPr>
              <w:pStyle w:val="Tabletext"/>
              <w:jc w:val="right"/>
              <w:rPr>
                <w:lang w:eastAsia="en-GB"/>
              </w:rPr>
            </w:pPr>
            <w:r w:rsidRPr="00490C53">
              <w:rPr>
                <w:rFonts w:cstheme="minorHAnsi"/>
                <w:szCs w:val="24"/>
              </w:rPr>
              <w:t>0.2%</w:t>
            </w:r>
          </w:p>
        </w:tc>
        <w:tc>
          <w:tcPr>
            <w:tcW w:w="1160" w:type="pct"/>
            <w:noWrap/>
            <w:vAlign w:val="center"/>
          </w:tcPr>
          <w:p w14:paraId="51FCECA1"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295BCEFB" w14:textId="77777777">
        <w:tblPrEx>
          <w:tblCellMar>
            <w:left w:w="108" w:type="dxa"/>
            <w:right w:w="108" w:type="dxa"/>
          </w:tblCellMar>
        </w:tblPrEx>
        <w:trPr>
          <w:trHeight w:val="290"/>
        </w:trPr>
        <w:tc>
          <w:tcPr>
            <w:tcW w:w="977" w:type="pct"/>
            <w:noWrap/>
            <w:vAlign w:val="top"/>
          </w:tcPr>
          <w:p w14:paraId="24BD0BF0" w14:textId="77777777" w:rsidR="007245CC" w:rsidRPr="00490C53" w:rsidRDefault="007245CC">
            <w:pPr>
              <w:pStyle w:val="Tabletext"/>
              <w:rPr>
                <w:lang w:eastAsia="en-GB"/>
              </w:rPr>
            </w:pPr>
          </w:p>
        </w:tc>
        <w:tc>
          <w:tcPr>
            <w:tcW w:w="1746" w:type="pct"/>
            <w:noWrap/>
            <w:vAlign w:val="top"/>
          </w:tcPr>
          <w:p w14:paraId="037FB0B6" w14:textId="77777777" w:rsidR="007245CC" w:rsidRPr="00490C53" w:rsidRDefault="007245CC">
            <w:pPr>
              <w:pStyle w:val="Tabletext"/>
              <w:rPr>
                <w:lang w:eastAsia="en-GB"/>
              </w:rPr>
            </w:pPr>
            <w:r w:rsidRPr="00490C53">
              <w:t>Between 250,000 and 350,000</w:t>
            </w:r>
          </w:p>
        </w:tc>
        <w:tc>
          <w:tcPr>
            <w:tcW w:w="1117" w:type="pct"/>
            <w:noWrap/>
            <w:vAlign w:val="center"/>
          </w:tcPr>
          <w:p w14:paraId="54AAE446" w14:textId="77777777" w:rsidR="007245CC" w:rsidRPr="00490C53" w:rsidRDefault="007245CC">
            <w:pPr>
              <w:pStyle w:val="Tabletext"/>
              <w:jc w:val="right"/>
              <w:rPr>
                <w:lang w:eastAsia="en-GB"/>
              </w:rPr>
            </w:pPr>
            <w:r w:rsidRPr="00490C53">
              <w:rPr>
                <w:rFonts w:cstheme="minorHAnsi"/>
                <w:szCs w:val="24"/>
              </w:rPr>
              <w:t>1.9%</w:t>
            </w:r>
          </w:p>
        </w:tc>
        <w:tc>
          <w:tcPr>
            <w:tcW w:w="1160" w:type="pct"/>
            <w:noWrap/>
            <w:vAlign w:val="center"/>
          </w:tcPr>
          <w:p w14:paraId="3B042713" w14:textId="77777777" w:rsidR="007245CC" w:rsidRPr="00490C53" w:rsidRDefault="007245CC">
            <w:pPr>
              <w:pStyle w:val="Tabletext"/>
              <w:jc w:val="right"/>
              <w:rPr>
                <w:lang w:eastAsia="en-GB"/>
              </w:rPr>
            </w:pPr>
            <w:r w:rsidRPr="00490C53">
              <w:rPr>
                <w:rFonts w:cstheme="minorHAnsi"/>
                <w:szCs w:val="24"/>
              </w:rPr>
              <w:t>0.4%</w:t>
            </w:r>
          </w:p>
        </w:tc>
      </w:tr>
      <w:tr w:rsidR="007245CC" w:rsidRPr="00490C53" w14:paraId="5CB5293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2204D2C" w14:textId="77777777" w:rsidR="007245CC" w:rsidRPr="00490C53" w:rsidRDefault="007245CC">
            <w:pPr>
              <w:pStyle w:val="Tabletext"/>
              <w:rPr>
                <w:lang w:eastAsia="en-GB"/>
              </w:rPr>
            </w:pPr>
          </w:p>
        </w:tc>
        <w:tc>
          <w:tcPr>
            <w:tcW w:w="1746" w:type="pct"/>
            <w:noWrap/>
            <w:vAlign w:val="top"/>
          </w:tcPr>
          <w:p w14:paraId="6C3D7097" w14:textId="77777777" w:rsidR="007245CC" w:rsidRPr="00490C53" w:rsidRDefault="007245CC">
            <w:pPr>
              <w:pStyle w:val="Tabletext"/>
              <w:rPr>
                <w:lang w:eastAsia="en-GB"/>
              </w:rPr>
            </w:pPr>
            <w:r w:rsidRPr="00490C53">
              <w:t>Between 350,000 and 500,000</w:t>
            </w:r>
          </w:p>
        </w:tc>
        <w:tc>
          <w:tcPr>
            <w:tcW w:w="1117" w:type="pct"/>
            <w:noWrap/>
            <w:vAlign w:val="center"/>
          </w:tcPr>
          <w:p w14:paraId="0C15485F" w14:textId="77777777" w:rsidR="007245CC" w:rsidRPr="00490C53" w:rsidRDefault="007245CC">
            <w:pPr>
              <w:pStyle w:val="Tabletext"/>
              <w:jc w:val="right"/>
              <w:rPr>
                <w:lang w:eastAsia="en-GB"/>
              </w:rPr>
            </w:pPr>
            <w:r w:rsidRPr="00490C53">
              <w:rPr>
                <w:rFonts w:cstheme="minorHAnsi"/>
                <w:szCs w:val="24"/>
              </w:rPr>
              <w:t>3.7%</w:t>
            </w:r>
          </w:p>
        </w:tc>
        <w:tc>
          <w:tcPr>
            <w:tcW w:w="1160" w:type="pct"/>
            <w:noWrap/>
            <w:vAlign w:val="center"/>
          </w:tcPr>
          <w:p w14:paraId="27860D33" w14:textId="77777777" w:rsidR="007245CC" w:rsidRPr="00490C53" w:rsidRDefault="007245CC">
            <w:pPr>
              <w:pStyle w:val="Tabletext"/>
              <w:jc w:val="right"/>
              <w:rPr>
                <w:lang w:eastAsia="en-GB"/>
              </w:rPr>
            </w:pPr>
            <w:r w:rsidRPr="00490C53">
              <w:rPr>
                <w:rFonts w:cstheme="minorHAnsi"/>
                <w:szCs w:val="24"/>
              </w:rPr>
              <w:t>0.4%</w:t>
            </w:r>
          </w:p>
        </w:tc>
      </w:tr>
      <w:tr w:rsidR="007245CC" w:rsidRPr="00490C53" w14:paraId="522DD9B6" w14:textId="77777777">
        <w:tblPrEx>
          <w:tblCellMar>
            <w:left w:w="108" w:type="dxa"/>
            <w:right w:w="108" w:type="dxa"/>
          </w:tblCellMar>
        </w:tblPrEx>
        <w:trPr>
          <w:trHeight w:val="290"/>
        </w:trPr>
        <w:tc>
          <w:tcPr>
            <w:tcW w:w="977" w:type="pct"/>
            <w:noWrap/>
            <w:vAlign w:val="top"/>
          </w:tcPr>
          <w:p w14:paraId="2CFA9B44" w14:textId="77777777" w:rsidR="007245CC" w:rsidRPr="00490C53" w:rsidRDefault="007245CC">
            <w:pPr>
              <w:pStyle w:val="Tabletext"/>
              <w:rPr>
                <w:lang w:eastAsia="en-GB"/>
              </w:rPr>
            </w:pPr>
          </w:p>
        </w:tc>
        <w:tc>
          <w:tcPr>
            <w:tcW w:w="1746" w:type="pct"/>
            <w:noWrap/>
            <w:vAlign w:val="top"/>
          </w:tcPr>
          <w:p w14:paraId="25233E58" w14:textId="77777777" w:rsidR="007245CC" w:rsidRPr="00490C53" w:rsidRDefault="007245CC">
            <w:pPr>
              <w:pStyle w:val="Tabletext"/>
              <w:rPr>
                <w:lang w:eastAsia="en-GB"/>
              </w:rPr>
            </w:pPr>
            <w:r w:rsidRPr="00490C53">
              <w:t>Between 500,000 and 1 million</w:t>
            </w:r>
          </w:p>
        </w:tc>
        <w:tc>
          <w:tcPr>
            <w:tcW w:w="1117" w:type="pct"/>
            <w:noWrap/>
            <w:vAlign w:val="center"/>
          </w:tcPr>
          <w:p w14:paraId="541B8A1D" w14:textId="77777777" w:rsidR="007245CC" w:rsidRPr="00490C53" w:rsidRDefault="007245CC">
            <w:pPr>
              <w:pStyle w:val="Tabletext"/>
              <w:jc w:val="right"/>
              <w:rPr>
                <w:lang w:eastAsia="en-GB"/>
              </w:rPr>
            </w:pPr>
            <w:r w:rsidRPr="00490C53">
              <w:rPr>
                <w:rFonts w:cstheme="minorHAnsi"/>
                <w:szCs w:val="24"/>
              </w:rPr>
              <w:t>14.5%</w:t>
            </w:r>
          </w:p>
        </w:tc>
        <w:tc>
          <w:tcPr>
            <w:tcW w:w="1160" w:type="pct"/>
            <w:noWrap/>
            <w:vAlign w:val="center"/>
          </w:tcPr>
          <w:p w14:paraId="3F8E53B3"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076C843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405F33C" w14:textId="77777777" w:rsidR="007245CC" w:rsidRPr="00490C53" w:rsidRDefault="007245CC">
            <w:pPr>
              <w:pStyle w:val="Tabletext"/>
              <w:rPr>
                <w:lang w:eastAsia="en-GB"/>
              </w:rPr>
            </w:pPr>
          </w:p>
        </w:tc>
        <w:tc>
          <w:tcPr>
            <w:tcW w:w="1746" w:type="pct"/>
            <w:noWrap/>
            <w:vAlign w:val="top"/>
          </w:tcPr>
          <w:p w14:paraId="33510FA7" w14:textId="77777777" w:rsidR="007245CC" w:rsidRPr="00490C53" w:rsidRDefault="007245CC">
            <w:pPr>
              <w:pStyle w:val="Tabletext"/>
              <w:rPr>
                <w:lang w:eastAsia="en-GB"/>
              </w:rPr>
            </w:pPr>
            <w:r w:rsidRPr="00490C53">
              <w:t>Between 1 million and 5 million</w:t>
            </w:r>
          </w:p>
        </w:tc>
        <w:tc>
          <w:tcPr>
            <w:tcW w:w="1117" w:type="pct"/>
            <w:noWrap/>
            <w:vAlign w:val="center"/>
          </w:tcPr>
          <w:p w14:paraId="47D23EC0" w14:textId="77777777" w:rsidR="007245CC" w:rsidRPr="00490C53" w:rsidRDefault="007245CC">
            <w:pPr>
              <w:pStyle w:val="Tabletext"/>
              <w:jc w:val="right"/>
              <w:rPr>
                <w:lang w:eastAsia="en-GB"/>
              </w:rPr>
            </w:pPr>
            <w:r w:rsidRPr="00490C53">
              <w:rPr>
                <w:rFonts w:cstheme="minorHAnsi"/>
                <w:szCs w:val="24"/>
              </w:rPr>
              <w:t>18.7%</w:t>
            </w:r>
          </w:p>
        </w:tc>
        <w:tc>
          <w:tcPr>
            <w:tcW w:w="1160" w:type="pct"/>
            <w:noWrap/>
            <w:vAlign w:val="center"/>
          </w:tcPr>
          <w:p w14:paraId="67BE37B8" w14:textId="77777777" w:rsidR="007245CC" w:rsidRPr="00490C53" w:rsidRDefault="007245CC">
            <w:pPr>
              <w:pStyle w:val="Tabletext"/>
              <w:jc w:val="right"/>
              <w:rPr>
                <w:lang w:eastAsia="en-GB"/>
              </w:rPr>
            </w:pPr>
            <w:r w:rsidRPr="00490C53">
              <w:rPr>
                <w:rFonts w:cstheme="minorHAnsi"/>
                <w:szCs w:val="24"/>
              </w:rPr>
              <w:t>0.9%</w:t>
            </w:r>
          </w:p>
        </w:tc>
      </w:tr>
      <w:tr w:rsidR="007245CC" w:rsidRPr="00490C53" w14:paraId="01000960" w14:textId="77777777">
        <w:tblPrEx>
          <w:tblCellMar>
            <w:left w:w="108" w:type="dxa"/>
            <w:right w:w="108" w:type="dxa"/>
          </w:tblCellMar>
        </w:tblPrEx>
        <w:trPr>
          <w:trHeight w:val="290"/>
        </w:trPr>
        <w:tc>
          <w:tcPr>
            <w:tcW w:w="977" w:type="pct"/>
            <w:noWrap/>
            <w:vAlign w:val="top"/>
          </w:tcPr>
          <w:p w14:paraId="6919A4F9" w14:textId="77777777" w:rsidR="007245CC" w:rsidRPr="00490C53" w:rsidRDefault="007245CC">
            <w:pPr>
              <w:pStyle w:val="Tabletext"/>
              <w:rPr>
                <w:lang w:eastAsia="en-GB"/>
              </w:rPr>
            </w:pPr>
            <w:r w:rsidRPr="00490C53">
              <w:rPr>
                <w:b/>
                <w:bCs/>
              </w:rPr>
              <w:t>Employment</w:t>
            </w:r>
          </w:p>
        </w:tc>
        <w:tc>
          <w:tcPr>
            <w:tcW w:w="1746" w:type="pct"/>
            <w:noWrap/>
            <w:vAlign w:val="top"/>
          </w:tcPr>
          <w:p w14:paraId="17DAC09F" w14:textId="77777777" w:rsidR="007245CC" w:rsidRPr="00490C53" w:rsidRDefault="007245CC">
            <w:pPr>
              <w:pStyle w:val="Tabletext"/>
              <w:rPr>
                <w:lang w:eastAsia="en-GB"/>
              </w:rPr>
            </w:pPr>
            <w:r w:rsidRPr="00490C53">
              <w:t>1 employee</w:t>
            </w:r>
          </w:p>
        </w:tc>
        <w:tc>
          <w:tcPr>
            <w:tcW w:w="1117" w:type="pct"/>
            <w:noWrap/>
            <w:vAlign w:val="center"/>
          </w:tcPr>
          <w:p w14:paraId="3E1C5746" w14:textId="77777777" w:rsidR="007245CC" w:rsidRPr="00490C53" w:rsidRDefault="007245CC">
            <w:pPr>
              <w:pStyle w:val="Tabletext"/>
              <w:jc w:val="right"/>
              <w:rPr>
                <w:lang w:eastAsia="en-GB"/>
              </w:rPr>
            </w:pPr>
            <w:r w:rsidRPr="00490C53">
              <w:rPr>
                <w:rFonts w:cstheme="minorHAnsi"/>
                <w:szCs w:val="24"/>
              </w:rPr>
              <w:t>33.2%</w:t>
            </w:r>
          </w:p>
        </w:tc>
        <w:tc>
          <w:tcPr>
            <w:tcW w:w="1160" w:type="pct"/>
            <w:noWrap/>
            <w:vAlign w:val="center"/>
          </w:tcPr>
          <w:p w14:paraId="604CE528" w14:textId="77777777" w:rsidR="007245CC" w:rsidRPr="00490C53" w:rsidRDefault="007245CC">
            <w:pPr>
              <w:pStyle w:val="Tabletext"/>
              <w:jc w:val="right"/>
              <w:rPr>
                <w:lang w:eastAsia="en-GB"/>
              </w:rPr>
            </w:pPr>
            <w:r w:rsidRPr="00490C53">
              <w:rPr>
                <w:rFonts w:cstheme="minorHAnsi"/>
                <w:szCs w:val="24"/>
              </w:rPr>
              <w:t>0.5%</w:t>
            </w:r>
          </w:p>
        </w:tc>
      </w:tr>
      <w:tr w:rsidR="007245CC" w:rsidRPr="00490C53" w14:paraId="137D62E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974532E" w14:textId="77777777" w:rsidR="007245CC" w:rsidRPr="00490C53" w:rsidRDefault="007245CC">
            <w:pPr>
              <w:pStyle w:val="Tabletext"/>
              <w:rPr>
                <w:lang w:eastAsia="en-GB"/>
              </w:rPr>
            </w:pPr>
          </w:p>
        </w:tc>
        <w:tc>
          <w:tcPr>
            <w:tcW w:w="1746" w:type="pct"/>
            <w:noWrap/>
            <w:vAlign w:val="top"/>
          </w:tcPr>
          <w:p w14:paraId="7EA80B76" w14:textId="77777777" w:rsidR="007245CC" w:rsidRPr="00490C53" w:rsidRDefault="007245CC">
            <w:pPr>
              <w:pStyle w:val="Tabletext"/>
              <w:rPr>
                <w:lang w:eastAsia="en-GB"/>
              </w:rPr>
            </w:pPr>
            <w:r w:rsidRPr="00490C53">
              <w:t>2-3 employees</w:t>
            </w:r>
          </w:p>
        </w:tc>
        <w:tc>
          <w:tcPr>
            <w:tcW w:w="1117" w:type="pct"/>
            <w:noWrap/>
            <w:vAlign w:val="center"/>
          </w:tcPr>
          <w:p w14:paraId="0FCCAE13" w14:textId="77777777" w:rsidR="007245CC" w:rsidRPr="00490C53" w:rsidRDefault="007245CC">
            <w:pPr>
              <w:pStyle w:val="Tabletext"/>
              <w:jc w:val="right"/>
              <w:rPr>
                <w:lang w:eastAsia="en-GB"/>
              </w:rPr>
            </w:pPr>
            <w:r w:rsidRPr="00490C53">
              <w:rPr>
                <w:rFonts w:cstheme="minorHAnsi"/>
                <w:szCs w:val="24"/>
              </w:rPr>
              <w:t>0.7%</w:t>
            </w:r>
          </w:p>
        </w:tc>
        <w:tc>
          <w:tcPr>
            <w:tcW w:w="1160" w:type="pct"/>
            <w:noWrap/>
            <w:vAlign w:val="center"/>
          </w:tcPr>
          <w:p w14:paraId="3A3EBA49" w14:textId="77777777" w:rsidR="007245CC" w:rsidRPr="00490C53" w:rsidRDefault="007245CC">
            <w:pPr>
              <w:pStyle w:val="Tabletext"/>
              <w:jc w:val="right"/>
              <w:rPr>
                <w:lang w:eastAsia="en-GB"/>
              </w:rPr>
            </w:pPr>
            <w:r w:rsidRPr="00490C53">
              <w:rPr>
                <w:rFonts w:cstheme="minorHAnsi"/>
                <w:szCs w:val="24"/>
              </w:rPr>
              <w:t>0.4%</w:t>
            </w:r>
          </w:p>
        </w:tc>
      </w:tr>
      <w:tr w:rsidR="007245CC" w:rsidRPr="00490C53" w14:paraId="3586C30A" w14:textId="77777777">
        <w:tblPrEx>
          <w:tblCellMar>
            <w:left w:w="108" w:type="dxa"/>
            <w:right w:w="108" w:type="dxa"/>
          </w:tblCellMar>
        </w:tblPrEx>
        <w:trPr>
          <w:trHeight w:val="290"/>
        </w:trPr>
        <w:tc>
          <w:tcPr>
            <w:tcW w:w="977" w:type="pct"/>
            <w:noWrap/>
            <w:vAlign w:val="top"/>
          </w:tcPr>
          <w:p w14:paraId="4C471BD8" w14:textId="77777777" w:rsidR="007245CC" w:rsidRPr="00490C53" w:rsidRDefault="007245CC">
            <w:pPr>
              <w:pStyle w:val="Tabletext"/>
              <w:rPr>
                <w:lang w:eastAsia="en-GB"/>
              </w:rPr>
            </w:pPr>
          </w:p>
        </w:tc>
        <w:tc>
          <w:tcPr>
            <w:tcW w:w="1746" w:type="pct"/>
            <w:noWrap/>
            <w:vAlign w:val="top"/>
          </w:tcPr>
          <w:p w14:paraId="5F03F998" w14:textId="77777777" w:rsidR="007245CC" w:rsidRPr="00490C53" w:rsidRDefault="007245CC">
            <w:pPr>
              <w:pStyle w:val="Tabletext"/>
              <w:rPr>
                <w:lang w:eastAsia="en-GB"/>
              </w:rPr>
            </w:pPr>
            <w:r w:rsidRPr="00490C53">
              <w:t>4-5 employees</w:t>
            </w:r>
          </w:p>
        </w:tc>
        <w:tc>
          <w:tcPr>
            <w:tcW w:w="1117" w:type="pct"/>
            <w:noWrap/>
            <w:vAlign w:val="center"/>
          </w:tcPr>
          <w:p w14:paraId="368B2B0A" w14:textId="77777777" w:rsidR="007245CC" w:rsidRPr="00490C53" w:rsidRDefault="007245CC">
            <w:pPr>
              <w:pStyle w:val="Tabletext"/>
              <w:jc w:val="right"/>
              <w:rPr>
                <w:lang w:eastAsia="en-GB"/>
              </w:rPr>
            </w:pPr>
            <w:r w:rsidRPr="00490C53">
              <w:rPr>
                <w:rFonts w:cstheme="minorHAnsi"/>
                <w:szCs w:val="24"/>
              </w:rPr>
              <w:t>5.3%</w:t>
            </w:r>
          </w:p>
        </w:tc>
        <w:tc>
          <w:tcPr>
            <w:tcW w:w="1160" w:type="pct"/>
            <w:noWrap/>
            <w:vAlign w:val="center"/>
          </w:tcPr>
          <w:p w14:paraId="13FEEAEA"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46CCC02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DF51AAC" w14:textId="77777777" w:rsidR="007245CC" w:rsidRPr="00490C53" w:rsidRDefault="007245CC">
            <w:pPr>
              <w:pStyle w:val="Tabletext"/>
              <w:rPr>
                <w:lang w:eastAsia="en-GB"/>
              </w:rPr>
            </w:pPr>
          </w:p>
        </w:tc>
        <w:tc>
          <w:tcPr>
            <w:tcW w:w="1746" w:type="pct"/>
            <w:noWrap/>
            <w:vAlign w:val="top"/>
          </w:tcPr>
          <w:p w14:paraId="0F0CE944" w14:textId="77777777" w:rsidR="007245CC" w:rsidRPr="00490C53" w:rsidRDefault="007245CC">
            <w:pPr>
              <w:pStyle w:val="Tabletext"/>
              <w:rPr>
                <w:lang w:eastAsia="en-GB"/>
              </w:rPr>
            </w:pPr>
            <w:r w:rsidRPr="00490C53">
              <w:t>6-7 employees</w:t>
            </w:r>
          </w:p>
        </w:tc>
        <w:tc>
          <w:tcPr>
            <w:tcW w:w="1117" w:type="pct"/>
            <w:noWrap/>
            <w:vAlign w:val="center"/>
          </w:tcPr>
          <w:p w14:paraId="7D5D92B1" w14:textId="77777777" w:rsidR="007245CC" w:rsidRPr="00490C53" w:rsidRDefault="007245CC">
            <w:pPr>
              <w:pStyle w:val="Tabletext"/>
              <w:jc w:val="right"/>
              <w:rPr>
                <w:lang w:eastAsia="en-GB"/>
              </w:rPr>
            </w:pPr>
            <w:r w:rsidRPr="00490C53">
              <w:rPr>
                <w:rFonts w:cstheme="minorHAnsi"/>
                <w:szCs w:val="24"/>
              </w:rPr>
              <w:t>5.1%</w:t>
            </w:r>
          </w:p>
        </w:tc>
        <w:tc>
          <w:tcPr>
            <w:tcW w:w="1160" w:type="pct"/>
            <w:noWrap/>
            <w:vAlign w:val="center"/>
          </w:tcPr>
          <w:p w14:paraId="09D18AF6"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7A1EAC64" w14:textId="77777777">
        <w:tblPrEx>
          <w:tblCellMar>
            <w:left w:w="108" w:type="dxa"/>
            <w:right w:w="108" w:type="dxa"/>
          </w:tblCellMar>
        </w:tblPrEx>
        <w:trPr>
          <w:trHeight w:val="290"/>
        </w:trPr>
        <w:tc>
          <w:tcPr>
            <w:tcW w:w="977" w:type="pct"/>
            <w:noWrap/>
            <w:vAlign w:val="top"/>
          </w:tcPr>
          <w:p w14:paraId="37F5831F" w14:textId="77777777" w:rsidR="007245CC" w:rsidRPr="00490C53" w:rsidRDefault="007245CC">
            <w:pPr>
              <w:pStyle w:val="Tabletext"/>
              <w:rPr>
                <w:lang w:eastAsia="en-GB"/>
              </w:rPr>
            </w:pPr>
          </w:p>
        </w:tc>
        <w:tc>
          <w:tcPr>
            <w:tcW w:w="1746" w:type="pct"/>
            <w:noWrap/>
            <w:vAlign w:val="top"/>
          </w:tcPr>
          <w:p w14:paraId="60B41101" w14:textId="77777777" w:rsidR="007245CC" w:rsidRPr="00490C53" w:rsidRDefault="007245CC">
            <w:pPr>
              <w:pStyle w:val="Tabletext"/>
              <w:rPr>
                <w:lang w:eastAsia="en-GB"/>
              </w:rPr>
            </w:pPr>
            <w:r w:rsidRPr="00490C53">
              <w:t>8-9 employees</w:t>
            </w:r>
          </w:p>
        </w:tc>
        <w:tc>
          <w:tcPr>
            <w:tcW w:w="1117" w:type="pct"/>
            <w:noWrap/>
            <w:vAlign w:val="center"/>
          </w:tcPr>
          <w:p w14:paraId="76FD3DE9" w14:textId="77777777" w:rsidR="007245CC" w:rsidRPr="00490C53" w:rsidRDefault="007245CC">
            <w:pPr>
              <w:pStyle w:val="Tabletext"/>
              <w:jc w:val="right"/>
              <w:rPr>
                <w:lang w:eastAsia="en-GB"/>
              </w:rPr>
            </w:pPr>
            <w:r w:rsidRPr="00490C53">
              <w:rPr>
                <w:rFonts w:cstheme="minorHAnsi"/>
                <w:szCs w:val="24"/>
              </w:rPr>
              <w:t>4.8%</w:t>
            </w:r>
          </w:p>
        </w:tc>
        <w:tc>
          <w:tcPr>
            <w:tcW w:w="1160" w:type="pct"/>
            <w:noWrap/>
            <w:vAlign w:val="center"/>
          </w:tcPr>
          <w:p w14:paraId="6C3CF8B8" w14:textId="77777777" w:rsidR="007245CC" w:rsidRPr="00490C53" w:rsidRDefault="007245CC">
            <w:pPr>
              <w:pStyle w:val="Tabletext"/>
              <w:jc w:val="right"/>
              <w:rPr>
                <w:lang w:eastAsia="en-GB"/>
              </w:rPr>
            </w:pPr>
            <w:r w:rsidRPr="00490C53">
              <w:rPr>
                <w:rFonts w:cstheme="minorHAnsi"/>
                <w:szCs w:val="24"/>
              </w:rPr>
              <w:t>0.3%</w:t>
            </w:r>
          </w:p>
        </w:tc>
      </w:tr>
      <w:tr w:rsidR="007245CC" w:rsidRPr="00490C53" w14:paraId="60A2FB0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5C87AC8" w14:textId="77777777" w:rsidR="007245CC" w:rsidRPr="00490C53" w:rsidRDefault="007245CC">
            <w:pPr>
              <w:pStyle w:val="Tabletext"/>
              <w:rPr>
                <w:lang w:eastAsia="en-GB"/>
              </w:rPr>
            </w:pPr>
          </w:p>
        </w:tc>
        <w:tc>
          <w:tcPr>
            <w:tcW w:w="1746" w:type="pct"/>
            <w:noWrap/>
            <w:vAlign w:val="top"/>
          </w:tcPr>
          <w:p w14:paraId="771B0745" w14:textId="77777777" w:rsidR="007245CC" w:rsidRPr="00490C53" w:rsidRDefault="007245CC">
            <w:pPr>
              <w:pStyle w:val="Tabletext"/>
              <w:rPr>
                <w:lang w:eastAsia="en-GB"/>
              </w:rPr>
            </w:pPr>
            <w:r w:rsidRPr="00490C53">
              <w:t>10-14 employees</w:t>
            </w:r>
          </w:p>
        </w:tc>
        <w:tc>
          <w:tcPr>
            <w:tcW w:w="1117" w:type="pct"/>
            <w:noWrap/>
            <w:vAlign w:val="center"/>
          </w:tcPr>
          <w:p w14:paraId="62F2E03E" w14:textId="77777777" w:rsidR="007245CC" w:rsidRPr="00490C53" w:rsidRDefault="007245CC">
            <w:pPr>
              <w:pStyle w:val="Tabletext"/>
              <w:jc w:val="right"/>
              <w:rPr>
                <w:lang w:eastAsia="en-GB"/>
              </w:rPr>
            </w:pPr>
            <w:r w:rsidRPr="00490C53">
              <w:rPr>
                <w:rFonts w:cstheme="minorHAnsi"/>
                <w:szCs w:val="24"/>
              </w:rPr>
              <w:t>6.7%</w:t>
            </w:r>
          </w:p>
        </w:tc>
        <w:tc>
          <w:tcPr>
            <w:tcW w:w="1160" w:type="pct"/>
            <w:noWrap/>
            <w:vAlign w:val="center"/>
          </w:tcPr>
          <w:p w14:paraId="1A91A63C"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3088CB25" w14:textId="77777777">
        <w:tblPrEx>
          <w:tblCellMar>
            <w:left w:w="108" w:type="dxa"/>
            <w:right w:w="108" w:type="dxa"/>
          </w:tblCellMar>
        </w:tblPrEx>
        <w:trPr>
          <w:trHeight w:val="290"/>
        </w:trPr>
        <w:tc>
          <w:tcPr>
            <w:tcW w:w="977" w:type="pct"/>
            <w:noWrap/>
            <w:vAlign w:val="top"/>
          </w:tcPr>
          <w:p w14:paraId="67841979" w14:textId="77777777" w:rsidR="007245CC" w:rsidRPr="00490C53" w:rsidRDefault="007245CC">
            <w:pPr>
              <w:pStyle w:val="Tabletext"/>
              <w:rPr>
                <w:lang w:eastAsia="en-GB"/>
              </w:rPr>
            </w:pPr>
          </w:p>
        </w:tc>
        <w:tc>
          <w:tcPr>
            <w:tcW w:w="1746" w:type="pct"/>
            <w:noWrap/>
            <w:vAlign w:val="top"/>
          </w:tcPr>
          <w:p w14:paraId="51D21511" w14:textId="77777777" w:rsidR="007245CC" w:rsidRPr="00490C53" w:rsidRDefault="007245CC">
            <w:pPr>
              <w:pStyle w:val="Tabletext"/>
              <w:rPr>
                <w:lang w:eastAsia="en-GB"/>
              </w:rPr>
            </w:pPr>
            <w:r w:rsidRPr="00490C53">
              <w:t>15-24 employees</w:t>
            </w:r>
          </w:p>
        </w:tc>
        <w:tc>
          <w:tcPr>
            <w:tcW w:w="1117" w:type="pct"/>
            <w:noWrap/>
            <w:vAlign w:val="center"/>
          </w:tcPr>
          <w:p w14:paraId="037F0C6A" w14:textId="77777777" w:rsidR="007245CC" w:rsidRPr="00490C53" w:rsidRDefault="007245CC">
            <w:pPr>
              <w:pStyle w:val="Tabletext"/>
              <w:jc w:val="right"/>
              <w:rPr>
                <w:lang w:eastAsia="en-GB"/>
              </w:rPr>
            </w:pPr>
            <w:r w:rsidRPr="00490C53">
              <w:rPr>
                <w:rFonts w:cstheme="minorHAnsi"/>
                <w:szCs w:val="24"/>
              </w:rPr>
              <w:t>6.3%</w:t>
            </w:r>
          </w:p>
        </w:tc>
        <w:tc>
          <w:tcPr>
            <w:tcW w:w="1160" w:type="pct"/>
            <w:noWrap/>
            <w:vAlign w:val="center"/>
          </w:tcPr>
          <w:p w14:paraId="3C0BECD0"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18EE9F3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AE60D48" w14:textId="77777777" w:rsidR="007245CC" w:rsidRPr="00490C53" w:rsidRDefault="007245CC">
            <w:pPr>
              <w:pStyle w:val="Tabletext"/>
              <w:rPr>
                <w:lang w:eastAsia="en-GB"/>
              </w:rPr>
            </w:pPr>
          </w:p>
        </w:tc>
        <w:tc>
          <w:tcPr>
            <w:tcW w:w="1746" w:type="pct"/>
            <w:noWrap/>
            <w:vAlign w:val="top"/>
          </w:tcPr>
          <w:p w14:paraId="36983788" w14:textId="77777777" w:rsidR="007245CC" w:rsidRPr="00490C53" w:rsidRDefault="007245CC">
            <w:pPr>
              <w:pStyle w:val="Tabletext"/>
              <w:rPr>
                <w:lang w:eastAsia="en-GB"/>
              </w:rPr>
            </w:pPr>
            <w:r w:rsidRPr="00490C53">
              <w:t>25-49 employees</w:t>
            </w:r>
          </w:p>
        </w:tc>
        <w:tc>
          <w:tcPr>
            <w:tcW w:w="1117" w:type="pct"/>
            <w:noWrap/>
            <w:vAlign w:val="center"/>
          </w:tcPr>
          <w:p w14:paraId="089734FA" w14:textId="77777777" w:rsidR="007245CC" w:rsidRPr="00490C53" w:rsidRDefault="007245CC">
            <w:pPr>
              <w:pStyle w:val="Tabletext"/>
              <w:jc w:val="right"/>
              <w:rPr>
                <w:lang w:eastAsia="en-GB"/>
              </w:rPr>
            </w:pPr>
            <w:r w:rsidRPr="00490C53">
              <w:rPr>
                <w:rFonts w:cstheme="minorHAnsi"/>
                <w:szCs w:val="24"/>
              </w:rPr>
              <w:t>4.4%</w:t>
            </w:r>
          </w:p>
        </w:tc>
        <w:tc>
          <w:tcPr>
            <w:tcW w:w="1160" w:type="pct"/>
            <w:noWrap/>
            <w:vAlign w:val="center"/>
          </w:tcPr>
          <w:p w14:paraId="2BD802C2"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728A95E1" w14:textId="77777777">
        <w:tblPrEx>
          <w:tblCellMar>
            <w:left w:w="108" w:type="dxa"/>
            <w:right w:w="108" w:type="dxa"/>
          </w:tblCellMar>
        </w:tblPrEx>
        <w:trPr>
          <w:trHeight w:val="290"/>
        </w:trPr>
        <w:tc>
          <w:tcPr>
            <w:tcW w:w="977" w:type="pct"/>
            <w:noWrap/>
            <w:vAlign w:val="top"/>
          </w:tcPr>
          <w:p w14:paraId="155E2F63" w14:textId="77777777" w:rsidR="007245CC" w:rsidRPr="00490C53" w:rsidRDefault="007245CC">
            <w:pPr>
              <w:pStyle w:val="Tabletext"/>
              <w:rPr>
                <w:lang w:eastAsia="en-GB"/>
              </w:rPr>
            </w:pPr>
          </w:p>
        </w:tc>
        <w:tc>
          <w:tcPr>
            <w:tcW w:w="1746" w:type="pct"/>
            <w:noWrap/>
            <w:vAlign w:val="top"/>
          </w:tcPr>
          <w:p w14:paraId="594CA3DB" w14:textId="77777777" w:rsidR="007245CC" w:rsidRPr="00490C53" w:rsidRDefault="007245CC">
            <w:pPr>
              <w:pStyle w:val="Tabletext"/>
              <w:rPr>
                <w:lang w:eastAsia="en-GB"/>
              </w:rPr>
            </w:pPr>
            <w:r w:rsidRPr="00490C53">
              <w:t>50-249 employees</w:t>
            </w:r>
          </w:p>
        </w:tc>
        <w:tc>
          <w:tcPr>
            <w:tcW w:w="1117" w:type="pct"/>
            <w:noWrap/>
            <w:vAlign w:val="center"/>
          </w:tcPr>
          <w:p w14:paraId="6C36FFEB" w14:textId="77777777" w:rsidR="007245CC" w:rsidRPr="00490C53" w:rsidRDefault="007245CC">
            <w:pPr>
              <w:pStyle w:val="Tabletext"/>
              <w:jc w:val="right"/>
              <w:rPr>
                <w:lang w:eastAsia="en-GB"/>
              </w:rPr>
            </w:pPr>
            <w:r w:rsidRPr="00490C53">
              <w:rPr>
                <w:rFonts w:cstheme="minorHAnsi"/>
                <w:szCs w:val="24"/>
              </w:rPr>
              <w:t>1.3%</w:t>
            </w:r>
          </w:p>
        </w:tc>
        <w:tc>
          <w:tcPr>
            <w:tcW w:w="1160" w:type="pct"/>
            <w:noWrap/>
            <w:vAlign w:val="center"/>
          </w:tcPr>
          <w:p w14:paraId="1504C1C6"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4006FDE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9A4C77B" w14:textId="77777777" w:rsidR="007245CC" w:rsidRPr="00490C53" w:rsidRDefault="007245CC">
            <w:pPr>
              <w:pStyle w:val="Tabletext"/>
              <w:rPr>
                <w:lang w:eastAsia="en-GB"/>
              </w:rPr>
            </w:pPr>
          </w:p>
        </w:tc>
        <w:tc>
          <w:tcPr>
            <w:tcW w:w="1746" w:type="pct"/>
            <w:noWrap/>
            <w:vAlign w:val="top"/>
          </w:tcPr>
          <w:p w14:paraId="5185A581" w14:textId="77777777" w:rsidR="007245CC" w:rsidRPr="00490C53" w:rsidRDefault="007245CC">
            <w:pPr>
              <w:pStyle w:val="Tabletext"/>
              <w:rPr>
                <w:lang w:eastAsia="en-GB"/>
              </w:rPr>
            </w:pPr>
            <w:r w:rsidRPr="00490C53">
              <w:t>More than 250 employees</w:t>
            </w:r>
          </w:p>
        </w:tc>
        <w:tc>
          <w:tcPr>
            <w:tcW w:w="1117" w:type="pct"/>
            <w:noWrap/>
            <w:vAlign w:val="center"/>
          </w:tcPr>
          <w:p w14:paraId="0F2B2E51" w14:textId="77777777" w:rsidR="007245CC" w:rsidRPr="00490C53" w:rsidRDefault="007245CC">
            <w:pPr>
              <w:pStyle w:val="Tabletext"/>
              <w:jc w:val="right"/>
              <w:rPr>
                <w:lang w:eastAsia="en-GB"/>
              </w:rPr>
            </w:pPr>
            <w:r w:rsidRPr="00490C53">
              <w:rPr>
                <w:rFonts w:cstheme="minorHAnsi"/>
                <w:szCs w:val="24"/>
              </w:rPr>
              <w:t>0.0%</w:t>
            </w:r>
          </w:p>
        </w:tc>
        <w:tc>
          <w:tcPr>
            <w:tcW w:w="1160" w:type="pct"/>
            <w:noWrap/>
            <w:vAlign w:val="center"/>
          </w:tcPr>
          <w:p w14:paraId="069C94D9" w14:textId="77777777" w:rsidR="007245CC" w:rsidRPr="00490C53" w:rsidRDefault="007245CC">
            <w:pPr>
              <w:pStyle w:val="Tabletext"/>
              <w:jc w:val="right"/>
              <w:rPr>
                <w:lang w:eastAsia="en-GB"/>
              </w:rPr>
            </w:pPr>
            <w:r w:rsidRPr="00490C53">
              <w:rPr>
                <w:rFonts w:cstheme="minorHAnsi"/>
                <w:szCs w:val="24"/>
              </w:rPr>
              <w:t>0.0%</w:t>
            </w:r>
          </w:p>
        </w:tc>
      </w:tr>
      <w:tr w:rsidR="007245CC" w:rsidRPr="00490C53" w14:paraId="42330B2D" w14:textId="77777777">
        <w:tblPrEx>
          <w:tblCellMar>
            <w:left w:w="108" w:type="dxa"/>
            <w:right w:w="108" w:type="dxa"/>
          </w:tblCellMar>
        </w:tblPrEx>
        <w:trPr>
          <w:trHeight w:val="290"/>
        </w:trPr>
        <w:tc>
          <w:tcPr>
            <w:tcW w:w="977" w:type="pct"/>
            <w:noWrap/>
            <w:vAlign w:val="top"/>
          </w:tcPr>
          <w:p w14:paraId="674691A7" w14:textId="77777777" w:rsidR="007245CC" w:rsidRPr="00490C53" w:rsidRDefault="007245CC">
            <w:pPr>
              <w:pStyle w:val="Tabletext"/>
              <w:rPr>
                <w:lang w:eastAsia="en-GB"/>
              </w:rPr>
            </w:pPr>
            <w:r w:rsidRPr="00490C53">
              <w:rPr>
                <w:b/>
                <w:bCs/>
              </w:rPr>
              <w:t>Region</w:t>
            </w:r>
          </w:p>
        </w:tc>
        <w:tc>
          <w:tcPr>
            <w:tcW w:w="1746" w:type="pct"/>
            <w:noWrap/>
            <w:vAlign w:val="top"/>
          </w:tcPr>
          <w:p w14:paraId="194EA99C" w14:textId="77777777" w:rsidR="007245CC" w:rsidRPr="00490C53" w:rsidRDefault="007245CC">
            <w:pPr>
              <w:pStyle w:val="Tabletext"/>
              <w:rPr>
                <w:lang w:eastAsia="en-GB"/>
              </w:rPr>
            </w:pPr>
            <w:r w:rsidRPr="00490C53">
              <w:t>East / Midlands</w:t>
            </w:r>
          </w:p>
        </w:tc>
        <w:tc>
          <w:tcPr>
            <w:tcW w:w="1117" w:type="pct"/>
            <w:noWrap/>
            <w:vAlign w:val="center"/>
          </w:tcPr>
          <w:p w14:paraId="79CD7566" w14:textId="77777777" w:rsidR="007245CC" w:rsidRPr="00490C53" w:rsidRDefault="007245CC">
            <w:pPr>
              <w:pStyle w:val="Tabletext"/>
              <w:jc w:val="right"/>
              <w:rPr>
                <w:lang w:eastAsia="en-GB"/>
              </w:rPr>
            </w:pPr>
            <w:r w:rsidRPr="00490C53">
              <w:rPr>
                <w:rFonts w:cstheme="minorHAnsi"/>
                <w:szCs w:val="24"/>
              </w:rPr>
              <w:t>0.3%</w:t>
            </w:r>
          </w:p>
        </w:tc>
        <w:tc>
          <w:tcPr>
            <w:tcW w:w="1160" w:type="pct"/>
            <w:noWrap/>
            <w:vAlign w:val="center"/>
          </w:tcPr>
          <w:p w14:paraId="5A1DBEF1" w14:textId="77777777" w:rsidR="007245CC" w:rsidRPr="00490C53" w:rsidRDefault="007245CC">
            <w:pPr>
              <w:pStyle w:val="Tabletext"/>
              <w:jc w:val="right"/>
              <w:rPr>
                <w:lang w:eastAsia="en-GB"/>
              </w:rPr>
            </w:pPr>
            <w:r w:rsidRPr="00490C53">
              <w:rPr>
                <w:rFonts w:cstheme="minorHAnsi"/>
                <w:szCs w:val="24"/>
              </w:rPr>
              <w:t>0.3%</w:t>
            </w:r>
          </w:p>
        </w:tc>
      </w:tr>
      <w:tr w:rsidR="007245CC" w:rsidRPr="00490C53" w14:paraId="401E115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B409F34" w14:textId="77777777" w:rsidR="007245CC" w:rsidRPr="00490C53" w:rsidRDefault="007245CC">
            <w:pPr>
              <w:pStyle w:val="Tabletext"/>
              <w:rPr>
                <w:lang w:eastAsia="en-GB"/>
              </w:rPr>
            </w:pPr>
          </w:p>
        </w:tc>
        <w:tc>
          <w:tcPr>
            <w:tcW w:w="1746" w:type="pct"/>
            <w:noWrap/>
            <w:vAlign w:val="top"/>
          </w:tcPr>
          <w:p w14:paraId="39287046" w14:textId="77777777" w:rsidR="007245CC" w:rsidRPr="00490C53" w:rsidRDefault="007245CC">
            <w:pPr>
              <w:pStyle w:val="Tabletext"/>
              <w:rPr>
                <w:lang w:eastAsia="en-GB"/>
              </w:rPr>
            </w:pPr>
            <w:r w:rsidRPr="00490C53">
              <w:t>London</w:t>
            </w:r>
          </w:p>
        </w:tc>
        <w:tc>
          <w:tcPr>
            <w:tcW w:w="1117" w:type="pct"/>
            <w:noWrap/>
            <w:vAlign w:val="center"/>
          </w:tcPr>
          <w:p w14:paraId="5F67F3DC" w14:textId="77777777" w:rsidR="007245CC" w:rsidRPr="00490C53" w:rsidRDefault="007245CC">
            <w:pPr>
              <w:pStyle w:val="Tabletext"/>
              <w:jc w:val="right"/>
              <w:rPr>
                <w:lang w:eastAsia="en-GB"/>
              </w:rPr>
            </w:pPr>
            <w:r w:rsidRPr="00490C53">
              <w:rPr>
                <w:rFonts w:cstheme="minorHAnsi"/>
                <w:szCs w:val="24"/>
              </w:rPr>
              <w:t>4.3%</w:t>
            </w:r>
          </w:p>
        </w:tc>
        <w:tc>
          <w:tcPr>
            <w:tcW w:w="1160" w:type="pct"/>
            <w:noWrap/>
            <w:vAlign w:val="center"/>
          </w:tcPr>
          <w:p w14:paraId="3203353C" w14:textId="77777777" w:rsidR="007245CC" w:rsidRPr="00490C53" w:rsidRDefault="007245CC">
            <w:pPr>
              <w:pStyle w:val="Tabletext"/>
              <w:jc w:val="right"/>
              <w:rPr>
                <w:lang w:eastAsia="en-GB"/>
              </w:rPr>
            </w:pPr>
            <w:r w:rsidRPr="00490C53">
              <w:rPr>
                <w:rFonts w:cstheme="minorHAnsi"/>
                <w:szCs w:val="24"/>
              </w:rPr>
              <w:t>1.0%</w:t>
            </w:r>
          </w:p>
        </w:tc>
      </w:tr>
      <w:tr w:rsidR="007245CC" w:rsidRPr="00490C53" w14:paraId="065B1DFC" w14:textId="77777777">
        <w:tblPrEx>
          <w:tblCellMar>
            <w:left w:w="108" w:type="dxa"/>
            <w:right w:w="108" w:type="dxa"/>
          </w:tblCellMar>
        </w:tblPrEx>
        <w:trPr>
          <w:trHeight w:val="290"/>
        </w:trPr>
        <w:tc>
          <w:tcPr>
            <w:tcW w:w="977" w:type="pct"/>
            <w:noWrap/>
            <w:vAlign w:val="top"/>
          </w:tcPr>
          <w:p w14:paraId="5C8D236E" w14:textId="77777777" w:rsidR="007245CC" w:rsidRPr="00490C53" w:rsidRDefault="007245CC">
            <w:pPr>
              <w:pStyle w:val="Tabletext"/>
              <w:rPr>
                <w:lang w:eastAsia="en-GB"/>
              </w:rPr>
            </w:pPr>
          </w:p>
        </w:tc>
        <w:tc>
          <w:tcPr>
            <w:tcW w:w="1746" w:type="pct"/>
            <w:noWrap/>
            <w:vAlign w:val="top"/>
          </w:tcPr>
          <w:p w14:paraId="2D951C76" w14:textId="77777777" w:rsidR="007245CC" w:rsidRPr="00490C53" w:rsidRDefault="007245CC">
            <w:pPr>
              <w:pStyle w:val="Tabletext"/>
              <w:rPr>
                <w:lang w:eastAsia="en-GB"/>
              </w:rPr>
            </w:pPr>
            <w:r w:rsidRPr="00490C53">
              <w:t>North / Yorkshire</w:t>
            </w:r>
          </w:p>
        </w:tc>
        <w:tc>
          <w:tcPr>
            <w:tcW w:w="1117" w:type="pct"/>
            <w:noWrap/>
            <w:vAlign w:val="center"/>
          </w:tcPr>
          <w:p w14:paraId="4C71AB1D" w14:textId="77777777" w:rsidR="007245CC" w:rsidRPr="00490C53" w:rsidRDefault="007245CC">
            <w:pPr>
              <w:pStyle w:val="Tabletext"/>
              <w:jc w:val="right"/>
              <w:rPr>
                <w:lang w:eastAsia="en-GB"/>
              </w:rPr>
            </w:pPr>
            <w:r w:rsidRPr="00490C53">
              <w:rPr>
                <w:rFonts w:cstheme="minorHAnsi"/>
                <w:szCs w:val="24"/>
              </w:rPr>
              <w:t>1.9%</w:t>
            </w:r>
          </w:p>
        </w:tc>
        <w:tc>
          <w:tcPr>
            <w:tcW w:w="1160" w:type="pct"/>
            <w:noWrap/>
            <w:vAlign w:val="center"/>
          </w:tcPr>
          <w:p w14:paraId="3FBE65FB"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73F7CEF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09A112E" w14:textId="77777777" w:rsidR="007245CC" w:rsidRPr="00490C53" w:rsidRDefault="007245CC">
            <w:pPr>
              <w:pStyle w:val="Tabletext"/>
              <w:rPr>
                <w:lang w:eastAsia="en-GB"/>
              </w:rPr>
            </w:pPr>
          </w:p>
        </w:tc>
        <w:tc>
          <w:tcPr>
            <w:tcW w:w="1746" w:type="pct"/>
            <w:noWrap/>
            <w:vAlign w:val="top"/>
          </w:tcPr>
          <w:p w14:paraId="6191FA3C" w14:textId="77777777" w:rsidR="007245CC" w:rsidRPr="00490C53" w:rsidRDefault="007245CC">
            <w:pPr>
              <w:pStyle w:val="Tabletext"/>
              <w:rPr>
                <w:lang w:eastAsia="en-GB"/>
              </w:rPr>
            </w:pPr>
            <w:r w:rsidRPr="00490C53">
              <w:t>Northern Ireland</w:t>
            </w:r>
          </w:p>
        </w:tc>
        <w:tc>
          <w:tcPr>
            <w:tcW w:w="1117" w:type="pct"/>
            <w:noWrap/>
            <w:vAlign w:val="center"/>
          </w:tcPr>
          <w:p w14:paraId="3839B89F" w14:textId="77777777" w:rsidR="007245CC" w:rsidRPr="00490C53" w:rsidRDefault="007245CC">
            <w:pPr>
              <w:pStyle w:val="Tabletext"/>
              <w:jc w:val="right"/>
              <w:rPr>
                <w:lang w:eastAsia="en-GB"/>
              </w:rPr>
            </w:pPr>
            <w:r w:rsidRPr="00490C53">
              <w:rPr>
                <w:rFonts w:cstheme="minorHAnsi"/>
                <w:szCs w:val="24"/>
              </w:rPr>
              <w:t>0.9%</w:t>
            </w:r>
          </w:p>
        </w:tc>
        <w:tc>
          <w:tcPr>
            <w:tcW w:w="1160" w:type="pct"/>
            <w:noWrap/>
            <w:vAlign w:val="center"/>
          </w:tcPr>
          <w:p w14:paraId="196C8A06"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52C37D66" w14:textId="77777777">
        <w:tblPrEx>
          <w:tblCellMar>
            <w:left w:w="108" w:type="dxa"/>
            <w:right w:w="108" w:type="dxa"/>
          </w:tblCellMar>
        </w:tblPrEx>
        <w:trPr>
          <w:trHeight w:val="290"/>
        </w:trPr>
        <w:tc>
          <w:tcPr>
            <w:tcW w:w="977" w:type="pct"/>
            <w:noWrap/>
            <w:vAlign w:val="top"/>
          </w:tcPr>
          <w:p w14:paraId="04CC8C57" w14:textId="77777777" w:rsidR="007245CC" w:rsidRPr="00490C53" w:rsidRDefault="007245CC">
            <w:pPr>
              <w:pStyle w:val="Tabletext"/>
              <w:rPr>
                <w:lang w:eastAsia="en-GB"/>
              </w:rPr>
            </w:pPr>
          </w:p>
        </w:tc>
        <w:tc>
          <w:tcPr>
            <w:tcW w:w="1746" w:type="pct"/>
            <w:noWrap/>
            <w:vAlign w:val="top"/>
          </w:tcPr>
          <w:p w14:paraId="3630A392" w14:textId="77777777" w:rsidR="007245CC" w:rsidRPr="00490C53" w:rsidRDefault="007245CC">
            <w:pPr>
              <w:pStyle w:val="Tabletext"/>
              <w:rPr>
                <w:lang w:eastAsia="en-GB"/>
              </w:rPr>
            </w:pPr>
            <w:r w:rsidRPr="00490C53">
              <w:t>Scotland</w:t>
            </w:r>
          </w:p>
        </w:tc>
        <w:tc>
          <w:tcPr>
            <w:tcW w:w="1117" w:type="pct"/>
            <w:noWrap/>
            <w:vAlign w:val="center"/>
          </w:tcPr>
          <w:p w14:paraId="02FFFA33" w14:textId="77777777" w:rsidR="007245CC" w:rsidRPr="00490C53" w:rsidRDefault="007245CC">
            <w:pPr>
              <w:pStyle w:val="Tabletext"/>
              <w:jc w:val="right"/>
              <w:rPr>
                <w:lang w:eastAsia="en-GB"/>
              </w:rPr>
            </w:pPr>
            <w:r w:rsidRPr="00490C53">
              <w:rPr>
                <w:rFonts w:cstheme="minorHAnsi"/>
                <w:szCs w:val="24"/>
              </w:rPr>
              <w:t>0.1%</w:t>
            </w:r>
          </w:p>
        </w:tc>
        <w:tc>
          <w:tcPr>
            <w:tcW w:w="1160" w:type="pct"/>
            <w:noWrap/>
            <w:vAlign w:val="center"/>
          </w:tcPr>
          <w:p w14:paraId="312E280E" w14:textId="77777777" w:rsidR="007245CC" w:rsidRPr="00490C53" w:rsidRDefault="007245CC">
            <w:pPr>
              <w:pStyle w:val="Tabletext"/>
              <w:jc w:val="right"/>
              <w:rPr>
                <w:lang w:eastAsia="en-GB"/>
              </w:rPr>
            </w:pPr>
            <w:r w:rsidRPr="00490C53">
              <w:rPr>
                <w:rFonts w:cstheme="minorHAnsi"/>
                <w:szCs w:val="24"/>
              </w:rPr>
              <w:t>0.3%</w:t>
            </w:r>
          </w:p>
        </w:tc>
      </w:tr>
      <w:tr w:rsidR="007245CC" w:rsidRPr="00490C53" w14:paraId="0CC1B49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0AE9A82" w14:textId="77777777" w:rsidR="007245CC" w:rsidRPr="00490C53" w:rsidRDefault="007245CC">
            <w:pPr>
              <w:pStyle w:val="Tabletext"/>
              <w:rPr>
                <w:lang w:eastAsia="en-GB"/>
              </w:rPr>
            </w:pPr>
          </w:p>
        </w:tc>
        <w:tc>
          <w:tcPr>
            <w:tcW w:w="1746" w:type="pct"/>
            <w:noWrap/>
            <w:vAlign w:val="top"/>
          </w:tcPr>
          <w:p w14:paraId="356A28A5" w14:textId="77777777" w:rsidR="007245CC" w:rsidRPr="00490C53" w:rsidRDefault="007245CC">
            <w:pPr>
              <w:pStyle w:val="Tabletext"/>
              <w:rPr>
                <w:lang w:eastAsia="en-GB"/>
              </w:rPr>
            </w:pPr>
            <w:r w:rsidRPr="00490C53">
              <w:t>South</w:t>
            </w:r>
          </w:p>
        </w:tc>
        <w:tc>
          <w:tcPr>
            <w:tcW w:w="1117" w:type="pct"/>
            <w:noWrap/>
            <w:vAlign w:val="center"/>
          </w:tcPr>
          <w:p w14:paraId="44A61D5B" w14:textId="77777777" w:rsidR="007245CC" w:rsidRPr="00490C53" w:rsidRDefault="007245CC">
            <w:pPr>
              <w:pStyle w:val="Tabletext"/>
              <w:jc w:val="right"/>
              <w:rPr>
                <w:lang w:eastAsia="en-GB"/>
              </w:rPr>
            </w:pPr>
            <w:r w:rsidRPr="00490C53">
              <w:rPr>
                <w:rFonts w:cstheme="minorHAnsi"/>
                <w:szCs w:val="24"/>
              </w:rPr>
              <w:t>0.7%</w:t>
            </w:r>
          </w:p>
        </w:tc>
        <w:tc>
          <w:tcPr>
            <w:tcW w:w="1160" w:type="pct"/>
            <w:noWrap/>
            <w:vAlign w:val="center"/>
          </w:tcPr>
          <w:p w14:paraId="33C0F69D"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526C5C33" w14:textId="77777777">
        <w:tblPrEx>
          <w:tblCellMar>
            <w:left w:w="108" w:type="dxa"/>
            <w:right w:w="108" w:type="dxa"/>
          </w:tblCellMar>
        </w:tblPrEx>
        <w:trPr>
          <w:trHeight w:val="290"/>
        </w:trPr>
        <w:tc>
          <w:tcPr>
            <w:tcW w:w="977" w:type="pct"/>
            <w:noWrap/>
            <w:vAlign w:val="top"/>
          </w:tcPr>
          <w:p w14:paraId="7E3A9AC3" w14:textId="77777777" w:rsidR="007245CC" w:rsidRPr="00490C53" w:rsidRDefault="007245CC">
            <w:pPr>
              <w:pStyle w:val="Tabletext"/>
              <w:rPr>
                <w:lang w:eastAsia="en-GB"/>
              </w:rPr>
            </w:pPr>
          </w:p>
        </w:tc>
        <w:tc>
          <w:tcPr>
            <w:tcW w:w="1746" w:type="pct"/>
            <w:noWrap/>
            <w:vAlign w:val="top"/>
          </w:tcPr>
          <w:p w14:paraId="29501FBB" w14:textId="77777777" w:rsidR="007245CC" w:rsidRPr="00490C53" w:rsidRDefault="007245CC">
            <w:pPr>
              <w:pStyle w:val="Tabletext"/>
              <w:rPr>
                <w:lang w:eastAsia="en-GB"/>
              </w:rPr>
            </w:pPr>
            <w:r w:rsidRPr="00490C53">
              <w:t>Wales</w:t>
            </w:r>
          </w:p>
        </w:tc>
        <w:tc>
          <w:tcPr>
            <w:tcW w:w="1117" w:type="pct"/>
            <w:noWrap/>
            <w:vAlign w:val="center"/>
          </w:tcPr>
          <w:p w14:paraId="01DE0A33" w14:textId="77777777" w:rsidR="007245CC" w:rsidRPr="00490C53" w:rsidRDefault="007245CC">
            <w:pPr>
              <w:pStyle w:val="Tabletext"/>
              <w:jc w:val="right"/>
              <w:rPr>
                <w:lang w:eastAsia="en-GB"/>
              </w:rPr>
            </w:pPr>
            <w:r w:rsidRPr="00490C53">
              <w:rPr>
                <w:rFonts w:cstheme="minorHAnsi"/>
                <w:szCs w:val="24"/>
              </w:rPr>
              <w:t>0.3%</w:t>
            </w:r>
          </w:p>
        </w:tc>
        <w:tc>
          <w:tcPr>
            <w:tcW w:w="1160" w:type="pct"/>
            <w:noWrap/>
            <w:vAlign w:val="center"/>
          </w:tcPr>
          <w:p w14:paraId="3E3A0205"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6DB0D92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219EDF7" w14:textId="77777777" w:rsidR="007245CC" w:rsidRPr="00490C53" w:rsidRDefault="007245CC">
            <w:pPr>
              <w:pStyle w:val="Tabletext"/>
              <w:rPr>
                <w:lang w:eastAsia="en-GB"/>
              </w:rPr>
            </w:pPr>
            <w:r w:rsidRPr="00490C53">
              <w:rPr>
                <w:b/>
                <w:bCs/>
              </w:rPr>
              <w:t>Sector</w:t>
            </w:r>
          </w:p>
        </w:tc>
        <w:tc>
          <w:tcPr>
            <w:tcW w:w="1746" w:type="pct"/>
            <w:noWrap/>
            <w:vAlign w:val="top"/>
          </w:tcPr>
          <w:p w14:paraId="57CAE39D" w14:textId="77777777" w:rsidR="007245CC" w:rsidRPr="00490C53" w:rsidRDefault="007245CC">
            <w:pPr>
              <w:pStyle w:val="Tabletext"/>
              <w:rPr>
                <w:lang w:eastAsia="en-GB"/>
              </w:rPr>
            </w:pPr>
            <w:r w:rsidRPr="00490C53">
              <w:t>Business Services</w:t>
            </w:r>
          </w:p>
        </w:tc>
        <w:tc>
          <w:tcPr>
            <w:tcW w:w="1117" w:type="pct"/>
            <w:noWrap/>
            <w:vAlign w:val="center"/>
          </w:tcPr>
          <w:p w14:paraId="1D8AD16F" w14:textId="77777777" w:rsidR="007245CC" w:rsidRPr="00490C53" w:rsidRDefault="007245CC">
            <w:pPr>
              <w:pStyle w:val="Tabletext"/>
              <w:jc w:val="right"/>
              <w:rPr>
                <w:lang w:eastAsia="en-GB"/>
              </w:rPr>
            </w:pPr>
            <w:r w:rsidRPr="00490C53">
              <w:rPr>
                <w:rFonts w:cstheme="minorHAnsi"/>
                <w:szCs w:val="24"/>
              </w:rPr>
              <w:t>17.9%</w:t>
            </w:r>
          </w:p>
        </w:tc>
        <w:tc>
          <w:tcPr>
            <w:tcW w:w="1160" w:type="pct"/>
            <w:noWrap/>
            <w:vAlign w:val="center"/>
          </w:tcPr>
          <w:p w14:paraId="7191492B" w14:textId="77777777" w:rsidR="007245CC" w:rsidRPr="00490C53" w:rsidRDefault="007245CC">
            <w:pPr>
              <w:pStyle w:val="Tabletext"/>
              <w:jc w:val="right"/>
              <w:rPr>
                <w:lang w:eastAsia="en-GB"/>
              </w:rPr>
            </w:pPr>
            <w:r w:rsidRPr="00490C53">
              <w:rPr>
                <w:rFonts w:cstheme="minorHAnsi"/>
                <w:szCs w:val="24"/>
              </w:rPr>
              <w:t>0.4%</w:t>
            </w:r>
          </w:p>
        </w:tc>
      </w:tr>
      <w:tr w:rsidR="007245CC" w:rsidRPr="00490C53" w14:paraId="419B12F7" w14:textId="77777777">
        <w:tblPrEx>
          <w:tblCellMar>
            <w:left w:w="108" w:type="dxa"/>
            <w:right w:w="108" w:type="dxa"/>
          </w:tblCellMar>
        </w:tblPrEx>
        <w:trPr>
          <w:trHeight w:val="290"/>
        </w:trPr>
        <w:tc>
          <w:tcPr>
            <w:tcW w:w="977" w:type="pct"/>
            <w:noWrap/>
            <w:vAlign w:val="top"/>
          </w:tcPr>
          <w:p w14:paraId="3487819D" w14:textId="77777777" w:rsidR="007245CC" w:rsidRPr="00490C53" w:rsidRDefault="007245CC">
            <w:pPr>
              <w:pStyle w:val="Tabletext"/>
              <w:rPr>
                <w:lang w:eastAsia="en-GB"/>
              </w:rPr>
            </w:pPr>
          </w:p>
        </w:tc>
        <w:tc>
          <w:tcPr>
            <w:tcW w:w="1746" w:type="pct"/>
            <w:noWrap/>
            <w:vAlign w:val="top"/>
          </w:tcPr>
          <w:p w14:paraId="4D8432C9" w14:textId="77777777" w:rsidR="007245CC" w:rsidRPr="00490C53" w:rsidRDefault="007245CC">
            <w:pPr>
              <w:pStyle w:val="Tabletext"/>
              <w:rPr>
                <w:lang w:eastAsia="en-GB"/>
              </w:rPr>
            </w:pPr>
            <w:r w:rsidRPr="00490C53">
              <w:t>Construction</w:t>
            </w:r>
          </w:p>
        </w:tc>
        <w:tc>
          <w:tcPr>
            <w:tcW w:w="1117" w:type="pct"/>
            <w:noWrap/>
            <w:vAlign w:val="center"/>
          </w:tcPr>
          <w:p w14:paraId="639D1F2F" w14:textId="77777777" w:rsidR="007245CC" w:rsidRPr="00490C53" w:rsidRDefault="007245CC">
            <w:pPr>
              <w:pStyle w:val="Tabletext"/>
              <w:jc w:val="right"/>
              <w:rPr>
                <w:lang w:eastAsia="en-GB"/>
              </w:rPr>
            </w:pPr>
            <w:r w:rsidRPr="00490C53">
              <w:rPr>
                <w:rFonts w:cstheme="minorHAnsi"/>
                <w:szCs w:val="24"/>
              </w:rPr>
              <w:t>7.1%</w:t>
            </w:r>
          </w:p>
        </w:tc>
        <w:tc>
          <w:tcPr>
            <w:tcW w:w="1160" w:type="pct"/>
            <w:noWrap/>
            <w:vAlign w:val="center"/>
          </w:tcPr>
          <w:p w14:paraId="1DC249EF" w14:textId="77777777" w:rsidR="007245CC" w:rsidRPr="00490C53" w:rsidRDefault="007245CC">
            <w:pPr>
              <w:pStyle w:val="Tabletext"/>
              <w:jc w:val="right"/>
              <w:rPr>
                <w:lang w:eastAsia="en-GB"/>
              </w:rPr>
            </w:pPr>
            <w:r w:rsidRPr="00490C53">
              <w:rPr>
                <w:rFonts w:cstheme="minorHAnsi"/>
                <w:szCs w:val="24"/>
              </w:rPr>
              <w:t>0.4%</w:t>
            </w:r>
          </w:p>
        </w:tc>
      </w:tr>
      <w:tr w:rsidR="007245CC" w:rsidRPr="00490C53" w14:paraId="2C22A80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5336FF5" w14:textId="77777777" w:rsidR="007245CC" w:rsidRPr="00490C53" w:rsidRDefault="007245CC">
            <w:pPr>
              <w:pStyle w:val="Tabletext"/>
              <w:rPr>
                <w:lang w:eastAsia="en-GB"/>
              </w:rPr>
            </w:pPr>
          </w:p>
        </w:tc>
        <w:tc>
          <w:tcPr>
            <w:tcW w:w="1746" w:type="pct"/>
            <w:noWrap/>
            <w:vAlign w:val="top"/>
          </w:tcPr>
          <w:p w14:paraId="515B0F3A" w14:textId="77777777" w:rsidR="007245CC" w:rsidRPr="00490C53" w:rsidRDefault="007245CC">
            <w:pPr>
              <w:pStyle w:val="Tabletext"/>
              <w:rPr>
                <w:lang w:eastAsia="en-GB"/>
              </w:rPr>
            </w:pPr>
            <w:r w:rsidRPr="00490C53">
              <w:t>Distribution</w:t>
            </w:r>
          </w:p>
        </w:tc>
        <w:tc>
          <w:tcPr>
            <w:tcW w:w="1117" w:type="pct"/>
            <w:noWrap/>
            <w:vAlign w:val="center"/>
          </w:tcPr>
          <w:p w14:paraId="2D63FC6A" w14:textId="77777777" w:rsidR="007245CC" w:rsidRPr="00490C53" w:rsidRDefault="007245CC">
            <w:pPr>
              <w:pStyle w:val="Tabletext"/>
              <w:jc w:val="right"/>
              <w:rPr>
                <w:lang w:eastAsia="en-GB"/>
              </w:rPr>
            </w:pPr>
            <w:r w:rsidRPr="00490C53">
              <w:rPr>
                <w:rFonts w:cstheme="minorHAnsi"/>
                <w:szCs w:val="24"/>
              </w:rPr>
              <w:t>7.9%</w:t>
            </w:r>
          </w:p>
        </w:tc>
        <w:tc>
          <w:tcPr>
            <w:tcW w:w="1160" w:type="pct"/>
            <w:noWrap/>
            <w:vAlign w:val="center"/>
          </w:tcPr>
          <w:p w14:paraId="6FD727E6"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5D691D4C" w14:textId="77777777">
        <w:tblPrEx>
          <w:tblCellMar>
            <w:left w:w="108" w:type="dxa"/>
            <w:right w:w="108" w:type="dxa"/>
          </w:tblCellMar>
        </w:tblPrEx>
        <w:trPr>
          <w:trHeight w:val="290"/>
        </w:trPr>
        <w:tc>
          <w:tcPr>
            <w:tcW w:w="977" w:type="pct"/>
            <w:noWrap/>
            <w:vAlign w:val="top"/>
          </w:tcPr>
          <w:p w14:paraId="4893F52C" w14:textId="77777777" w:rsidR="007245CC" w:rsidRPr="00490C53" w:rsidRDefault="007245CC">
            <w:pPr>
              <w:pStyle w:val="Tabletext"/>
              <w:rPr>
                <w:lang w:eastAsia="en-GB"/>
              </w:rPr>
            </w:pPr>
          </w:p>
        </w:tc>
        <w:tc>
          <w:tcPr>
            <w:tcW w:w="1746" w:type="pct"/>
            <w:noWrap/>
            <w:vAlign w:val="top"/>
          </w:tcPr>
          <w:p w14:paraId="6F316569" w14:textId="77777777" w:rsidR="007245CC" w:rsidRPr="00490C53" w:rsidRDefault="007245CC">
            <w:pPr>
              <w:pStyle w:val="Tabletext"/>
              <w:rPr>
                <w:lang w:eastAsia="en-GB"/>
              </w:rPr>
            </w:pPr>
            <w:r w:rsidRPr="00490C53">
              <w:t>Other Services</w:t>
            </w:r>
          </w:p>
        </w:tc>
        <w:tc>
          <w:tcPr>
            <w:tcW w:w="1117" w:type="pct"/>
            <w:noWrap/>
            <w:vAlign w:val="center"/>
          </w:tcPr>
          <w:p w14:paraId="550C5179" w14:textId="77777777" w:rsidR="007245CC" w:rsidRPr="00490C53" w:rsidRDefault="007245CC">
            <w:pPr>
              <w:pStyle w:val="Tabletext"/>
              <w:jc w:val="right"/>
              <w:rPr>
                <w:lang w:eastAsia="en-GB"/>
              </w:rPr>
            </w:pPr>
            <w:r w:rsidRPr="00490C53">
              <w:rPr>
                <w:rFonts w:cstheme="minorHAnsi"/>
                <w:szCs w:val="24"/>
              </w:rPr>
              <w:t>0.3%</w:t>
            </w:r>
          </w:p>
        </w:tc>
        <w:tc>
          <w:tcPr>
            <w:tcW w:w="1160" w:type="pct"/>
            <w:noWrap/>
            <w:vAlign w:val="center"/>
          </w:tcPr>
          <w:p w14:paraId="549E7130" w14:textId="77777777" w:rsidR="007245CC" w:rsidRPr="00490C53" w:rsidRDefault="007245CC">
            <w:pPr>
              <w:pStyle w:val="Tabletext"/>
              <w:jc w:val="right"/>
              <w:rPr>
                <w:lang w:eastAsia="en-GB"/>
              </w:rPr>
            </w:pPr>
            <w:r w:rsidRPr="00490C53">
              <w:rPr>
                <w:rFonts w:cstheme="minorHAnsi"/>
                <w:szCs w:val="24"/>
              </w:rPr>
              <w:t>0.4%</w:t>
            </w:r>
          </w:p>
        </w:tc>
      </w:tr>
      <w:tr w:rsidR="007245CC" w:rsidRPr="00490C53" w14:paraId="7F81159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495C4CD" w14:textId="77777777" w:rsidR="007245CC" w:rsidRPr="00490C53" w:rsidRDefault="007245CC">
            <w:pPr>
              <w:pStyle w:val="Tabletext"/>
              <w:rPr>
                <w:lang w:eastAsia="en-GB"/>
              </w:rPr>
            </w:pPr>
          </w:p>
        </w:tc>
        <w:tc>
          <w:tcPr>
            <w:tcW w:w="1746" w:type="pct"/>
            <w:noWrap/>
            <w:vAlign w:val="top"/>
          </w:tcPr>
          <w:p w14:paraId="20ABBE4C" w14:textId="77777777" w:rsidR="007245CC" w:rsidRPr="00490C53" w:rsidRDefault="007245CC">
            <w:pPr>
              <w:pStyle w:val="Tabletext"/>
              <w:rPr>
                <w:lang w:eastAsia="en-GB"/>
              </w:rPr>
            </w:pPr>
            <w:r w:rsidRPr="00490C53">
              <w:t>Primary/Manufacturing</w:t>
            </w:r>
          </w:p>
        </w:tc>
        <w:tc>
          <w:tcPr>
            <w:tcW w:w="1117" w:type="pct"/>
            <w:noWrap/>
            <w:vAlign w:val="center"/>
          </w:tcPr>
          <w:p w14:paraId="77B02A92" w14:textId="77777777" w:rsidR="007245CC" w:rsidRPr="00490C53" w:rsidRDefault="007245CC">
            <w:pPr>
              <w:pStyle w:val="Tabletext"/>
              <w:jc w:val="right"/>
              <w:rPr>
                <w:lang w:eastAsia="en-GB"/>
              </w:rPr>
            </w:pPr>
            <w:r w:rsidRPr="00490C53">
              <w:rPr>
                <w:rFonts w:cstheme="minorHAnsi"/>
                <w:szCs w:val="24"/>
              </w:rPr>
              <w:t>3.4%</w:t>
            </w:r>
          </w:p>
        </w:tc>
        <w:tc>
          <w:tcPr>
            <w:tcW w:w="1160" w:type="pct"/>
            <w:noWrap/>
            <w:vAlign w:val="center"/>
          </w:tcPr>
          <w:p w14:paraId="3C5E0F63"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73CCD653" w14:textId="77777777">
        <w:tblPrEx>
          <w:tblCellMar>
            <w:left w:w="108" w:type="dxa"/>
            <w:right w:w="108" w:type="dxa"/>
          </w:tblCellMar>
        </w:tblPrEx>
        <w:trPr>
          <w:trHeight w:val="290"/>
        </w:trPr>
        <w:tc>
          <w:tcPr>
            <w:tcW w:w="977" w:type="pct"/>
            <w:noWrap/>
            <w:vAlign w:val="top"/>
          </w:tcPr>
          <w:p w14:paraId="16272146" w14:textId="77777777" w:rsidR="007245CC" w:rsidRPr="00490C53" w:rsidRDefault="007245CC">
            <w:pPr>
              <w:pStyle w:val="Tabletext"/>
              <w:rPr>
                <w:lang w:eastAsia="en-GB"/>
              </w:rPr>
            </w:pPr>
            <w:r w:rsidRPr="00490C53">
              <w:rPr>
                <w:b/>
                <w:bCs/>
              </w:rPr>
              <w:t>Turnover growth 2017/2018</w:t>
            </w:r>
          </w:p>
        </w:tc>
        <w:tc>
          <w:tcPr>
            <w:tcW w:w="1746" w:type="pct"/>
            <w:noWrap/>
            <w:vAlign w:val="top"/>
          </w:tcPr>
          <w:p w14:paraId="76342A02" w14:textId="77777777" w:rsidR="007245CC" w:rsidRPr="00490C53" w:rsidRDefault="007245CC">
            <w:pPr>
              <w:pStyle w:val="Tabletext"/>
              <w:rPr>
                <w:lang w:eastAsia="en-GB"/>
              </w:rPr>
            </w:pPr>
            <w:r w:rsidRPr="00490C53">
              <w:t>Decrease of more than 50%</w:t>
            </w:r>
          </w:p>
        </w:tc>
        <w:tc>
          <w:tcPr>
            <w:tcW w:w="1117" w:type="pct"/>
            <w:noWrap/>
            <w:vAlign w:val="center"/>
          </w:tcPr>
          <w:p w14:paraId="4A3C75AE" w14:textId="77777777" w:rsidR="007245CC" w:rsidRPr="00490C53" w:rsidRDefault="007245CC">
            <w:pPr>
              <w:pStyle w:val="Tabletext"/>
              <w:jc w:val="right"/>
              <w:rPr>
                <w:lang w:eastAsia="en-GB"/>
              </w:rPr>
            </w:pPr>
            <w:r w:rsidRPr="00490C53">
              <w:rPr>
                <w:rFonts w:cstheme="minorHAnsi"/>
                <w:szCs w:val="24"/>
              </w:rPr>
              <w:t>2.4%</w:t>
            </w:r>
          </w:p>
        </w:tc>
        <w:tc>
          <w:tcPr>
            <w:tcW w:w="1160" w:type="pct"/>
            <w:noWrap/>
            <w:vAlign w:val="center"/>
          </w:tcPr>
          <w:p w14:paraId="0C7B5DDE"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5FD6865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144735B3" w14:textId="77777777" w:rsidR="007245CC" w:rsidRPr="00490C53" w:rsidRDefault="007245CC">
            <w:pPr>
              <w:pStyle w:val="Tabletext"/>
              <w:rPr>
                <w:lang w:eastAsia="en-GB"/>
              </w:rPr>
            </w:pPr>
          </w:p>
        </w:tc>
        <w:tc>
          <w:tcPr>
            <w:tcW w:w="1746" w:type="pct"/>
            <w:noWrap/>
            <w:vAlign w:val="top"/>
          </w:tcPr>
          <w:p w14:paraId="0AE3DE23" w14:textId="77777777" w:rsidR="007245CC" w:rsidRPr="00490C53" w:rsidRDefault="007245CC">
            <w:pPr>
              <w:pStyle w:val="Tabletext"/>
              <w:rPr>
                <w:lang w:eastAsia="en-GB"/>
              </w:rPr>
            </w:pPr>
            <w:r w:rsidRPr="00490C53">
              <w:t>Decrease of between 25% and 50%</w:t>
            </w:r>
          </w:p>
        </w:tc>
        <w:tc>
          <w:tcPr>
            <w:tcW w:w="1117" w:type="pct"/>
            <w:noWrap/>
            <w:vAlign w:val="center"/>
          </w:tcPr>
          <w:p w14:paraId="62CD8A7A" w14:textId="77777777" w:rsidR="007245CC" w:rsidRPr="00490C53" w:rsidRDefault="007245CC">
            <w:pPr>
              <w:pStyle w:val="Tabletext"/>
              <w:jc w:val="right"/>
              <w:rPr>
                <w:lang w:eastAsia="en-GB"/>
              </w:rPr>
            </w:pPr>
            <w:r w:rsidRPr="00490C53">
              <w:rPr>
                <w:rFonts w:cstheme="minorHAnsi"/>
                <w:szCs w:val="24"/>
              </w:rPr>
              <w:t>0.7%</w:t>
            </w:r>
          </w:p>
        </w:tc>
        <w:tc>
          <w:tcPr>
            <w:tcW w:w="1160" w:type="pct"/>
            <w:noWrap/>
            <w:vAlign w:val="center"/>
          </w:tcPr>
          <w:p w14:paraId="02465925"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249A1991" w14:textId="77777777">
        <w:tblPrEx>
          <w:tblCellMar>
            <w:left w:w="108" w:type="dxa"/>
            <w:right w:w="108" w:type="dxa"/>
          </w:tblCellMar>
        </w:tblPrEx>
        <w:trPr>
          <w:trHeight w:val="290"/>
        </w:trPr>
        <w:tc>
          <w:tcPr>
            <w:tcW w:w="977" w:type="pct"/>
            <w:noWrap/>
            <w:vAlign w:val="top"/>
          </w:tcPr>
          <w:p w14:paraId="43ED2774" w14:textId="77777777" w:rsidR="007245CC" w:rsidRPr="00490C53" w:rsidRDefault="007245CC">
            <w:pPr>
              <w:pStyle w:val="Tabletext"/>
              <w:rPr>
                <w:lang w:eastAsia="en-GB"/>
              </w:rPr>
            </w:pPr>
          </w:p>
        </w:tc>
        <w:tc>
          <w:tcPr>
            <w:tcW w:w="1746" w:type="pct"/>
            <w:noWrap/>
            <w:vAlign w:val="top"/>
          </w:tcPr>
          <w:p w14:paraId="7C0F682D" w14:textId="77777777" w:rsidR="007245CC" w:rsidRPr="00490C53" w:rsidRDefault="007245CC">
            <w:pPr>
              <w:pStyle w:val="Tabletext"/>
              <w:rPr>
                <w:lang w:eastAsia="en-GB"/>
              </w:rPr>
            </w:pPr>
            <w:r w:rsidRPr="00490C53">
              <w:t>Decrease of between 10% and 25%</w:t>
            </w:r>
          </w:p>
        </w:tc>
        <w:tc>
          <w:tcPr>
            <w:tcW w:w="1117" w:type="pct"/>
            <w:noWrap/>
            <w:vAlign w:val="center"/>
          </w:tcPr>
          <w:p w14:paraId="761C7AC9" w14:textId="77777777" w:rsidR="007245CC" w:rsidRPr="00490C53" w:rsidRDefault="007245CC">
            <w:pPr>
              <w:pStyle w:val="Tabletext"/>
              <w:jc w:val="right"/>
              <w:rPr>
                <w:lang w:eastAsia="en-GB"/>
              </w:rPr>
            </w:pPr>
            <w:r w:rsidRPr="00490C53">
              <w:rPr>
                <w:rFonts w:cstheme="minorHAnsi"/>
                <w:szCs w:val="24"/>
              </w:rPr>
              <w:t>2.0%</w:t>
            </w:r>
          </w:p>
        </w:tc>
        <w:tc>
          <w:tcPr>
            <w:tcW w:w="1160" w:type="pct"/>
            <w:noWrap/>
            <w:vAlign w:val="center"/>
          </w:tcPr>
          <w:p w14:paraId="3D9F5559"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693F704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6D3882C" w14:textId="77777777" w:rsidR="007245CC" w:rsidRPr="00490C53" w:rsidRDefault="007245CC">
            <w:pPr>
              <w:pStyle w:val="Tabletext"/>
              <w:rPr>
                <w:lang w:eastAsia="en-GB"/>
              </w:rPr>
            </w:pPr>
          </w:p>
        </w:tc>
        <w:tc>
          <w:tcPr>
            <w:tcW w:w="1746" w:type="pct"/>
            <w:noWrap/>
            <w:vAlign w:val="top"/>
          </w:tcPr>
          <w:p w14:paraId="3C1BD82D" w14:textId="77777777" w:rsidR="007245CC" w:rsidRPr="00490C53" w:rsidRDefault="007245CC">
            <w:pPr>
              <w:pStyle w:val="Tabletext"/>
              <w:rPr>
                <w:lang w:eastAsia="en-GB"/>
              </w:rPr>
            </w:pPr>
            <w:r w:rsidRPr="00490C53">
              <w:t>Decrease of less than 10%</w:t>
            </w:r>
          </w:p>
        </w:tc>
        <w:tc>
          <w:tcPr>
            <w:tcW w:w="1117" w:type="pct"/>
            <w:noWrap/>
            <w:vAlign w:val="center"/>
          </w:tcPr>
          <w:p w14:paraId="1341082C" w14:textId="77777777" w:rsidR="007245CC" w:rsidRPr="00490C53" w:rsidRDefault="007245CC">
            <w:pPr>
              <w:pStyle w:val="Tabletext"/>
              <w:jc w:val="right"/>
              <w:rPr>
                <w:lang w:eastAsia="en-GB"/>
              </w:rPr>
            </w:pPr>
            <w:r w:rsidRPr="00490C53">
              <w:rPr>
                <w:rFonts w:cstheme="minorHAnsi"/>
                <w:szCs w:val="24"/>
              </w:rPr>
              <w:t>3.4%</w:t>
            </w:r>
          </w:p>
        </w:tc>
        <w:tc>
          <w:tcPr>
            <w:tcW w:w="1160" w:type="pct"/>
            <w:noWrap/>
            <w:vAlign w:val="center"/>
          </w:tcPr>
          <w:p w14:paraId="40E340F3"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6AB80A92" w14:textId="77777777">
        <w:tblPrEx>
          <w:tblCellMar>
            <w:left w:w="108" w:type="dxa"/>
            <w:right w:w="108" w:type="dxa"/>
          </w:tblCellMar>
        </w:tblPrEx>
        <w:trPr>
          <w:trHeight w:val="290"/>
        </w:trPr>
        <w:tc>
          <w:tcPr>
            <w:tcW w:w="977" w:type="pct"/>
            <w:noWrap/>
            <w:vAlign w:val="top"/>
          </w:tcPr>
          <w:p w14:paraId="41C286D8" w14:textId="77777777" w:rsidR="007245CC" w:rsidRPr="00490C53" w:rsidRDefault="007245CC">
            <w:pPr>
              <w:pStyle w:val="Tabletext"/>
              <w:rPr>
                <w:lang w:eastAsia="en-GB"/>
              </w:rPr>
            </w:pPr>
          </w:p>
        </w:tc>
        <w:tc>
          <w:tcPr>
            <w:tcW w:w="1746" w:type="pct"/>
            <w:noWrap/>
            <w:vAlign w:val="top"/>
          </w:tcPr>
          <w:p w14:paraId="5EBBD167" w14:textId="77777777" w:rsidR="007245CC" w:rsidRPr="00490C53" w:rsidRDefault="007245CC">
            <w:pPr>
              <w:pStyle w:val="Tabletext"/>
              <w:rPr>
                <w:lang w:eastAsia="en-GB"/>
              </w:rPr>
            </w:pPr>
            <w:r w:rsidRPr="00490C53">
              <w:t>Increase of less than 5%</w:t>
            </w:r>
          </w:p>
        </w:tc>
        <w:tc>
          <w:tcPr>
            <w:tcW w:w="1117" w:type="pct"/>
            <w:noWrap/>
            <w:vAlign w:val="center"/>
          </w:tcPr>
          <w:p w14:paraId="665D3A73" w14:textId="77777777" w:rsidR="007245CC" w:rsidRPr="00490C53" w:rsidRDefault="007245CC">
            <w:pPr>
              <w:pStyle w:val="Tabletext"/>
              <w:jc w:val="right"/>
              <w:rPr>
                <w:lang w:eastAsia="en-GB"/>
              </w:rPr>
            </w:pPr>
            <w:r w:rsidRPr="00490C53">
              <w:rPr>
                <w:rFonts w:cstheme="minorHAnsi"/>
                <w:szCs w:val="24"/>
              </w:rPr>
              <w:t>20.3%</w:t>
            </w:r>
          </w:p>
        </w:tc>
        <w:tc>
          <w:tcPr>
            <w:tcW w:w="1160" w:type="pct"/>
            <w:noWrap/>
            <w:vAlign w:val="center"/>
          </w:tcPr>
          <w:p w14:paraId="21984C69" w14:textId="77777777" w:rsidR="007245CC" w:rsidRPr="00490C53" w:rsidRDefault="007245CC">
            <w:pPr>
              <w:pStyle w:val="Tabletext"/>
              <w:jc w:val="right"/>
              <w:rPr>
                <w:lang w:eastAsia="en-GB"/>
              </w:rPr>
            </w:pPr>
            <w:r w:rsidRPr="00490C53">
              <w:rPr>
                <w:rFonts w:cstheme="minorHAnsi"/>
                <w:szCs w:val="24"/>
              </w:rPr>
              <w:t>0.7%</w:t>
            </w:r>
          </w:p>
        </w:tc>
      </w:tr>
      <w:tr w:rsidR="007245CC" w:rsidRPr="00490C53" w14:paraId="21C1D28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17A663F" w14:textId="77777777" w:rsidR="007245CC" w:rsidRPr="00490C53" w:rsidRDefault="007245CC">
            <w:pPr>
              <w:pStyle w:val="Tabletext"/>
              <w:rPr>
                <w:lang w:eastAsia="en-GB"/>
              </w:rPr>
            </w:pPr>
          </w:p>
        </w:tc>
        <w:tc>
          <w:tcPr>
            <w:tcW w:w="1746" w:type="pct"/>
            <w:noWrap/>
            <w:vAlign w:val="top"/>
          </w:tcPr>
          <w:p w14:paraId="3FB1453F" w14:textId="77777777" w:rsidR="007245CC" w:rsidRPr="00490C53" w:rsidRDefault="007245CC">
            <w:pPr>
              <w:pStyle w:val="Tabletext"/>
              <w:rPr>
                <w:lang w:eastAsia="en-GB"/>
              </w:rPr>
            </w:pPr>
            <w:r w:rsidRPr="00490C53">
              <w:t>Increase of between 5% and 25%</w:t>
            </w:r>
          </w:p>
        </w:tc>
        <w:tc>
          <w:tcPr>
            <w:tcW w:w="1117" w:type="pct"/>
            <w:noWrap/>
            <w:vAlign w:val="center"/>
          </w:tcPr>
          <w:p w14:paraId="0EBA4ADF" w14:textId="77777777" w:rsidR="007245CC" w:rsidRPr="00490C53" w:rsidRDefault="007245CC">
            <w:pPr>
              <w:pStyle w:val="Tabletext"/>
              <w:jc w:val="right"/>
              <w:rPr>
                <w:lang w:eastAsia="en-GB"/>
              </w:rPr>
            </w:pPr>
            <w:r w:rsidRPr="00490C53">
              <w:rPr>
                <w:rFonts w:cstheme="minorHAnsi"/>
                <w:szCs w:val="24"/>
              </w:rPr>
              <w:t>8.7%</w:t>
            </w:r>
          </w:p>
        </w:tc>
        <w:tc>
          <w:tcPr>
            <w:tcW w:w="1160" w:type="pct"/>
            <w:noWrap/>
            <w:vAlign w:val="center"/>
          </w:tcPr>
          <w:p w14:paraId="1BD6FD58" w14:textId="77777777" w:rsidR="007245CC" w:rsidRPr="00490C53" w:rsidRDefault="007245CC">
            <w:pPr>
              <w:pStyle w:val="Tabletext"/>
              <w:jc w:val="right"/>
              <w:rPr>
                <w:lang w:eastAsia="en-GB"/>
              </w:rPr>
            </w:pPr>
            <w:r w:rsidRPr="00490C53">
              <w:rPr>
                <w:rFonts w:cstheme="minorHAnsi"/>
                <w:szCs w:val="24"/>
              </w:rPr>
              <w:t>0.3%</w:t>
            </w:r>
          </w:p>
        </w:tc>
      </w:tr>
      <w:tr w:rsidR="007245CC" w:rsidRPr="00490C53" w14:paraId="3FC11DF7" w14:textId="77777777">
        <w:tblPrEx>
          <w:tblCellMar>
            <w:left w:w="108" w:type="dxa"/>
            <w:right w:w="108" w:type="dxa"/>
          </w:tblCellMar>
        </w:tblPrEx>
        <w:trPr>
          <w:trHeight w:val="290"/>
        </w:trPr>
        <w:tc>
          <w:tcPr>
            <w:tcW w:w="977" w:type="pct"/>
            <w:noWrap/>
            <w:vAlign w:val="top"/>
          </w:tcPr>
          <w:p w14:paraId="23B5D89D" w14:textId="77777777" w:rsidR="007245CC" w:rsidRPr="00490C53" w:rsidRDefault="007245CC">
            <w:pPr>
              <w:pStyle w:val="Tabletext"/>
              <w:rPr>
                <w:lang w:eastAsia="en-GB"/>
              </w:rPr>
            </w:pPr>
          </w:p>
        </w:tc>
        <w:tc>
          <w:tcPr>
            <w:tcW w:w="1746" w:type="pct"/>
            <w:noWrap/>
            <w:vAlign w:val="top"/>
          </w:tcPr>
          <w:p w14:paraId="1243BD87" w14:textId="77777777" w:rsidR="007245CC" w:rsidRPr="00490C53" w:rsidRDefault="007245CC">
            <w:pPr>
              <w:pStyle w:val="Tabletext"/>
              <w:rPr>
                <w:lang w:eastAsia="en-GB"/>
              </w:rPr>
            </w:pPr>
            <w:r w:rsidRPr="00490C53">
              <w:t>Increase of between 25% and 50%</w:t>
            </w:r>
          </w:p>
        </w:tc>
        <w:tc>
          <w:tcPr>
            <w:tcW w:w="1117" w:type="pct"/>
            <w:noWrap/>
            <w:vAlign w:val="center"/>
          </w:tcPr>
          <w:p w14:paraId="4BCAAA40" w14:textId="77777777" w:rsidR="007245CC" w:rsidRPr="00490C53" w:rsidRDefault="007245CC">
            <w:pPr>
              <w:pStyle w:val="Tabletext"/>
              <w:jc w:val="right"/>
              <w:rPr>
                <w:lang w:eastAsia="en-GB"/>
              </w:rPr>
            </w:pPr>
            <w:r w:rsidRPr="00490C53">
              <w:rPr>
                <w:rFonts w:cstheme="minorHAnsi"/>
                <w:szCs w:val="24"/>
              </w:rPr>
              <w:t>4.4%</w:t>
            </w:r>
          </w:p>
        </w:tc>
        <w:tc>
          <w:tcPr>
            <w:tcW w:w="1160" w:type="pct"/>
            <w:noWrap/>
            <w:vAlign w:val="center"/>
          </w:tcPr>
          <w:p w14:paraId="38F23AA8"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6165EEF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EA76BE3" w14:textId="77777777" w:rsidR="007245CC" w:rsidRPr="00490C53" w:rsidRDefault="007245CC">
            <w:pPr>
              <w:pStyle w:val="Tabletext"/>
              <w:rPr>
                <w:lang w:eastAsia="en-GB"/>
              </w:rPr>
            </w:pPr>
          </w:p>
        </w:tc>
        <w:tc>
          <w:tcPr>
            <w:tcW w:w="1746" w:type="pct"/>
            <w:noWrap/>
            <w:vAlign w:val="top"/>
          </w:tcPr>
          <w:p w14:paraId="27E2D788" w14:textId="77777777" w:rsidR="007245CC" w:rsidRPr="00490C53" w:rsidRDefault="007245CC">
            <w:pPr>
              <w:pStyle w:val="Tabletext"/>
              <w:rPr>
                <w:lang w:eastAsia="en-GB"/>
              </w:rPr>
            </w:pPr>
            <w:r w:rsidRPr="00490C53">
              <w:t>Increase of more than 50%</w:t>
            </w:r>
          </w:p>
        </w:tc>
        <w:tc>
          <w:tcPr>
            <w:tcW w:w="1117" w:type="pct"/>
            <w:noWrap/>
            <w:vAlign w:val="center"/>
          </w:tcPr>
          <w:p w14:paraId="44733DD2" w14:textId="77777777" w:rsidR="007245CC" w:rsidRPr="00490C53" w:rsidRDefault="007245CC">
            <w:pPr>
              <w:pStyle w:val="Tabletext"/>
              <w:jc w:val="right"/>
              <w:rPr>
                <w:lang w:eastAsia="en-GB"/>
              </w:rPr>
            </w:pPr>
            <w:r w:rsidRPr="00490C53">
              <w:rPr>
                <w:rFonts w:cstheme="minorHAnsi"/>
                <w:szCs w:val="24"/>
              </w:rPr>
              <w:t>4.8%</w:t>
            </w:r>
          </w:p>
        </w:tc>
        <w:tc>
          <w:tcPr>
            <w:tcW w:w="1160" w:type="pct"/>
            <w:noWrap/>
            <w:vAlign w:val="center"/>
          </w:tcPr>
          <w:p w14:paraId="14176AB9"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2F8D7CA5" w14:textId="77777777">
        <w:tblPrEx>
          <w:tblCellMar>
            <w:left w:w="108" w:type="dxa"/>
            <w:right w:w="108" w:type="dxa"/>
          </w:tblCellMar>
        </w:tblPrEx>
        <w:trPr>
          <w:trHeight w:val="290"/>
        </w:trPr>
        <w:tc>
          <w:tcPr>
            <w:tcW w:w="977" w:type="pct"/>
            <w:noWrap/>
            <w:vAlign w:val="top"/>
          </w:tcPr>
          <w:p w14:paraId="1E8E00BB" w14:textId="77777777" w:rsidR="007245CC" w:rsidRPr="00490C53" w:rsidRDefault="007245CC">
            <w:pPr>
              <w:pStyle w:val="Tabletext"/>
              <w:rPr>
                <w:lang w:eastAsia="en-GB"/>
              </w:rPr>
            </w:pPr>
            <w:r w:rsidRPr="00490C53">
              <w:rPr>
                <w:b/>
                <w:bCs/>
              </w:rPr>
              <w:t>Turnover growth 2018/2019</w:t>
            </w:r>
          </w:p>
        </w:tc>
        <w:tc>
          <w:tcPr>
            <w:tcW w:w="1746" w:type="pct"/>
            <w:noWrap/>
            <w:vAlign w:val="top"/>
          </w:tcPr>
          <w:p w14:paraId="48BECED7" w14:textId="77777777" w:rsidR="007245CC" w:rsidRPr="00490C53" w:rsidRDefault="007245CC">
            <w:pPr>
              <w:pStyle w:val="Tabletext"/>
              <w:rPr>
                <w:lang w:eastAsia="en-GB"/>
              </w:rPr>
            </w:pPr>
            <w:r w:rsidRPr="00490C53">
              <w:t>Decrease of more than 50%</w:t>
            </w:r>
          </w:p>
        </w:tc>
        <w:tc>
          <w:tcPr>
            <w:tcW w:w="1117" w:type="pct"/>
            <w:noWrap/>
            <w:vAlign w:val="center"/>
          </w:tcPr>
          <w:p w14:paraId="5B11DDD4" w14:textId="77777777" w:rsidR="007245CC" w:rsidRPr="00490C53" w:rsidRDefault="007245CC">
            <w:pPr>
              <w:pStyle w:val="Tabletext"/>
              <w:jc w:val="right"/>
              <w:rPr>
                <w:lang w:eastAsia="en-GB"/>
              </w:rPr>
            </w:pPr>
            <w:r w:rsidRPr="00490C53">
              <w:rPr>
                <w:rFonts w:cstheme="minorHAnsi"/>
                <w:szCs w:val="24"/>
              </w:rPr>
              <w:t>1.4%</w:t>
            </w:r>
          </w:p>
        </w:tc>
        <w:tc>
          <w:tcPr>
            <w:tcW w:w="1160" w:type="pct"/>
            <w:noWrap/>
            <w:vAlign w:val="center"/>
          </w:tcPr>
          <w:p w14:paraId="5777F20B" w14:textId="77777777" w:rsidR="007245CC" w:rsidRPr="00490C53" w:rsidRDefault="007245CC">
            <w:pPr>
              <w:pStyle w:val="Tabletext"/>
              <w:jc w:val="right"/>
              <w:rPr>
                <w:lang w:eastAsia="en-GB"/>
              </w:rPr>
            </w:pPr>
            <w:r w:rsidRPr="00490C53">
              <w:rPr>
                <w:rFonts w:cstheme="minorHAnsi"/>
                <w:szCs w:val="24"/>
              </w:rPr>
              <w:t>0.3%</w:t>
            </w:r>
          </w:p>
        </w:tc>
      </w:tr>
      <w:tr w:rsidR="007245CC" w:rsidRPr="00490C53" w14:paraId="7EB7B1A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1F387F4" w14:textId="77777777" w:rsidR="007245CC" w:rsidRPr="00490C53" w:rsidRDefault="007245CC">
            <w:pPr>
              <w:pStyle w:val="Tabletext"/>
              <w:rPr>
                <w:lang w:eastAsia="en-GB"/>
              </w:rPr>
            </w:pPr>
          </w:p>
        </w:tc>
        <w:tc>
          <w:tcPr>
            <w:tcW w:w="1746" w:type="pct"/>
            <w:noWrap/>
            <w:vAlign w:val="top"/>
          </w:tcPr>
          <w:p w14:paraId="56B37674" w14:textId="77777777" w:rsidR="007245CC" w:rsidRPr="00490C53" w:rsidRDefault="007245CC">
            <w:pPr>
              <w:pStyle w:val="Tabletext"/>
              <w:rPr>
                <w:lang w:eastAsia="en-GB"/>
              </w:rPr>
            </w:pPr>
            <w:r w:rsidRPr="00490C53">
              <w:t>Decrease of between 25% and 50%</w:t>
            </w:r>
          </w:p>
        </w:tc>
        <w:tc>
          <w:tcPr>
            <w:tcW w:w="1117" w:type="pct"/>
            <w:noWrap/>
            <w:vAlign w:val="center"/>
          </w:tcPr>
          <w:p w14:paraId="3DD41FAD" w14:textId="77777777" w:rsidR="007245CC" w:rsidRPr="00490C53" w:rsidRDefault="007245CC">
            <w:pPr>
              <w:pStyle w:val="Tabletext"/>
              <w:jc w:val="right"/>
              <w:rPr>
                <w:lang w:eastAsia="en-GB"/>
              </w:rPr>
            </w:pPr>
            <w:r w:rsidRPr="00490C53">
              <w:rPr>
                <w:rFonts w:cstheme="minorHAnsi"/>
                <w:szCs w:val="24"/>
              </w:rPr>
              <w:t>0.8%</w:t>
            </w:r>
          </w:p>
        </w:tc>
        <w:tc>
          <w:tcPr>
            <w:tcW w:w="1160" w:type="pct"/>
            <w:noWrap/>
            <w:vAlign w:val="center"/>
          </w:tcPr>
          <w:p w14:paraId="0DCFFA08"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59821A26" w14:textId="77777777">
        <w:tblPrEx>
          <w:tblCellMar>
            <w:left w:w="108" w:type="dxa"/>
            <w:right w:w="108" w:type="dxa"/>
          </w:tblCellMar>
        </w:tblPrEx>
        <w:trPr>
          <w:trHeight w:val="290"/>
        </w:trPr>
        <w:tc>
          <w:tcPr>
            <w:tcW w:w="977" w:type="pct"/>
            <w:noWrap/>
            <w:vAlign w:val="top"/>
          </w:tcPr>
          <w:p w14:paraId="6826A4E9" w14:textId="77777777" w:rsidR="007245CC" w:rsidRPr="00490C53" w:rsidRDefault="007245CC">
            <w:pPr>
              <w:pStyle w:val="Tabletext"/>
              <w:rPr>
                <w:lang w:eastAsia="en-GB"/>
              </w:rPr>
            </w:pPr>
          </w:p>
        </w:tc>
        <w:tc>
          <w:tcPr>
            <w:tcW w:w="1746" w:type="pct"/>
            <w:noWrap/>
            <w:vAlign w:val="top"/>
          </w:tcPr>
          <w:p w14:paraId="2D9171A9" w14:textId="77777777" w:rsidR="007245CC" w:rsidRPr="00490C53" w:rsidRDefault="007245CC">
            <w:pPr>
              <w:pStyle w:val="Tabletext"/>
              <w:rPr>
                <w:lang w:eastAsia="en-GB"/>
              </w:rPr>
            </w:pPr>
            <w:r w:rsidRPr="00490C53">
              <w:t>Decrease of between 10% and 25%</w:t>
            </w:r>
          </w:p>
        </w:tc>
        <w:tc>
          <w:tcPr>
            <w:tcW w:w="1117" w:type="pct"/>
            <w:noWrap/>
            <w:vAlign w:val="center"/>
          </w:tcPr>
          <w:p w14:paraId="3FC23344" w14:textId="77777777" w:rsidR="007245CC" w:rsidRPr="00490C53" w:rsidRDefault="007245CC">
            <w:pPr>
              <w:pStyle w:val="Tabletext"/>
              <w:jc w:val="right"/>
              <w:rPr>
                <w:lang w:eastAsia="en-GB"/>
              </w:rPr>
            </w:pPr>
            <w:r w:rsidRPr="00490C53">
              <w:rPr>
                <w:rFonts w:cstheme="minorHAnsi"/>
                <w:szCs w:val="24"/>
              </w:rPr>
              <w:t>3.3%</w:t>
            </w:r>
          </w:p>
        </w:tc>
        <w:tc>
          <w:tcPr>
            <w:tcW w:w="1160" w:type="pct"/>
            <w:noWrap/>
            <w:vAlign w:val="center"/>
          </w:tcPr>
          <w:p w14:paraId="18358D80"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56B55A2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F321BEA" w14:textId="77777777" w:rsidR="007245CC" w:rsidRPr="00490C53" w:rsidRDefault="007245CC">
            <w:pPr>
              <w:pStyle w:val="Tabletext"/>
              <w:rPr>
                <w:lang w:eastAsia="en-GB"/>
              </w:rPr>
            </w:pPr>
          </w:p>
        </w:tc>
        <w:tc>
          <w:tcPr>
            <w:tcW w:w="1746" w:type="pct"/>
            <w:noWrap/>
            <w:vAlign w:val="top"/>
          </w:tcPr>
          <w:p w14:paraId="7065C05D" w14:textId="77777777" w:rsidR="007245CC" w:rsidRPr="00490C53" w:rsidRDefault="007245CC">
            <w:pPr>
              <w:pStyle w:val="Tabletext"/>
              <w:rPr>
                <w:lang w:eastAsia="en-GB"/>
              </w:rPr>
            </w:pPr>
            <w:r w:rsidRPr="00490C53">
              <w:t>Decrease of less than 10%</w:t>
            </w:r>
          </w:p>
        </w:tc>
        <w:tc>
          <w:tcPr>
            <w:tcW w:w="1117" w:type="pct"/>
            <w:noWrap/>
            <w:vAlign w:val="center"/>
          </w:tcPr>
          <w:p w14:paraId="0A91A068" w14:textId="77777777" w:rsidR="007245CC" w:rsidRPr="00490C53" w:rsidRDefault="007245CC">
            <w:pPr>
              <w:pStyle w:val="Tabletext"/>
              <w:jc w:val="right"/>
              <w:rPr>
                <w:lang w:eastAsia="en-GB"/>
              </w:rPr>
            </w:pPr>
            <w:r w:rsidRPr="00490C53">
              <w:rPr>
                <w:rFonts w:cstheme="minorHAnsi"/>
                <w:szCs w:val="24"/>
              </w:rPr>
              <w:t>5.2%</w:t>
            </w:r>
          </w:p>
        </w:tc>
        <w:tc>
          <w:tcPr>
            <w:tcW w:w="1160" w:type="pct"/>
            <w:noWrap/>
            <w:vAlign w:val="center"/>
          </w:tcPr>
          <w:p w14:paraId="0FC3698F"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2F0AF04F" w14:textId="77777777">
        <w:tblPrEx>
          <w:tblCellMar>
            <w:left w:w="108" w:type="dxa"/>
            <w:right w:w="108" w:type="dxa"/>
          </w:tblCellMar>
        </w:tblPrEx>
        <w:trPr>
          <w:trHeight w:val="290"/>
        </w:trPr>
        <w:tc>
          <w:tcPr>
            <w:tcW w:w="977" w:type="pct"/>
            <w:noWrap/>
            <w:vAlign w:val="top"/>
          </w:tcPr>
          <w:p w14:paraId="064F9343" w14:textId="77777777" w:rsidR="007245CC" w:rsidRPr="00490C53" w:rsidRDefault="007245CC">
            <w:pPr>
              <w:pStyle w:val="Tabletext"/>
              <w:rPr>
                <w:lang w:eastAsia="en-GB"/>
              </w:rPr>
            </w:pPr>
          </w:p>
        </w:tc>
        <w:tc>
          <w:tcPr>
            <w:tcW w:w="1746" w:type="pct"/>
            <w:noWrap/>
            <w:vAlign w:val="top"/>
          </w:tcPr>
          <w:p w14:paraId="35D11AB4" w14:textId="77777777" w:rsidR="007245CC" w:rsidRPr="00490C53" w:rsidRDefault="007245CC">
            <w:pPr>
              <w:pStyle w:val="Tabletext"/>
              <w:rPr>
                <w:lang w:eastAsia="en-GB"/>
              </w:rPr>
            </w:pPr>
            <w:r w:rsidRPr="00490C53">
              <w:t>Increase of less than 5%</w:t>
            </w:r>
          </w:p>
        </w:tc>
        <w:tc>
          <w:tcPr>
            <w:tcW w:w="1117" w:type="pct"/>
            <w:noWrap/>
            <w:vAlign w:val="center"/>
          </w:tcPr>
          <w:p w14:paraId="31FA290F" w14:textId="77777777" w:rsidR="007245CC" w:rsidRPr="00490C53" w:rsidRDefault="007245CC">
            <w:pPr>
              <w:pStyle w:val="Tabletext"/>
              <w:jc w:val="right"/>
              <w:rPr>
                <w:lang w:eastAsia="en-GB"/>
              </w:rPr>
            </w:pPr>
            <w:r w:rsidRPr="00490C53">
              <w:rPr>
                <w:rFonts w:cstheme="minorHAnsi"/>
                <w:szCs w:val="24"/>
              </w:rPr>
              <w:t>26.9%</w:t>
            </w:r>
          </w:p>
        </w:tc>
        <w:tc>
          <w:tcPr>
            <w:tcW w:w="1160" w:type="pct"/>
            <w:noWrap/>
            <w:vAlign w:val="center"/>
          </w:tcPr>
          <w:p w14:paraId="6505EABB"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004F152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1B1E183" w14:textId="77777777" w:rsidR="007245CC" w:rsidRPr="00490C53" w:rsidRDefault="007245CC">
            <w:pPr>
              <w:pStyle w:val="Tabletext"/>
              <w:rPr>
                <w:lang w:eastAsia="en-GB"/>
              </w:rPr>
            </w:pPr>
          </w:p>
        </w:tc>
        <w:tc>
          <w:tcPr>
            <w:tcW w:w="1746" w:type="pct"/>
            <w:noWrap/>
            <w:vAlign w:val="top"/>
          </w:tcPr>
          <w:p w14:paraId="30253E20" w14:textId="77777777" w:rsidR="007245CC" w:rsidRPr="00490C53" w:rsidRDefault="007245CC">
            <w:pPr>
              <w:pStyle w:val="Tabletext"/>
              <w:rPr>
                <w:lang w:eastAsia="en-GB"/>
              </w:rPr>
            </w:pPr>
            <w:r w:rsidRPr="00490C53">
              <w:t>Increase of between 5% and 25%</w:t>
            </w:r>
          </w:p>
        </w:tc>
        <w:tc>
          <w:tcPr>
            <w:tcW w:w="1117" w:type="pct"/>
            <w:noWrap/>
            <w:vAlign w:val="center"/>
          </w:tcPr>
          <w:p w14:paraId="1FCD1BCE" w14:textId="77777777" w:rsidR="007245CC" w:rsidRPr="00490C53" w:rsidRDefault="007245CC">
            <w:pPr>
              <w:pStyle w:val="Tabletext"/>
              <w:jc w:val="right"/>
              <w:rPr>
                <w:lang w:eastAsia="en-GB"/>
              </w:rPr>
            </w:pPr>
            <w:r w:rsidRPr="00490C53">
              <w:rPr>
                <w:rFonts w:cstheme="minorHAnsi"/>
                <w:szCs w:val="24"/>
              </w:rPr>
              <w:t>7.4%</w:t>
            </w:r>
          </w:p>
        </w:tc>
        <w:tc>
          <w:tcPr>
            <w:tcW w:w="1160" w:type="pct"/>
            <w:noWrap/>
            <w:vAlign w:val="center"/>
          </w:tcPr>
          <w:p w14:paraId="1AB080EF"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7DB1B53E" w14:textId="77777777">
        <w:tblPrEx>
          <w:tblCellMar>
            <w:left w:w="108" w:type="dxa"/>
            <w:right w:w="108" w:type="dxa"/>
          </w:tblCellMar>
        </w:tblPrEx>
        <w:trPr>
          <w:trHeight w:val="290"/>
        </w:trPr>
        <w:tc>
          <w:tcPr>
            <w:tcW w:w="977" w:type="pct"/>
            <w:noWrap/>
            <w:vAlign w:val="top"/>
          </w:tcPr>
          <w:p w14:paraId="74EB928B" w14:textId="77777777" w:rsidR="007245CC" w:rsidRPr="00490C53" w:rsidRDefault="007245CC">
            <w:pPr>
              <w:pStyle w:val="Tabletext"/>
              <w:rPr>
                <w:lang w:eastAsia="en-GB"/>
              </w:rPr>
            </w:pPr>
          </w:p>
        </w:tc>
        <w:tc>
          <w:tcPr>
            <w:tcW w:w="1746" w:type="pct"/>
            <w:noWrap/>
            <w:vAlign w:val="top"/>
          </w:tcPr>
          <w:p w14:paraId="0C61D7BC" w14:textId="77777777" w:rsidR="007245CC" w:rsidRPr="00490C53" w:rsidRDefault="007245CC">
            <w:pPr>
              <w:pStyle w:val="Tabletext"/>
              <w:rPr>
                <w:lang w:eastAsia="en-GB"/>
              </w:rPr>
            </w:pPr>
            <w:r w:rsidRPr="00490C53">
              <w:t>Increase of between 25% and 50%</w:t>
            </w:r>
          </w:p>
        </w:tc>
        <w:tc>
          <w:tcPr>
            <w:tcW w:w="1117" w:type="pct"/>
            <w:noWrap/>
            <w:vAlign w:val="center"/>
          </w:tcPr>
          <w:p w14:paraId="209E051D" w14:textId="77777777" w:rsidR="007245CC" w:rsidRPr="00490C53" w:rsidRDefault="007245CC">
            <w:pPr>
              <w:pStyle w:val="Tabletext"/>
              <w:jc w:val="right"/>
              <w:rPr>
                <w:lang w:eastAsia="en-GB"/>
              </w:rPr>
            </w:pPr>
            <w:r w:rsidRPr="00490C53">
              <w:rPr>
                <w:rFonts w:cstheme="minorHAnsi"/>
                <w:szCs w:val="24"/>
              </w:rPr>
              <w:t>4.9%</w:t>
            </w:r>
          </w:p>
        </w:tc>
        <w:tc>
          <w:tcPr>
            <w:tcW w:w="1160" w:type="pct"/>
            <w:noWrap/>
            <w:vAlign w:val="center"/>
          </w:tcPr>
          <w:p w14:paraId="6936FDC1" w14:textId="77777777" w:rsidR="007245CC" w:rsidRPr="00490C53" w:rsidRDefault="007245CC">
            <w:pPr>
              <w:pStyle w:val="Tabletext"/>
              <w:jc w:val="right"/>
              <w:rPr>
                <w:lang w:eastAsia="en-GB"/>
              </w:rPr>
            </w:pPr>
            <w:r w:rsidRPr="00490C53">
              <w:rPr>
                <w:rFonts w:cstheme="minorHAnsi"/>
                <w:szCs w:val="24"/>
              </w:rPr>
              <w:t>0.3%</w:t>
            </w:r>
          </w:p>
        </w:tc>
      </w:tr>
      <w:tr w:rsidR="007245CC" w:rsidRPr="00490C53" w14:paraId="5D54B17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5830D73" w14:textId="77777777" w:rsidR="007245CC" w:rsidRPr="00490C53" w:rsidRDefault="007245CC">
            <w:pPr>
              <w:pStyle w:val="Tabletext"/>
              <w:rPr>
                <w:lang w:eastAsia="en-GB"/>
              </w:rPr>
            </w:pPr>
          </w:p>
        </w:tc>
        <w:tc>
          <w:tcPr>
            <w:tcW w:w="1746" w:type="pct"/>
            <w:noWrap/>
            <w:vAlign w:val="top"/>
          </w:tcPr>
          <w:p w14:paraId="2FA7CD6B" w14:textId="77777777" w:rsidR="007245CC" w:rsidRPr="00490C53" w:rsidRDefault="007245CC">
            <w:pPr>
              <w:pStyle w:val="Tabletext"/>
              <w:rPr>
                <w:lang w:eastAsia="en-GB"/>
              </w:rPr>
            </w:pPr>
            <w:r w:rsidRPr="00490C53">
              <w:t>Increase of more than 50%</w:t>
            </w:r>
          </w:p>
        </w:tc>
        <w:tc>
          <w:tcPr>
            <w:tcW w:w="1117" w:type="pct"/>
            <w:noWrap/>
            <w:vAlign w:val="center"/>
          </w:tcPr>
          <w:p w14:paraId="53805723" w14:textId="77777777" w:rsidR="007245CC" w:rsidRPr="00490C53" w:rsidRDefault="007245CC">
            <w:pPr>
              <w:pStyle w:val="Tabletext"/>
              <w:jc w:val="right"/>
              <w:rPr>
                <w:lang w:eastAsia="en-GB"/>
              </w:rPr>
            </w:pPr>
            <w:r w:rsidRPr="00490C53">
              <w:rPr>
                <w:rFonts w:cstheme="minorHAnsi"/>
                <w:szCs w:val="24"/>
              </w:rPr>
              <w:t>6.7%</w:t>
            </w:r>
          </w:p>
        </w:tc>
        <w:tc>
          <w:tcPr>
            <w:tcW w:w="1160" w:type="pct"/>
            <w:noWrap/>
            <w:vAlign w:val="center"/>
          </w:tcPr>
          <w:p w14:paraId="7D9BCEAD"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6E08A906" w14:textId="77777777">
        <w:tblPrEx>
          <w:tblCellMar>
            <w:left w:w="108" w:type="dxa"/>
            <w:right w:w="108" w:type="dxa"/>
          </w:tblCellMar>
        </w:tblPrEx>
        <w:trPr>
          <w:trHeight w:val="290"/>
        </w:trPr>
        <w:tc>
          <w:tcPr>
            <w:tcW w:w="977" w:type="pct"/>
            <w:noWrap/>
            <w:vAlign w:val="top"/>
          </w:tcPr>
          <w:p w14:paraId="152819CA" w14:textId="77777777" w:rsidR="007245CC" w:rsidRPr="00490C53" w:rsidRDefault="007245CC">
            <w:pPr>
              <w:pStyle w:val="Tabletext"/>
              <w:rPr>
                <w:lang w:eastAsia="en-GB"/>
              </w:rPr>
            </w:pPr>
            <w:r w:rsidRPr="00490C53">
              <w:rPr>
                <w:b/>
                <w:bCs/>
              </w:rPr>
              <w:t>Employment growth 2017/2018</w:t>
            </w:r>
          </w:p>
        </w:tc>
        <w:tc>
          <w:tcPr>
            <w:tcW w:w="1746" w:type="pct"/>
            <w:noWrap/>
            <w:vAlign w:val="top"/>
          </w:tcPr>
          <w:p w14:paraId="3E7216C7" w14:textId="77777777" w:rsidR="007245CC" w:rsidRPr="00490C53" w:rsidRDefault="007245CC">
            <w:pPr>
              <w:pStyle w:val="Tabletext"/>
              <w:rPr>
                <w:lang w:eastAsia="en-GB"/>
              </w:rPr>
            </w:pPr>
            <w:r w:rsidRPr="00490C53">
              <w:t>Decrease of more than 50%</w:t>
            </w:r>
          </w:p>
        </w:tc>
        <w:tc>
          <w:tcPr>
            <w:tcW w:w="1117" w:type="pct"/>
            <w:noWrap/>
            <w:vAlign w:val="center"/>
          </w:tcPr>
          <w:p w14:paraId="39E09334" w14:textId="77777777" w:rsidR="007245CC" w:rsidRPr="00490C53" w:rsidRDefault="007245CC">
            <w:pPr>
              <w:pStyle w:val="Tabletext"/>
              <w:jc w:val="right"/>
              <w:rPr>
                <w:lang w:eastAsia="en-GB"/>
              </w:rPr>
            </w:pPr>
            <w:r w:rsidRPr="00490C53">
              <w:rPr>
                <w:rFonts w:cstheme="minorHAnsi"/>
                <w:szCs w:val="24"/>
              </w:rPr>
              <w:t>0.8%</w:t>
            </w:r>
          </w:p>
        </w:tc>
        <w:tc>
          <w:tcPr>
            <w:tcW w:w="1160" w:type="pct"/>
            <w:noWrap/>
            <w:vAlign w:val="center"/>
          </w:tcPr>
          <w:p w14:paraId="777C1398"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420F154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D49404B" w14:textId="77777777" w:rsidR="007245CC" w:rsidRPr="00490C53" w:rsidRDefault="007245CC">
            <w:pPr>
              <w:pStyle w:val="Tabletext"/>
              <w:rPr>
                <w:lang w:eastAsia="en-GB"/>
              </w:rPr>
            </w:pPr>
          </w:p>
        </w:tc>
        <w:tc>
          <w:tcPr>
            <w:tcW w:w="1746" w:type="pct"/>
            <w:noWrap/>
            <w:vAlign w:val="top"/>
          </w:tcPr>
          <w:p w14:paraId="5E34537D" w14:textId="77777777" w:rsidR="007245CC" w:rsidRPr="00490C53" w:rsidRDefault="007245CC">
            <w:pPr>
              <w:pStyle w:val="Tabletext"/>
              <w:rPr>
                <w:lang w:eastAsia="en-GB"/>
              </w:rPr>
            </w:pPr>
            <w:r w:rsidRPr="00490C53">
              <w:t>Decrease of less than 50%</w:t>
            </w:r>
          </w:p>
        </w:tc>
        <w:tc>
          <w:tcPr>
            <w:tcW w:w="1117" w:type="pct"/>
            <w:noWrap/>
            <w:vAlign w:val="center"/>
          </w:tcPr>
          <w:p w14:paraId="1873BEE0" w14:textId="77777777" w:rsidR="007245CC" w:rsidRPr="00490C53" w:rsidRDefault="007245CC">
            <w:pPr>
              <w:pStyle w:val="Tabletext"/>
              <w:jc w:val="right"/>
              <w:rPr>
                <w:lang w:eastAsia="en-GB"/>
              </w:rPr>
            </w:pPr>
            <w:r w:rsidRPr="00490C53">
              <w:rPr>
                <w:rFonts w:cstheme="minorHAnsi"/>
                <w:szCs w:val="24"/>
              </w:rPr>
              <w:t>3.4%</w:t>
            </w:r>
          </w:p>
        </w:tc>
        <w:tc>
          <w:tcPr>
            <w:tcW w:w="1160" w:type="pct"/>
            <w:noWrap/>
            <w:vAlign w:val="center"/>
          </w:tcPr>
          <w:p w14:paraId="2B6E5066" w14:textId="77777777" w:rsidR="007245CC" w:rsidRPr="00490C53" w:rsidRDefault="007245CC">
            <w:pPr>
              <w:pStyle w:val="Tabletext"/>
              <w:jc w:val="right"/>
              <w:rPr>
                <w:lang w:eastAsia="en-GB"/>
              </w:rPr>
            </w:pPr>
            <w:r w:rsidRPr="00490C53">
              <w:rPr>
                <w:rFonts w:cstheme="minorHAnsi"/>
                <w:szCs w:val="24"/>
              </w:rPr>
              <w:t>1.0%</w:t>
            </w:r>
          </w:p>
        </w:tc>
      </w:tr>
      <w:tr w:rsidR="007245CC" w:rsidRPr="00490C53" w14:paraId="35AB02F7" w14:textId="77777777">
        <w:tblPrEx>
          <w:tblCellMar>
            <w:left w:w="108" w:type="dxa"/>
            <w:right w:w="108" w:type="dxa"/>
          </w:tblCellMar>
        </w:tblPrEx>
        <w:trPr>
          <w:trHeight w:val="290"/>
        </w:trPr>
        <w:tc>
          <w:tcPr>
            <w:tcW w:w="977" w:type="pct"/>
            <w:noWrap/>
            <w:vAlign w:val="top"/>
          </w:tcPr>
          <w:p w14:paraId="57B0DFF2" w14:textId="77777777" w:rsidR="007245CC" w:rsidRPr="00490C53" w:rsidRDefault="007245CC">
            <w:pPr>
              <w:pStyle w:val="Tabletext"/>
              <w:rPr>
                <w:lang w:eastAsia="en-GB"/>
              </w:rPr>
            </w:pPr>
          </w:p>
        </w:tc>
        <w:tc>
          <w:tcPr>
            <w:tcW w:w="1746" w:type="pct"/>
            <w:noWrap/>
            <w:vAlign w:val="top"/>
          </w:tcPr>
          <w:p w14:paraId="378C30DD" w14:textId="77777777" w:rsidR="007245CC" w:rsidRPr="00490C53" w:rsidRDefault="007245CC">
            <w:pPr>
              <w:pStyle w:val="Tabletext"/>
              <w:rPr>
                <w:lang w:eastAsia="en-GB"/>
              </w:rPr>
            </w:pPr>
            <w:r w:rsidRPr="00490C53">
              <w:t>No change</w:t>
            </w:r>
          </w:p>
        </w:tc>
        <w:tc>
          <w:tcPr>
            <w:tcW w:w="1117" w:type="pct"/>
            <w:noWrap/>
            <w:vAlign w:val="center"/>
          </w:tcPr>
          <w:p w14:paraId="183B61FC" w14:textId="77777777" w:rsidR="007245CC" w:rsidRPr="00490C53" w:rsidRDefault="007245CC">
            <w:pPr>
              <w:pStyle w:val="Tabletext"/>
              <w:jc w:val="right"/>
              <w:rPr>
                <w:lang w:eastAsia="en-GB"/>
              </w:rPr>
            </w:pPr>
            <w:r w:rsidRPr="00490C53">
              <w:rPr>
                <w:rFonts w:cstheme="minorHAnsi"/>
                <w:szCs w:val="24"/>
              </w:rPr>
              <w:t>17.5%</w:t>
            </w:r>
          </w:p>
        </w:tc>
        <w:tc>
          <w:tcPr>
            <w:tcW w:w="1160" w:type="pct"/>
            <w:noWrap/>
            <w:vAlign w:val="center"/>
          </w:tcPr>
          <w:p w14:paraId="392AAFE7" w14:textId="77777777" w:rsidR="007245CC" w:rsidRPr="00490C53" w:rsidRDefault="007245CC">
            <w:pPr>
              <w:pStyle w:val="Tabletext"/>
              <w:jc w:val="right"/>
              <w:rPr>
                <w:lang w:eastAsia="en-GB"/>
              </w:rPr>
            </w:pPr>
            <w:r w:rsidRPr="00490C53">
              <w:rPr>
                <w:rFonts w:cstheme="minorHAnsi"/>
                <w:szCs w:val="24"/>
              </w:rPr>
              <w:t>1.9%</w:t>
            </w:r>
          </w:p>
        </w:tc>
      </w:tr>
      <w:tr w:rsidR="007245CC" w:rsidRPr="00490C53" w14:paraId="3F329E3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C9D9398" w14:textId="77777777" w:rsidR="007245CC" w:rsidRPr="00490C53" w:rsidRDefault="007245CC">
            <w:pPr>
              <w:pStyle w:val="Tabletext"/>
              <w:rPr>
                <w:lang w:eastAsia="en-GB"/>
              </w:rPr>
            </w:pPr>
          </w:p>
        </w:tc>
        <w:tc>
          <w:tcPr>
            <w:tcW w:w="1746" w:type="pct"/>
            <w:noWrap/>
            <w:vAlign w:val="top"/>
          </w:tcPr>
          <w:p w14:paraId="44343491" w14:textId="77777777" w:rsidR="007245CC" w:rsidRPr="00490C53" w:rsidRDefault="007245CC">
            <w:pPr>
              <w:pStyle w:val="Tabletext"/>
              <w:rPr>
                <w:lang w:eastAsia="en-GB"/>
              </w:rPr>
            </w:pPr>
            <w:r w:rsidRPr="00490C53">
              <w:t>Increase of less than 50%</w:t>
            </w:r>
          </w:p>
        </w:tc>
        <w:tc>
          <w:tcPr>
            <w:tcW w:w="1117" w:type="pct"/>
            <w:noWrap/>
            <w:vAlign w:val="center"/>
          </w:tcPr>
          <w:p w14:paraId="21D16C61" w14:textId="77777777" w:rsidR="007245CC" w:rsidRPr="00490C53" w:rsidRDefault="007245CC">
            <w:pPr>
              <w:pStyle w:val="Tabletext"/>
              <w:jc w:val="right"/>
              <w:rPr>
                <w:lang w:eastAsia="en-GB"/>
              </w:rPr>
            </w:pPr>
            <w:r w:rsidRPr="00490C53">
              <w:rPr>
                <w:rFonts w:cstheme="minorHAnsi"/>
                <w:szCs w:val="24"/>
              </w:rPr>
              <w:t>10.7%</w:t>
            </w:r>
          </w:p>
        </w:tc>
        <w:tc>
          <w:tcPr>
            <w:tcW w:w="1160" w:type="pct"/>
            <w:noWrap/>
            <w:vAlign w:val="center"/>
          </w:tcPr>
          <w:p w14:paraId="7A378693"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31053610" w14:textId="77777777">
        <w:tblPrEx>
          <w:tblCellMar>
            <w:left w:w="108" w:type="dxa"/>
            <w:right w:w="108" w:type="dxa"/>
          </w:tblCellMar>
        </w:tblPrEx>
        <w:trPr>
          <w:trHeight w:val="290"/>
        </w:trPr>
        <w:tc>
          <w:tcPr>
            <w:tcW w:w="977" w:type="pct"/>
            <w:noWrap/>
            <w:vAlign w:val="top"/>
          </w:tcPr>
          <w:p w14:paraId="13ECF568" w14:textId="77777777" w:rsidR="007245CC" w:rsidRPr="00490C53" w:rsidRDefault="007245CC">
            <w:pPr>
              <w:pStyle w:val="Tabletext"/>
              <w:rPr>
                <w:lang w:eastAsia="en-GB"/>
              </w:rPr>
            </w:pPr>
          </w:p>
        </w:tc>
        <w:tc>
          <w:tcPr>
            <w:tcW w:w="1746" w:type="pct"/>
            <w:noWrap/>
            <w:vAlign w:val="top"/>
          </w:tcPr>
          <w:p w14:paraId="048F6490" w14:textId="77777777" w:rsidR="007245CC" w:rsidRPr="00490C53" w:rsidRDefault="007245CC">
            <w:pPr>
              <w:pStyle w:val="Tabletext"/>
              <w:rPr>
                <w:lang w:eastAsia="en-GB"/>
              </w:rPr>
            </w:pPr>
            <w:r w:rsidRPr="00490C53">
              <w:t>Increase of more than 50%</w:t>
            </w:r>
          </w:p>
        </w:tc>
        <w:tc>
          <w:tcPr>
            <w:tcW w:w="1117" w:type="pct"/>
            <w:noWrap/>
            <w:vAlign w:val="center"/>
          </w:tcPr>
          <w:p w14:paraId="0C118A42" w14:textId="77777777" w:rsidR="007245CC" w:rsidRPr="00490C53" w:rsidRDefault="007245CC">
            <w:pPr>
              <w:pStyle w:val="Tabletext"/>
              <w:jc w:val="right"/>
              <w:rPr>
                <w:lang w:eastAsia="en-GB"/>
              </w:rPr>
            </w:pPr>
            <w:r w:rsidRPr="00490C53">
              <w:rPr>
                <w:rFonts w:cstheme="minorHAnsi"/>
                <w:szCs w:val="24"/>
              </w:rPr>
              <w:t>4.1%</w:t>
            </w:r>
          </w:p>
        </w:tc>
        <w:tc>
          <w:tcPr>
            <w:tcW w:w="1160" w:type="pct"/>
            <w:noWrap/>
            <w:vAlign w:val="center"/>
          </w:tcPr>
          <w:p w14:paraId="17F1C452" w14:textId="77777777" w:rsidR="007245CC" w:rsidRPr="00490C53" w:rsidRDefault="007245CC">
            <w:pPr>
              <w:pStyle w:val="Tabletext"/>
              <w:jc w:val="right"/>
              <w:rPr>
                <w:lang w:eastAsia="en-GB"/>
              </w:rPr>
            </w:pPr>
            <w:r w:rsidRPr="00490C53">
              <w:rPr>
                <w:rFonts w:cstheme="minorHAnsi"/>
                <w:szCs w:val="24"/>
              </w:rPr>
              <w:t>0.6%</w:t>
            </w:r>
          </w:p>
        </w:tc>
      </w:tr>
      <w:tr w:rsidR="007245CC" w:rsidRPr="00490C53" w14:paraId="69213B0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FF7C719" w14:textId="77777777" w:rsidR="007245CC" w:rsidRPr="00490C53" w:rsidRDefault="007245CC">
            <w:pPr>
              <w:pStyle w:val="Tabletext"/>
              <w:rPr>
                <w:lang w:eastAsia="en-GB"/>
              </w:rPr>
            </w:pPr>
            <w:r w:rsidRPr="00490C53">
              <w:rPr>
                <w:b/>
                <w:bCs/>
              </w:rPr>
              <w:t>Employment growth 2018/2019</w:t>
            </w:r>
          </w:p>
        </w:tc>
        <w:tc>
          <w:tcPr>
            <w:tcW w:w="1746" w:type="pct"/>
            <w:noWrap/>
            <w:vAlign w:val="top"/>
          </w:tcPr>
          <w:p w14:paraId="4F9DE844" w14:textId="77777777" w:rsidR="007245CC" w:rsidRPr="00490C53" w:rsidRDefault="007245CC">
            <w:pPr>
              <w:pStyle w:val="Tabletext"/>
              <w:rPr>
                <w:lang w:eastAsia="en-GB"/>
              </w:rPr>
            </w:pPr>
            <w:r w:rsidRPr="00490C53">
              <w:t>Decrease of more than 50%</w:t>
            </w:r>
          </w:p>
        </w:tc>
        <w:tc>
          <w:tcPr>
            <w:tcW w:w="1117" w:type="pct"/>
            <w:noWrap/>
            <w:vAlign w:val="center"/>
          </w:tcPr>
          <w:p w14:paraId="77E45EE7" w14:textId="77777777" w:rsidR="007245CC" w:rsidRPr="00490C53" w:rsidRDefault="007245CC">
            <w:pPr>
              <w:pStyle w:val="Tabletext"/>
              <w:jc w:val="right"/>
              <w:rPr>
                <w:lang w:eastAsia="en-GB"/>
              </w:rPr>
            </w:pPr>
            <w:r w:rsidRPr="00490C53">
              <w:rPr>
                <w:rFonts w:cstheme="minorHAnsi"/>
                <w:szCs w:val="24"/>
              </w:rPr>
              <w:t>0.6%</w:t>
            </w:r>
          </w:p>
        </w:tc>
        <w:tc>
          <w:tcPr>
            <w:tcW w:w="1160" w:type="pct"/>
            <w:noWrap/>
            <w:vAlign w:val="center"/>
          </w:tcPr>
          <w:p w14:paraId="0F19BAD5" w14:textId="77777777" w:rsidR="007245CC" w:rsidRPr="00490C53" w:rsidRDefault="007245CC">
            <w:pPr>
              <w:pStyle w:val="Tabletext"/>
              <w:jc w:val="right"/>
              <w:rPr>
                <w:lang w:eastAsia="en-GB"/>
              </w:rPr>
            </w:pPr>
            <w:r w:rsidRPr="00490C53">
              <w:rPr>
                <w:rFonts w:cstheme="minorHAnsi"/>
                <w:szCs w:val="24"/>
              </w:rPr>
              <w:t>0.2%</w:t>
            </w:r>
          </w:p>
        </w:tc>
      </w:tr>
      <w:tr w:rsidR="007245CC" w:rsidRPr="00490C53" w14:paraId="57248F07" w14:textId="77777777">
        <w:tblPrEx>
          <w:tblCellMar>
            <w:left w:w="108" w:type="dxa"/>
            <w:right w:w="108" w:type="dxa"/>
          </w:tblCellMar>
        </w:tblPrEx>
        <w:trPr>
          <w:trHeight w:val="290"/>
        </w:trPr>
        <w:tc>
          <w:tcPr>
            <w:tcW w:w="977" w:type="pct"/>
            <w:noWrap/>
            <w:vAlign w:val="top"/>
          </w:tcPr>
          <w:p w14:paraId="3AE301A5" w14:textId="77777777" w:rsidR="007245CC" w:rsidRPr="00490C53" w:rsidRDefault="007245CC">
            <w:pPr>
              <w:pStyle w:val="Tabletext"/>
              <w:rPr>
                <w:lang w:eastAsia="en-GB"/>
              </w:rPr>
            </w:pPr>
          </w:p>
        </w:tc>
        <w:tc>
          <w:tcPr>
            <w:tcW w:w="1746" w:type="pct"/>
            <w:noWrap/>
            <w:vAlign w:val="top"/>
          </w:tcPr>
          <w:p w14:paraId="31C2D8F4" w14:textId="77777777" w:rsidR="007245CC" w:rsidRPr="00490C53" w:rsidRDefault="007245CC">
            <w:pPr>
              <w:pStyle w:val="Tabletext"/>
              <w:rPr>
                <w:lang w:eastAsia="en-GB"/>
              </w:rPr>
            </w:pPr>
            <w:r w:rsidRPr="00490C53">
              <w:t>Decrease of less than 50%</w:t>
            </w:r>
          </w:p>
        </w:tc>
        <w:tc>
          <w:tcPr>
            <w:tcW w:w="1117" w:type="pct"/>
            <w:noWrap/>
            <w:vAlign w:val="center"/>
          </w:tcPr>
          <w:p w14:paraId="1B09E375" w14:textId="77777777" w:rsidR="007245CC" w:rsidRPr="00490C53" w:rsidRDefault="007245CC">
            <w:pPr>
              <w:pStyle w:val="Tabletext"/>
              <w:jc w:val="right"/>
              <w:rPr>
                <w:lang w:eastAsia="en-GB"/>
              </w:rPr>
            </w:pPr>
            <w:r w:rsidRPr="00490C53">
              <w:rPr>
                <w:rFonts w:cstheme="minorHAnsi"/>
                <w:szCs w:val="24"/>
              </w:rPr>
              <w:t>4.9%</w:t>
            </w:r>
          </w:p>
        </w:tc>
        <w:tc>
          <w:tcPr>
            <w:tcW w:w="1160" w:type="pct"/>
            <w:noWrap/>
            <w:vAlign w:val="center"/>
          </w:tcPr>
          <w:p w14:paraId="6567B8AC" w14:textId="77777777" w:rsidR="007245CC" w:rsidRPr="00490C53" w:rsidRDefault="007245CC">
            <w:pPr>
              <w:pStyle w:val="Tabletext"/>
              <w:jc w:val="right"/>
              <w:rPr>
                <w:lang w:eastAsia="en-GB"/>
              </w:rPr>
            </w:pPr>
            <w:r w:rsidRPr="00490C53">
              <w:rPr>
                <w:rFonts w:cstheme="minorHAnsi"/>
                <w:szCs w:val="24"/>
              </w:rPr>
              <w:t>0.7%</w:t>
            </w:r>
          </w:p>
        </w:tc>
      </w:tr>
      <w:tr w:rsidR="007245CC" w:rsidRPr="00490C53" w14:paraId="5EEF7EA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08FD2A4" w14:textId="77777777" w:rsidR="007245CC" w:rsidRPr="00490C53" w:rsidRDefault="007245CC">
            <w:pPr>
              <w:pStyle w:val="Tabletext"/>
              <w:rPr>
                <w:lang w:eastAsia="en-GB"/>
              </w:rPr>
            </w:pPr>
          </w:p>
        </w:tc>
        <w:tc>
          <w:tcPr>
            <w:tcW w:w="1746" w:type="pct"/>
            <w:noWrap/>
            <w:vAlign w:val="top"/>
          </w:tcPr>
          <w:p w14:paraId="1890A1EA" w14:textId="77777777" w:rsidR="007245CC" w:rsidRPr="00490C53" w:rsidRDefault="007245CC">
            <w:pPr>
              <w:pStyle w:val="Tabletext"/>
              <w:rPr>
                <w:lang w:eastAsia="en-GB"/>
              </w:rPr>
            </w:pPr>
            <w:r w:rsidRPr="00490C53">
              <w:t>No change</w:t>
            </w:r>
          </w:p>
        </w:tc>
        <w:tc>
          <w:tcPr>
            <w:tcW w:w="1117" w:type="pct"/>
            <w:noWrap/>
            <w:vAlign w:val="center"/>
          </w:tcPr>
          <w:p w14:paraId="7FA05AA8" w14:textId="77777777" w:rsidR="007245CC" w:rsidRPr="00490C53" w:rsidRDefault="007245CC">
            <w:pPr>
              <w:pStyle w:val="Tabletext"/>
              <w:jc w:val="right"/>
              <w:rPr>
                <w:lang w:eastAsia="en-GB"/>
              </w:rPr>
            </w:pPr>
            <w:r w:rsidRPr="00490C53">
              <w:rPr>
                <w:rFonts w:cstheme="minorHAnsi"/>
                <w:szCs w:val="24"/>
              </w:rPr>
              <w:t>20.0%</w:t>
            </w:r>
          </w:p>
        </w:tc>
        <w:tc>
          <w:tcPr>
            <w:tcW w:w="1160" w:type="pct"/>
            <w:noWrap/>
            <w:vAlign w:val="center"/>
          </w:tcPr>
          <w:p w14:paraId="45C2D844" w14:textId="77777777" w:rsidR="007245CC" w:rsidRPr="00490C53" w:rsidRDefault="007245CC">
            <w:pPr>
              <w:pStyle w:val="Tabletext"/>
              <w:jc w:val="right"/>
              <w:rPr>
                <w:lang w:eastAsia="en-GB"/>
              </w:rPr>
            </w:pPr>
            <w:r w:rsidRPr="00490C53">
              <w:rPr>
                <w:rFonts w:cstheme="minorHAnsi"/>
                <w:szCs w:val="24"/>
              </w:rPr>
              <w:t>1.3%</w:t>
            </w:r>
          </w:p>
        </w:tc>
      </w:tr>
      <w:tr w:rsidR="007245CC" w:rsidRPr="00490C53" w14:paraId="75AA4C8D" w14:textId="77777777">
        <w:tblPrEx>
          <w:tblCellMar>
            <w:left w:w="108" w:type="dxa"/>
            <w:right w:w="108" w:type="dxa"/>
          </w:tblCellMar>
        </w:tblPrEx>
        <w:trPr>
          <w:trHeight w:val="290"/>
        </w:trPr>
        <w:tc>
          <w:tcPr>
            <w:tcW w:w="977" w:type="pct"/>
            <w:noWrap/>
            <w:vAlign w:val="top"/>
          </w:tcPr>
          <w:p w14:paraId="24DA66E5" w14:textId="77777777" w:rsidR="007245CC" w:rsidRPr="00490C53" w:rsidRDefault="007245CC">
            <w:pPr>
              <w:pStyle w:val="Tabletext"/>
              <w:rPr>
                <w:lang w:eastAsia="en-GB"/>
              </w:rPr>
            </w:pPr>
          </w:p>
        </w:tc>
        <w:tc>
          <w:tcPr>
            <w:tcW w:w="1746" w:type="pct"/>
            <w:noWrap/>
            <w:vAlign w:val="top"/>
          </w:tcPr>
          <w:p w14:paraId="69AA28B2" w14:textId="77777777" w:rsidR="007245CC" w:rsidRPr="00490C53" w:rsidRDefault="007245CC">
            <w:pPr>
              <w:pStyle w:val="Tabletext"/>
              <w:rPr>
                <w:lang w:eastAsia="en-GB"/>
              </w:rPr>
            </w:pPr>
            <w:r w:rsidRPr="00490C53">
              <w:t>Increase of less than 50%</w:t>
            </w:r>
          </w:p>
        </w:tc>
        <w:tc>
          <w:tcPr>
            <w:tcW w:w="1117" w:type="pct"/>
            <w:noWrap/>
            <w:vAlign w:val="center"/>
          </w:tcPr>
          <w:p w14:paraId="3FE815C5" w14:textId="77777777" w:rsidR="007245CC" w:rsidRPr="00490C53" w:rsidRDefault="007245CC">
            <w:pPr>
              <w:pStyle w:val="Tabletext"/>
              <w:jc w:val="right"/>
              <w:rPr>
                <w:lang w:eastAsia="en-GB"/>
              </w:rPr>
            </w:pPr>
            <w:r w:rsidRPr="00490C53">
              <w:rPr>
                <w:rFonts w:cstheme="minorHAnsi"/>
                <w:szCs w:val="24"/>
              </w:rPr>
              <w:t>11.2%</w:t>
            </w:r>
          </w:p>
        </w:tc>
        <w:tc>
          <w:tcPr>
            <w:tcW w:w="1160" w:type="pct"/>
            <w:noWrap/>
            <w:vAlign w:val="center"/>
          </w:tcPr>
          <w:p w14:paraId="45980FFE" w14:textId="77777777" w:rsidR="007245CC" w:rsidRPr="00490C53" w:rsidRDefault="007245CC">
            <w:pPr>
              <w:pStyle w:val="Tabletext"/>
              <w:jc w:val="right"/>
              <w:rPr>
                <w:lang w:eastAsia="en-GB"/>
              </w:rPr>
            </w:pPr>
            <w:r w:rsidRPr="00490C53">
              <w:rPr>
                <w:rFonts w:cstheme="minorHAnsi"/>
                <w:szCs w:val="24"/>
              </w:rPr>
              <w:t>0.1%</w:t>
            </w:r>
          </w:p>
        </w:tc>
      </w:tr>
      <w:tr w:rsidR="007245CC" w:rsidRPr="00490C53" w14:paraId="123002C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147AFCA" w14:textId="77777777" w:rsidR="007245CC" w:rsidRPr="00490C53" w:rsidRDefault="007245CC">
            <w:pPr>
              <w:pStyle w:val="Tabletext"/>
              <w:rPr>
                <w:lang w:eastAsia="en-GB"/>
              </w:rPr>
            </w:pPr>
          </w:p>
        </w:tc>
        <w:tc>
          <w:tcPr>
            <w:tcW w:w="1746" w:type="pct"/>
            <w:noWrap/>
            <w:vAlign w:val="top"/>
          </w:tcPr>
          <w:p w14:paraId="562FA7E1" w14:textId="77777777" w:rsidR="007245CC" w:rsidRPr="00490C53" w:rsidRDefault="007245CC">
            <w:pPr>
              <w:pStyle w:val="Tabletext"/>
              <w:rPr>
                <w:lang w:eastAsia="en-GB"/>
              </w:rPr>
            </w:pPr>
            <w:r w:rsidRPr="00490C53">
              <w:t>Increase of more than 50%</w:t>
            </w:r>
          </w:p>
        </w:tc>
        <w:tc>
          <w:tcPr>
            <w:tcW w:w="1117" w:type="pct"/>
            <w:noWrap/>
            <w:vAlign w:val="center"/>
          </w:tcPr>
          <w:p w14:paraId="7D485839" w14:textId="77777777" w:rsidR="007245CC" w:rsidRPr="00490C53" w:rsidRDefault="007245CC">
            <w:pPr>
              <w:pStyle w:val="Tabletext"/>
              <w:jc w:val="right"/>
              <w:rPr>
                <w:lang w:eastAsia="en-GB"/>
              </w:rPr>
            </w:pPr>
            <w:r w:rsidRPr="00490C53">
              <w:rPr>
                <w:rFonts w:cstheme="minorHAnsi"/>
                <w:szCs w:val="24"/>
              </w:rPr>
              <w:t>4.6%</w:t>
            </w:r>
          </w:p>
        </w:tc>
        <w:tc>
          <w:tcPr>
            <w:tcW w:w="1160" w:type="pct"/>
            <w:noWrap/>
            <w:vAlign w:val="center"/>
          </w:tcPr>
          <w:p w14:paraId="5B6D7BB7" w14:textId="77777777" w:rsidR="007245CC" w:rsidRPr="00490C53" w:rsidRDefault="007245CC">
            <w:pPr>
              <w:pStyle w:val="Tabletext"/>
              <w:jc w:val="right"/>
              <w:rPr>
                <w:lang w:eastAsia="en-GB"/>
              </w:rPr>
            </w:pPr>
            <w:r w:rsidRPr="00490C53">
              <w:rPr>
                <w:rFonts w:cstheme="minorHAnsi"/>
                <w:szCs w:val="24"/>
              </w:rPr>
              <w:t>0.3%</w:t>
            </w:r>
          </w:p>
        </w:tc>
      </w:tr>
      <w:tr w:rsidR="007245CC" w:rsidRPr="00490C53" w14:paraId="638D5514" w14:textId="77777777">
        <w:tblPrEx>
          <w:tblCellMar>
            <w:left w:w="108" w:type="dxa"/>
            <w:right w:w="108" w:type="dxa"/>
          </w:tblCellMar>
        </w:tblPrEx>
        <w:trPr>
          <w:trHeight w:val="290"/>
        </w:trPr>
        <w:tc>
          <w:tcPr>
            <w:tcW w:w="977" w:type="pct"/>
            <w:noWrap/>
            <w:vAlign w:val="top"/>
          </w:tcPr>
          <w:p w14:paraId="56E8852E" w14:textId="77777777" w:rsidR="007245CC" w:rsidRPr="00490C53" w:rsidRDefault="007245CC">
            <w:pPr>
              <w:pStyle w:val="Tabletext"/>
              <w:rPr>
                <w:lang w:eastAsia="en-GB"/>
              </w:rPr>
            </w:pPr>
            <w:r w:rsidRPr="00490C53">
              <w:rPr>
                <w:b/>
                <w:bCs/>
              </w:rPr>
              <w:t>Age</w:t>
            </w:r>
          </w:p>
        </w:tc>
        <w:tc>
          <w:tcPr>
            <w:tcW w:w="1746" w:type="pct"/>
            <w:noWrap/>
            <w:vAlign w:val="top"/>
          </w:tcPr>
          <w:p w14:paraId="314A2894" w14:textId="77777777" w:rsidR="007245CC" w:rsidRPr="00490C53" w:rsidRDefault="007245CC">
            <w:pPr>
              <w:pStyle w:val="Tabletext"/>
              <w:rPr>
                <w:lang w:eastAsia="en-GB"/>
              </w:rPr>
            </w:pPr>
            <w:r w:rsidRPr="00490C53">
              <w:t>2 Years or less</w:t>
            </w:r>
          </w:p>
        </w:tc>
        <w:tc>
          <w:tcPr>
            <w:tcW w:w="1117" w:type="pct"/>
            <w:noWrap/>
            <w:vAlign w:val="center"/>
          </w:tcPr>
          <w:p w14:paraId="05037AB4" w14:textId="77777777" w:rsidR="007245CC" w:rsidRPr="00490C53" w:rsidRDefault="007245CC">
            <w:pPr>
              <w:pStyle w:val="Tabletext"/>
              <w:jc w:val="right"/>
              <w:rPr>
                <w:lang w:eastAsia="en-GB"/>
              </w:rPr>
            </w:pPr>
            <w:r w:rsidRPr="00490C53">
              <w:rPr>
                <w:rFonts w:cstheme="minorHAnsi"/>
                <w:szCs w:val="24"/>
              </w:rPr>
              <w:t>4.8%</w:t>
            </w:r>
          </w:p>
        </w:tc>
        <w:tc>
          <w:tcPr>
            <w:tcW w:w="1160" w:type="pct"/>
            <w:noWrap/>
            <w:vAlign w:val="center"/>
          </w:tcPr>
          <w:p w14:paraId="7187030F" w14:textId="77777777" w:rsidR="007245CC" w:rsidRPr="00490C53" w:rsidRDefault="007245CC">
            <w:pPr>
              <w:pStyle w:val="Tabletext"/>
              <w:jc w:val="right"/>
              <w:rPr>
                <w:lang w:eastAsia="en-GB"/>
              </w:rPr>
            </w:pPr>
            <w:r w:rsidRPr="00490C53">
              <w:rPr>
                <w:rFonts w:cstheme="minorHAnsi"/>
                <w:szCs w:val="24"/>
              </w:rPr>
              <w:t>0.3%</w:t>
            </w:r>
          </w:p>
        </w:tc>
      </w:tr>
      <w:tr w:rsidR="007245CC" w:rsidRPr="00490C53" w14:paraId="3C38035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005B935" w14:textId="77777777" w:rsidR="007245CC" w:rsidRPr="00490C53" w:rsidRDefault="007245CC">
            <w:pPr>
              <w:pStyle w:val="Tabletext"/>
              <w:rPr>
                <w:lang w:eastAsia="en-GB"/>
              </w:rPr>
            </w:pPr>
          </w:p>
        </w:tc>
        <w:tc>
          <w:tcPr>
            <w:tcW w:w="1746" w:type="pct"/>
            <w:noWrap/>
            <w:vAlign w:val="top"/>
          </w:tcPr>
          <w:p w14:paraId="369EF109" w14:textId="77777777" w:rsidR="007245CC" w:rsidRPr="00490C53" w:rsidRDefault="007245CC">
            <w:pPr>
              <w:pStyle w:val="Tabletext"/>
              <w:rPr>
                <w:lang w:eastAsia="en-GB"/>
              </w:rPr>
            </w:pPr>
            <w:r w:rsidRPr="00490C53">
              <w:t>3-5 Years</w:t>
            </w:r>
          </w:p>
        </w:tc>
        <w:tc>
          <w:tcPr>
            <w:tcW w:w="1117" w:type="pct"/>
            <w:noWrap/>
            <w:vAlign w:val="center"/>
          </w:tcPr>
          <w:p w14:paraId="0A91A464" w14:textId="77777777" w:rsidR="007245CC" w:rsidRPr="00490C53" w:rsidRDefault="007245CC">
            <w:pPr>
              <w:pStyle w:val="Tabletext"/>
              <w:jc w:val="right"/>
              <w:rPr>
                <w:lang w:eastAsia="en-GB"/>
              </w:rPr>
            </w:pPr>
            <w:r w:rsidRPr="00490C53">
              <w:rPr>
                <w:rFonts w:cstheme="minorHAnsi"/>
                <w:szCs w:val="24"/>
              </w:rPr>
              <w:t>7.4%</w:t>
            </w:r>
          </w:p>
        </w:tc>
        <w:tc>
          <w:tcPr>
            <w:tcW w:w="1160" w:type="pct"/>
            <w:noWrap/>
            <w:vAlign w:val="center"/>
          </w:tcPr>
          <w:p w14:paraId="105C33B3" w14:textId="77777777" w:rsidR="007245CC" w:rsidRPr="00490C53" w:rsidRDefault="007245CC">
            <w:pPr>
              <w:pStyle w:val="Tabletext"/>
              <w:jc w:val="right"/>
              <w:rPr>
                <w:lang w:eastAsia="en-GB"/>
              </w:rPr>
            </w:pPr>
            <w:r w:rsidRPr="00490C53">
              <w:rPr>
                <w:rFonts w:cstheme="minorHAnsi"/>
                <w:szCs w:val="24"/>
              </w:rPr>
              <w:t>0.9%</w:t>
            </w:r>
          </w:p>
        </w:tc>
      </w:tr>
      <w:tr w:rsidR="007245CC" w:rsidRPr="00490C53" w14:paraId="3F85BD28" w14:textId="77777777">
        <w:tblPrEx>
          <w:tblCellMar>
            <w:left w:w="108" w:type="dxa"/>
            <w:right w:w="108" w:type="dxa"/>
          </w:tblCellMar>
        </w:tblPrEx>
        <w:trPr>
          <w:trHeight w:val="290"/>
        </w:trPr>
        <w:tc>
          <w:tcPr>
            <w:tcW w:w="977" w:type="pct"/>
            <w:noWrap/>
            <w:vAlign w:val="top"/>
          </w:tcPr>
          <w:p w14:paraId="4BE3F11F" w14:textId="77777777" w:rsidR="007245CC" w:rsidRPr="00490C53" w:rsidRDefault="007245CC">
            <w:pPr>
              <w:pStyle w:val="Tabletext"/>
              <w:rPr>
                <w:lang w:eastAsia="en-GB"/>
              </w:rPr>
            </w:pPr>
          </w:p>
        </w:tc>
        <w:tc>
          <w:tcPr>
            <w:tcW w:w="1746" w:type="pct"/>
            <w:noWrap/>
            <w:vAlign w:val="top"/>
          </w:tcPr>
          <w:p w14:paraId="02A62308" w14:textId="77777777" w:rsidR="007245CC" w:rsidRPr="00490C53" w:rsidRDefault="007245CC">
            <w:pPr>
              <w:pStyle w:val="Tabletext"/>
              <w:rPr>
                <w:lang w:eastAsia="en-GB"/>
              </w:rPr>
            </w:pPr>
            <w:r w:rsidRPr="00490C53">
              <w:t>6-10 Years</w:t>
            </w:r>
          </w:p>
        </w:tc>
        <w:tc>
          <w:tcPr>
            <w:tcW w:w="1117" w:type="pct"/>
            <w:noWrap/>
            <w:vAlign w:val="center"/>
          </w:tcPr>
          <w:p w14:paraId="3A9AAB8B" w14:textId="77777777" w:rsidR="007245CC" w:rsidRPr="00490C53" w:rsidRDefault="007245CC">
            <w:pPr>
              <w:pStyle w:val="Tabletext"/>
              <w:jc w:val="right"/>
              <w:rPr>
                <w:lang w:eastAsia="en-GB"/>
              </w:rPr>
            </w:pPr>
            <w:r w:rsidRPr="00490C53">
              <w:rPr>
                <w:rFonts w:cstheme="minorHAnsi"/>
                <w:szCs w:val="24"/>
              </w:rPr>
              <w:t>2.3%</w:t>
            </w:r>
          </w:p>
        </w:tc>
        <w:tc>
          <w:tcPr>
            <w:tcW w:w="1160" w:type="pct"/>
            <w:noWrap/>
            <w:vAlign w:val="center"/>
          </w:tcPr>
          <w:p w14:paraId="5AB3D1D5" w14:textId="77777777" w:rsidR="007245CC" w:rsidRPr="00490C53" w:rsidRDefault="007245CC">
            <w:pPr>
              <w:pStyle w:val="Tabletext"/>
              <w:jc w:val="right"/>
              <w:rPr>
                <w:lang w:eastAsia="en-GB"/>
              </w:rPr>
            </w:pPr>
            <w:r w:rsidRPr="00490C53">
              <w:rPr>
                <w:rFonts w:cstheme="minorHAnsi"/>
                <w:szCs w:val="24"/>
              </w:rPr>
              <w:t>0.0%</w:t>
            </w:r>
          </w:p>
        </w:tc>
      </w:tr>
      <w:tr w:rsidR="007245CC" w:rsidRPr="00490C53" w14:paraId="7F653B4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8B68D23" w14:textId="77777777" w:rsidR="007245CC" w:rsidRPr="00490C53" w:rsidRDefault="007245CC">
            <w:pPr>
              <w:pStyle w:val="Tabletext"/>
              <w:rPr>
                <w:lang w:eastAsia="en-GB"/>
              </w:rPr>
            </w:pPr>
          </w:p>
        </w:tc>
        <w:tc>
          <w:tcPr>
            <w:tcW w:w="1746" w:type="pct"/>
            <w:noWrap/>
            <w:vAlign w:val="top"/>
          </w:tcPr>
          <w:p w14:paraId="5E5136E1" w14:textId="77777777" w:rsidR="007245CC" w:rsidRPr="00490C53" w:rsidRDefault="007245CC">
            <w:pPr>
              <w:pStyle w:val="Tabletext"/>
              <w:rPr>
                <w:lang w:eastAsia="en-GB"/>
              </w:rPr>
            </w:pPr>
            <w:r w:rsidRPr="00490C53">
              <w:t>11-15 Years</w:t>
            </w:r>
          </w:p>
        </w:tc>
        <w:tc>
          <w:tcPr>
            <w:tcW w:w="1117" w:type="pct"/>
            <w:noWrap/>
            <w:vAlign w:val="center"/>
          </w:tcPr>
          <w:p w14:paraId="6CB3344C" w14:textId="77777777" w:rsidR="007245CC" w:rsidRPr="00490C53" w:rsidRDefault="007245CC">
            <w:pPr>
              <w:pStyle w:val="Tabletext"/>
              <w:jc w:val="right"/>
              <w:rPr>
                <w:lang w:eastAsia="en-GB"/>
              </w:rPr>
            </w:pPr>
            <w:r w:rsidRPr="00490C53">
              <w:rPr>
                <w:rFonts w:cstheme="minorHAnsi"/>
                <w:szCs w:val="24"/>
              </w:rPr>
              <w:t>2.6%</w:t>
            </w:r>
          </w:p>
        </w:tc>
        <w:tc>
          <w:tcPr>
            <w:tcW w:w="1160" w:type="pct"/>
            <w:noWrap/>
            <w:vAlign w:val="center"/>
          </w:tcPr>
          <w:p w14:paraId="31EA2A4B" w14:textId="77777777" w:rsidR="007245CC" w:rsidRPr="00490C53" w:rsidRDefault="007245CC">
            <w:pPr>
              <w:pStyle w:val="Tabletext"/>
              <w:jc w:val="right"/>
              <w:rPr>
                <w:lang w:eastAsia="en-GB"/>
              </w:rPr>
            </w:pPr>
            <w:r w:rsidRPr="00490C53">
              <w:rPr>
                <w:rFonts w:cstheme="minorHAnsi"/>
                <w:szCs w:val="24"/>
              </w:rPr>
              <w:t>0.5%</w:t>
            </w:r>
          </w:p>
        </w:tc>
      </w:tr>
      <w:tr w:rsidR="007245CC" w:rsidRPr="00490C53" w14:paraId="4F93919C" w14:textId="77777777">
        <w:tblPrEx>
          <w:tblCellMar>
            <w:left w:w="108" w:type="dxa"/>
            <w:right w:w="108" w:type="dxa"/>
          </w:tblCellMar>
        </w:tblPrEx>
        <w:trPr>
          <w:trHeight w:val="290"/>
        </w:trPr>
        <w:tc>
          <w:tcPr>
            <w:tcW w:w="977" w:type="pct"/>
            <w:noWrap/>
            <w:vAlign w:val="top"/>
          </w:tcPr>
          <w:p w14:paraId="699F6622" w14:textId="77777777" w:rsidR="007245CC" w:rsidRPr="00490C53" w:rsidRDefault="007245CC">
            <w:pPr>
              <w:pStyle w:val="Tabletext"/>
              <w:rPr>
                <w:lang w:eastAsia="en-GB"/>
              </w:rPr>
            </w:pPr>
          </w:p>
        </w:tc>
        <w:tc>
          <w:tcPr>
            <w:tcW w:w="1746" w:type="pct"/>
            <w:noWrap/>
            <w:vAlign w:val="top"/>
          </w:tcPr>
          <w:p w14:paraId="231E1CAA" w14:textId="77777777" w:rsidR="007245CC" w:rsidRPr="00490C53" w:rsidRDefault="007245CC">
            <w:pPr>
              <w:pStyle w:val="Tabletext"/>
              <w:rPr>
                <w:lang w:eastAsia="en-GB"/>
              </w:rPr>
            </w:pPr>
            <w:r w:rsidRPr="00490C53">
              <w:t>16-20 Years</w:t>
            </w:r>
          </w:p>
        </w:tc>
        <w:tc>
          <w:tcPr>
            <w:tcW w:w="1117" w:type="pct"/>
            <w:noWrap/>
            <w:vAlign w:val="center"/>
          </w:tcPr>
          <w:p w14:paraId="553E7854" w14:textId="77777777" w:rsidR="007245CC" w:rsidRPr="00490C53" w:rsidRDefault="007245CC">
            <w:pPr>
              <w:pStyle w:val="Tabletext"/>
              <w:jc w:val="right"/>
              <w:rPr>
                <w:lang w:eastAsia="en-GB"/>
              </w:rPr>
            </w:pPr>
            <w:r w:rsidRPr="00490C53">
              <w:rPr>
                <w:rFonts w:cstheme="minorHAnsi"/>
                <w:szCs w:val="24"/>
              </w:rPr>
              <w:t>2.3%</w:t>
            </w:r>
          </w:p>
        </w:tc>
        <w:tc>
          <w:tcPr>
            <w:tcW w:w="1160" w:type="pct"/>
            <w:noWrap/>
            <w:vAlign w:val="center"/>
          </w:tcPr>
          <w:p w14:paraId="589B0ECC" w14:textId="77777777" w:rsidR="007245CC" w:rsidRPr="00490C53" w:rsidRDefault="007245CC">
            <w:pPr>
              <w:pStyle w:val="Tabletext"/>
              <w:jc w:val="right"/>
              <w:rPr>
                <w:lang w:eastAsia="en-GB"/>
              </w:rPr>
            </w:pPr>
            <w:r w:rsidRPr="00490C53">
              <w:rPr>
                <w:rFonts w:cstheme="minorHAnsi"/>
                <w:szCs w:val="24"/>
              </w:rPr>
              <w:t>0.4%</w:t>
            </w:r>
          </w:p>
        </w:tc>
      </w:tr>
      <w:tr w:rsidR="007245CC" w:rsidRPr="00490C53" w14:paraId="5A900A1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B45DDEB" w14:textId="77777777" w:rsidR="007245CC" w:rsidRPr="00490C53" w:rsidRDefault="007245CC">
            <w:pPr>
              <w:pStyle w:val="Tabletext"/>
              <w:rPr>
                <w:lang w:eastAsia="en-GB"/>
              </w:rPr>
            </w:pPr>
          </w:p>
        </w:tc>
        <w:tc>
          <w:tcPr>
            <w:tcW w:w="1746" w:type="pct"/>
            <w:noWrap/>
            <w:vAlign w:val="top"/>
          </w:tcPr>
          <w:p w14:paraId="725F6ED0" w14:textId="77777777" w:rsidR="007245CC" w:rsidRPr="00490C53" w:rsidRDefault="007245CC">
            <w:pPr>
              <w:pStyle w:val="Tabletext"/>
              <w:rPr>
                <w:lang w:eastAsia="en-GB"/>
              </w:rPr>
            </w:pPr>
            <w:r w:rsidRPr="00490C53">
              <w:t>21-40 Years</w:t>
            </w:r>
          </w:p>
        </w:tc>
        <w:tc>
          <w:tcPr>
            <w:tcW w:w="1117" w:type="pct"/>
            <w:noWrap/>
            <w:vAlign w:val="center"/>
          </w:tcPr>
          <w:p w14:paraId="522B17E0" w14:textId="77777777" w:rsidR="007245CC" w:rsidRPr="00490C53" w:rsidRDefault="007245CC">
            <w:pPr>
              <w:pStyle w:val="Tabletext"/>
              <w:jc w:val="right"/>
              <w:rPr>
                <w:lang w:eastAsia="en-GB"/>
              </w:rPr>
            </w:pPr>
            <w:r w:rsidRPr="00490C53">
              <w:rPr>
                <w:rFonts w:cstheme="minorHAnsi"/>
                <w:szCs w:val="24"/>
              </w:rPr>
              <w:t>3.8%</w:t>
            </w:r>
          </w:p>
        </w:tc>
        <w:tc>
          <w:tcPr>
            <w:tcW w:w="1160" w:type="pct"/>
            <w:noWrap/>
            <w:vAlign w:val="center"/>
          </w:tcPr>
          <w:p w14:paraId="5A3FBF05" w14:textId="77777777" w:rsidR="007245CC" w:rsidRPr="00490C53" w:rsidRDefault="007245CC">
            <w:pPr>
              <w:pStyle w:val="Tabletext"/>
              <w:jc w:val="right"/>
              <w:rPr>
                <w:lang w:eastAsia="en-GB"/>
              </w:rPr>
            </w:pPr>
            <w:r w:rsidRPr="00490C53">
              <w:rPr>
                <w:rFonts w:cstheme="minorHAnsi"/>
                <w:szCs w:val="24"/>
              </w:rPr>
              <w:t>0.9%</w:t>
            </w:r>
          </w:p>
        </w:tc>
      </w:tr>
      <w:tr w:rsidR="007245CC" w:rsidRPr="00490C53" w14:paraId="73E504C9" w14:textId="77777777">
        <w:tblPrEx>
          <w:tblCellMar>
            <w:left w:w="108" w:type="dxa"/>
            <w:right w:w="108" w:type="dxa"/>
          </w:tblCellMar>
        </w:tblPrEx>
        <w:trPr>
          <w:trHeight w:val="290"/>
        </w:trPr>
        <w:tc>
          <w:tcPr>
            <w:tcW w:w="977" w:type="pct"/>
            <w:noWrap/>
            <w:vAlign w:val="top"/>
          </w:tcPr>
          <w:p w14:paraId="62DF138D" w14:textId="77777777" w:rsidR="007245CC" w:rsidRPr="00490C53" w:rsidRDefault="007245CC">
            <w:pPr>
              <w:pStyle w:val="Tabletext"/>
              <w:rPr>
                <w:lang w:eastAsia="en-GB"/>
              </w:rPr>
            </w:pPr>
          </w:p>
        </w:tc>
        <w:tc>
          <w:tcPr>
            <w:tcW w:w="1746" w:type="pct"/>
            <w:noWrap/>
            <w:vAlign w:val="top"/>
          </w:tcPr>
          <w:p w14:paraId="22FDFF36" w14:textId="77777777" w:rsidR="007245CC" w:rsidRPr="00490C53" w:rsidRDefault="007245CC">
            <w:pPr>
              <w:pStyle w:val="Tabletext"/>
              <w:rPr>
                <w:lang w:eastAsia="en-GB"/>
              </w:rPr>
            </w:pPr>
            <w:r w:rsidRPr="00490C53">
              <w:t>More than 40 Years</w:t>
            </w:r>
          </w:p>
        </w:tc>
        <w:tc>
          <w:tcPr>
            <w:tcW w:w="1117" w:type="pct"/>
            <w:noWrap/>
            <w:vAlign w:val="center"/>
          </w:tcPr>
          <w:p w14:paraId="05347F2E" w14:textId="77777777" w:rsidR="007245CC" w:rsidRPr="00490C53" w:rsidRDefault="007245CC">
            <w:pPr>
              <w:pStyle w:val="Tabletext"/>
              <w:jc w:val="right"/>
              <w:rPr>
                <w:lang w:eastAsia="en-GB"/>
              </w:rPr>
            </w:pPr>
            <w:r w:rsidRPr="00490C53">
              <w:rPr>
                <w:rFonts w:cstheme="minorHAnsi"/>
                <w:szCs w:val="24"/>
              </w:rPr>
              <w:t>1.2%</w:t>
            </w:r>
          </w:p>
        </w:tc>
        <w:tc>
          <w:tcPr>
            <w:tcW w:w="1160" w:type="pct"/>
            <w:noWrap/>
            <w:vAlign w:val="center"/>
          </w:tcPr>
          <w:p w14:paraId="49FFC2E7" w14:textId="77777777" w:rsidR="007245CC" w:rsidRPr="00490C53" w:rsidRDefault="007245CC">
            <w:pPr>
              <w:pStyle w:val="Tabletext"/>
              <w:jc w:val="right"/>
              <w:rPr>
                <w:lang w:eastAsia="en-GB"/>
              </w:rPr>
            </w:pPr>
            <w:r w:rsidRPr="00490C53">
              <w:rPr>
                <w:rFonts w:cstheme="minorHAnsi"/>
                <w:szCs w:val="24"/>
              </w:rPr>
              <w:t>0.4%</w:t>
            </w:r>
          </w:p>
        </w:tc>
      </w:tr>
      <w:tr w:rsidR="007245CC" w:rsidRPr="00490C53" w14:paraId="33325F9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tcBorders>
              <w:bottom w:val="single" w:sz="4" w:space="0" w:color="0054BA" w:themeColor="accent2"/>
            </w:tcBorders>
            <w:noWrap/>
            <w:vAlign w:val="top"/>
          </w:tcPr>
          <w:p w14:paraId="33F5904D" w14:textId="77777777" w:rsidR="007245CC" w:rsidRPr="00490C53" w:rsidRDefault="007245CC">
            <w:pPr>
              <w:pStyle w:val="Tabletext"/>
              <w:rPr>
                <w:lang w:eastAsia="en-GB"/>
              </w:rPr>
            </w:pPr>
            <w:r w:rsidRPr="00490C53">
              <w:rPr>
                <w:b/>
                <w:bCs/>
              </w:rPr>
              <w:t>Average</w:t>
            </w:r>
          </w:p>
        </w:tc>
        <w:tc>
          <w:tcPr>
            <w:tcW w:w="1746" w:type="pct"/>
            <w:tcBorders>
              <w:bottom w:val="single" w:sz="4" w:space="0" w:color="0054BA" w:themeColor="accent2"/>
            </w:tcBorders>
            <w:noWrap/>
            <w:vAlign w:val="top"/>
          </w:tcPr>
          <w:p w14:paraId="6EADA86C" w14:textId="77777777" w:rsidR="007245CC" w:rsidRPr="00490C53" w:rsidRDefault="007245CC">
            <w:pPr>
              <w:pStyle w:val="Tabletext"/>
              <w:rPr>
                <w:lang w:eastAsia="en-GB"/>
              </w:rPr>
            </w:pPr>
          </w:p>
        </w:tc>
        <w:tc>
          <w:tcPr>
            <w:tcW w:w="1117" w:type="pct"/>
            <w:tcBorders>
              <w:bottom w:val="single" w:sz="4" w:space="0" w:color="0054BA" w:themeColor="accent2"/>
            </w:tcBorders>
            <w:noWrap/>
            <w:vAlign w:val="center"/>
          </w:tcPr>
          <w:p w14:paraId="172317E5" w14:textId="77777777" w:rsidR="007245CC" w:rsidRPr="00490C53" w:rsidRDefault="007245CC">
            <w:pPr>
              <w:pStyle w:val="Tabletext"/>
              <w:jc w:val="right"/>
              <w:rPr>
                <w:lang w:eastAsia="en-GB"/>
              </w:rPr>
            </w:pPr>
            <w:r w:rsidRPr="00490C53">
              <w:rPr>
                <w:rFonts w:cstheme="minorHAnsi"/>
                <w:b/>
                <w:bCs/>
                <w:szCs w:val="24"/>
              </w:rPr>
              <w:t>5.8%</w:t>
            </w:r>
          </w:p>
        </w:tc>
        <w:tc>
          <w:tcPr>
            <w:tcW w:w="1160" w:type="pct"/>
            <w:tcBorders>
              <w:bottom w:val="single" w:sz="4" w:space="0" w:color="0054BA" w:themeColor="accent2"/>
            </w:tcBorders>
            <w:noWrap/>
            <w:vAlign w:val="center"/>
          </w:tcPr>
          <w:p w14:paraId="38586BF5" w14:textId="77777777" w:rsidR="007245CC" w:rsidRPr="00490C53" w:rsidRDefault="007245CC">
            <w:pPr>
              <w:pStyle w:val="Tabletext"/>
              <w:jc w:val="right"/>
              <w:rPr>
                <w:lang w:eastAsia="en-GB"/>
              </w:rPr>
            </w:pPr>
            <w:r w:rsidRPr="00490C53">
              <w:rPr>
                <w:rFonts w:cstheme="minorHAnsi"/>
                <w:b/>
                <w:bCs/>
                <w:szCs w:val="24"/>
              </w:rPr>
              <w:t>0.3%</w:t>
            </w:r>
          </w:p>
        </w:tc>
      </w:tr>
    </w:tbl>
    <w:p w14:paraId="2E89BF35" w14:textId="57A4AF41" w:rsidR="007245CC" w:rsidRPr="00490C53" w:rsidRDefault="007245CC" w:rsidP="007245CC">
      <w:pPr>
        <w:pStyle w:val="Caption"/>
      </w:pPr>
      <w:r w:rsidRPr="00490C53">
        <w:t>Source: London Economics’ analysis of IDBR data</w:t>
      </w:r>
      <w:r w:rsidR="00293AD0">
        <w:t xml:space="preserve"> and BBB Portal Data. </w:t>
      </w:r>
    </w:p>
    <w:p w14:paraId="5C1CDE02" w14:textId="7D0928C4" w:rsidR="00284861" w:rsidRPr="00490C53" w:rsidRDefault="00284861" w:rsidP="00284861">
      <w:pPr>
        <w:pStyle w:val="Heading5"/>
      </w:pPr>
      <w:r w:rsidRPr="00490C53">
        <w:lastRenderedPageBreak/>
        <w:t xml:space="preserve">Table </w:t>
      </w:r>
      <w:r w:rsidR="00B6604F" w:rsidRPr="00846F78">
        <w:fldChar w:fldCharType="begin"/>
      </w:r>
      <w:r w:rsidR="00B6604F" w:rsidRPr="00490C53">
        <w:instrText xml:space="preserve"> SEQ Table \* ARABIC </w:instrText>
      </w:r>
      <w:r w:rsidR="00B6604F" w:rsidRPr="00846F78">
        <w:fldChar w:fldCharType="separate"/>
      </w:r>
      <w:r w:rsidR="00397D49">
        <w:rPr>
          <w:noProof/>
        </w:rPr>
        <w:t>38</w:t>
      </w:r>
      <w:r w:rsidR="00B6604F" w:rsidRPr="00846F78">
        <w:fldChar w:fldCharType="end"/>
      </w:r>
      <w:r w:rsidRPr="00490C53">
        <w:t>: Balance table – CBILS/CLBILS</w:t>
      </w:r>
    </w:p>
    <w:tbl>
      <w:tblPr>
        <w:tblStyle w:val="TableGrid"/>
        <w:tblW w:w="5000" w:type="pct"/>
        <w:tblLayout w:type="fixed"/>
        <w:tblLook w:val="04A0" w:firstRow="1" w:lastRow="0" w:firstColumn="1" w:lastColumn="0" w:noHBand="0" w:noVBand="1"/>
      </w:tblPr>
      <w:tblGrid>
        <w:gridCol w:w="1984"/>
        <w:gridCol w:w="3546"/>
        <w:gridCol w:w="2268"/>
        <w:gridCol w:w="2356"/>
      </w:tblGrid>
      <w:tr w:rsidR="00284861" w:rsidRPr="00490C53" w14:paraId="632584EA"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977" w:type="pct"/>
            <w:noWrap/>
            <w:vAlign w:val="top"/>
            <w:hideMark/>
          </w:tcPr>
          <w:p w14:paraId="5A7DE78A" w14:textId="77777777" w:rsidR="00284861" w:rsidRPr="00490C53" w:rsidRDefault="00284861">
            <w:pPr>
              <w:pStyle w:val="Tablecolumnheading-white"/>
              <w:rPr>
                <w:lang w:eastAsia="en-GB"/>
              </w:rPr>
            </w:pPr>
            <w:r w:rsidRPr="00490C53">
              <w:t>Characteristic</w:t>
            </w:r>
          </w:p>
        </w:tc>
        <w:tc>
          <w:tcPr>
            <w:tcW w:w="1746" w:type="pct"/>
            <w:noWrap/>
            <w:vAlign w:val="top"/>
            <w:hideMark/>
          </w:tcPr>
          <w:p w14:paraId="2B2879CB" w14:textId="77777777" w:rsidR="00284861" w:rsidRPr="00490C53" w:rsidRDefault="00284861">
            <w:pPr>
              <w:pStyle w:val="Tablecolumnheading-white"/>
              <w:rPr>
                <w:lang w:eastAsia="en-GB"/>
              </w:rPr>
            </w:pPr>
            <w:r w:rsidRPr="00490C53">
              <w:t>Feature</w:t>
            </w:r>
          </w:p>
        </w:tc>
        <w:tc>
          <w:tcPr>
            <w:tcW w:w="1117" w:type="pct"/>
            <w:noWrap/>
            <w:vAlign w:val="center"/>
            <w:hideMark/>
          </w:tcPr>
          <w:p w14:paraId="4AD5205C" w14:textId="77777777" w:rsidR="00284861" w:rsidRPr="00490C53" w:rsidRDefault="00284861">
            <w:pPr>
              <w:pStyle w:val="Tablecolumnheading-white"/>
              <w:spacing w:before="0"/>
              <w:jc w:val="right"/>
              <w:rPr>
                <w:lang w:eastAsia="en-GB"/>
              </w:rPr>
            </w:pPr>
            <w:r w:rsidRPr="00490C53">
              <w:t>Difference in prevalence between borrower and non-borrower groups (Full Sample)</w:t>
            </w:r>
          </w:p>
        </w:tc>
        <w:tc>
          <w:tcPr>
            <w:tcW w:w="1160" w:type="pct"/>
            <w:noWrap/>
            <w:vAlign w:val="center"/>
            <w:hideMark/>
          </w:tcPr>
          <w:p w14:paraId="6D474B6D" w14:textId="77777777" w:rsidR="00284861" w:rsidRPr="00490C53" w:rsidRDefault="00284861">
            <w:pPr>
              <w:pStyle w:val="Tablecolumnheading-white"/>
              <w:spacing w:before="0"/>
              <w:jc w:val="right"/>
              <w:rPr>
                <w:lang w:eastAsia="en-GB"/>
              </w:rPr>
            </w:pPr>
            <w:r w:rsidRPr="00490C53">
              <w:t>Difference in prevalence between borrower and non-borrower groups (After PSM)</w:t>
            </w:r>
          </w:p>
        </w:tc>
      </w:tr>
      <w:tr w:rsidR="00284861" w:rsidRPr="00490C53" w14:paraId="02B4B1F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168E9A3" w14:textId="77777777" w:rsidR="00284861" w:rsidRPr="00490C53" w:rsidRDefault="00284861">
            <w:pPr>
              <w:pStyle w:val="Tabletext"/>
              <w:rPr>
                <w:lang w:eastAsia="en-GB"/>
              </w:rPr>
            </w:pPr>
            <w:r w:rsidRPr="00490C53">
              <w:rPr>
                <w:b/>
                <w:bCs/>
              </w:rPr>
              <w:t>Turnover</w:t>
            </w:r>
          </w:p>
        </w:tc>
        <w:tc>
          <w:tcPr>
            <w:tcW w:w="1746" w:type="pct"/>
            <w:noWrap/>
            <w:vAlign w:val="top"/>
          </w:tcPr>
          <w:p w14:paraId="20D7E9E2" w14:textId="77777777" w:rsidR="00284861" w:rsidRPr="00490C53" w:rsidRDefault="00284861">
            <w:pPr>
              <w:pStyle w:val="Tabletext"/>
              <w:rPr>
                <w:lang w:eastAsia="en-GB"/>
              </w:rPr>
            </w:pPr>
            <w:r w:rsidRPr="00490C53">
              <w:t>Less than 25,000</w:t>
            </w:r>
          </w:p>
        </w:tc>
        <w:tc>
          <w:tcPr>
            <w:tcW w:w="1117" w:type="pct"/>
            <w:noWrap/>
            <w:vAlign w:val="center"/>
          </w:tcPr>
          <w:p w14:paraId="16344A83" w14:textId="77777777" w:rsidR="00284861" w:rsidRPr="00490C53" w:rsidRDefault="00284861">
            <w:pPr>
              <w:pStyle w:val="Tabletext"/>
              <w:jc w:val="right"/>
              <w:rPr>
                <w:lang w:eastAsia="en-GB"/>
              </w:rPr>
            </w:pPr>
            <w:r w:rsidRPr="00490C53">
              <w:rPr>
                <w:rFonts w:cstheme="minorHAnsi"/>
                <w:szCs w:val="24"/>
              </w:rPr>
              <w:t>6.6%</w:t>
            </w:r>
          </w:p>
        </w:tc>
        <w:tc>
          <w:tcPr>
            <w:tcW w:w="1160" w:type="pct"/>
            <w:noWrap/>
            <w:vAlign w:val="center"/>
          </w:tcPr>
          <w:p w14:paraId="6F1B3B09" w14:textId="77777777" w:rsidR="00284861" w:rsidRPr="00490C53" w:rsidRDefault="00284861">
            <w:pPr>
              <w:pStyle w:val="Tabletext"/>
              <w:jc w:val="right"/>
              <w:rPr>
                <w:lang w:eastAsia="en-GB"/>
              </w:rPr>
            </w:pPr>
            <w:r w:rsidRPr="00490C53">
              <w:rPr>
                <w:rFonts w:cstheme="minorHAnsi"/>
                <w:szCs w:val="24"/>
              </w:rPr>
              <w:t>0.0%</w:t>
            </w:r>
          </w:p>
        </w:tc>
      </w:tr>
      <w:tr w:rsidR="00284861" w:rsidRPr="00490C53" w14:paraId="0A6BD4E6" w14:textId="77777777">
        <w:tblPrEx>
          <w:tblCellMar>
            <w:left w:w="108" w:type="dxa"/>
            <w:right w:w="108" w:type="dxa"/>
          </w:tblCellMar>
        </w:tblPrEx>
        <w:trPr>
          <w:trHeight w:val="290"/>
        </w:trPr>
        <w:tc>
          <w:tcPr>
            <w:tcW w:w="977" w:type="pct"/>
            <w:noWrap/>
            <w:vAlign w:val="top"/>
          </w:tcPr>
          <w:p w14:paraId="691D4280" w14:textId="77777777" w:rsidR="00284861" w:rsidRPr="00490C53" w:rsidRDefault="00284861">
            <w:pPr>
              <w:pStyle w:val="Tabletext"/>
              <w:rPr>
                <w:lang w:eastAsia="en-GB"/>
              </w:rPr>
            </w:pPr>
          </w:p>
        </w:tc>
        <w:tc>
          <w:tcPr>
            <w:tcW w:w="1746" w:type="pct"/>
            <w:noWrap/>
            <w:vAlign w:val="top"/>
          </w:tcPr>
          <w:p w14:paraId="228D118E" w14:textId="77777777" w:rsidR="00284861" w:rsidRPr="00490C53" w:rsidRDefault="00284861">
            <w:pPr>
              <w:pStyle w:val="Tabletext"/>
              <w:rPr>
                <w:lang w:eastAsia="en-GB"/>
              </w:rPr>
            </w:pPr>
            <w:r w:rsidRPr="00490C53">
              <w:t>Between 25,000 and 50,000</w:t>
            </w:r>
          </w:p>
        </w:tc>
        <w:tc>
          <w:tcPr>
            <w:tcW w:w="1117" w:type="pct"/>
            <w:noWrap/>
            <w:vAlign w:val="center"/>
          </w:tcPr>
          <w:p w14:paraId="18E73208" w14:textId="77777777" w:rsidR="00284861" w:rsidRPr="00490C53" w:rsidRDefault="00284861">
            <w:pPr>
              <w:pStyle w:val="Tabletext"/>
              <w:jc w:val="right"/>
              <w:rPr>
                <w:lang w:eastAsia="en-GB"/>
              </w:rPr>
            </w:pPr>
            <w:r w:rsidRPr="00490C53">
              <w:rPr>
                <w:rFonts w:cstheme="minorHAnsi"/>
                <w:szCs w:val="24"/>
              </w:rPr>
              <w:t>7.0%</w:t>
            </w:r>
          </w:p>
        </w:tc>
        <w:tc>
          <w:tcPr>
            <w:tcW w:w="1160" w:type="pct"/>
            <w:noWrap/>
            <w:vAlign w:val="center"/>
          </w:tcPr>
          <w:p w14:paraId="78770E48" w14:textId="77777777" w:rsidR="00284861" w:rsidRPr="00490C53" w:rsidRDefault="00284861">
            <w:pPr>
              <w:pStyle w:val="Tabletext"/>
              <w:jc w:val="right"/>
              <w:rPr>
                <w:lang w:eastAsia="en-GB"/>
              </w:rPr>
            </w:pPr>
            <w:r w:rsidRPr="00490C53">
              <w:rPr>
                <w:rFonts w:cstheme="minorHAnsi"/>
                <w:szCs w:val="24"/>
              </w:rPr>
              <w:t>0.0%</w:t>
            </w:r>
          </w:p>
        </w:tc>
      </w:tr>
      <w:tr w:rsidR="00284861" w:rsidRPr="00490C53" w14:paraId="5EACCC2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5D32F07" w14:textId="77777777" w:rsidR="00284861" w:rsidRPr="00490C53" w:rsidRDefault="00284861">
            <w:pPr>
              <w:pStyle w:val="Tabletext"/>
              <w:rPr>
                <w:lang w:eastAsia="en-GB"/>
              </w:rPr>
            </w:pPr>
          </w:p>
        </w:tc>
        <w:tc>
          <w:tcPr>
            <w:tcW w:w="1746" w:type="pct"/>
            <w:noWrap/>
            <w:vAlign w:val="top"/>
          </w:tcPr>
          <w:p w14:paraId="71C01793" w14:textId="77777777" w:rsidR="00284861" w:rsidRPr="00490C53" w:rsidRDefault="00284861">
            <w:pPr>
              <w:pStyle w:val="Tabletext"/>
              <w:rPr>
                <w:lang w:eastAsia="en-GB"/>
              </w:rPr>
            </w:pPr>
            <w:r w:rsidRPr="00490C53">
              <w:t>Between 50,000 and 75,000</w:t>
            </w:r>
          </w:p>
        </w:tc>
        <w:tc>
          <w:tcPr>
            <w:tcW w:w="1117" w:type="pct"/>
            <w:noWrap/>
            <w:vAlign w:val="center"/>
          </w:tcPr>
          <w:p w14:paraId="71556227" w14:textId="77777777" w:rsidR="00284861" w:rsidRPr="00490C53" w:rsidRDefault="00284861">
            <w:pPr>
              <w:pStyle w:val="Tabletext"/>
              <w:jc w:val="right"/>
              <w:rPr>
                <w:lang w:eastAsia="en-GB"/>
              </w:rPr>
            </w:pPr>
            <w:r w:rsidRPr="00490C53">
              <w:rPr>
                <w:rFonts w:cstheme="minorHAnsi"/>
                <w:szCs w:val="24"/>
              </w:rPr>
              <w:t>13.8%</w:t>
            </w:r>
          </w:p>
        </w:tc>
        <w:tc>
          <w:tcPr>
            <w:tcW w:w="1160" w:type="pct"/>
            <w:noWrap/>
            <w:vAlign w:val="center"/>
          </w:tcPr>
          <w:p w14:paraId="73A366D4" w14:textId="77777777" w:rsidR="00284861" w:rsidRPr="00490C53" w:rsidRDefault="00284861">
            <w:pPr>
              <w:pStyle w:val="Tabletext"/>
              <w:jc w:val="right"/>
              <w:rPr>
                <w:lang w:eastAsia="en-GB"/>
              </w:rPr>
            </w:pPr>
            <w:r w:rsidRPr="00490C53">
              <w:rPr>
                <w:rFonts w:cstheme="minorHAnsi"/>
                <w:szCs w:val="24"/>
              </w:rPr>
              <w:t>0.0%</w:t>
            </w:r>
          </w:p>
        </w:tc>
      </w:tr>
      <w:tr w:rsidR="00284861" w:rsidRPr="00490C53" w14:paraId="279FC5E2" w14:textId="77777777">
        <w:tblPrEx>
          <w:tblCellMar>
            <w:left w:w="108" w:type="dxa"/>
            <w:right w:w="108" w:type="dxa"/>
          </w:tblCellMar>
        </w:tblPrEx>
        <w:trPr>
          <w:trHeight w:val="290"/>
        </w:trPr>
        <w:tc>
          <w:tcPr>
            <w:tcW w:w="977" w:type="pct"/>
            <w:noWrap/>
            <w:vAlign w:val="top"/>
          </w:tcPr>
          <w:p w14:paraId="2621A940" w14:textId="77777777" w:rsidR="00284861" w:rsidRPr="00490C53" w:rsidRDefault="00284861">
            <w:pPr>
              <w:pStyle w:val="Tabletext"/>
              <w:rPr>
                <w:lang w:eastAsia="en-GB"/>
              </w:rPr>
            </w:pPr>
          </w:p>
        </w:tc>
        <w:tc>
          <w:tcPr>
            <w:tcW w:w="1746" w:type="pct"/>
            <w:noWrap/>
            <w:vAlign w:val="top"/>
          </w:tcPr>
          <w:p w14:paraId="7466B9FD" w14:textId="77777777" w:rsidR="00284861" w:rsidRPr="00490C53" w:rsidRDefault="00284861">
            <w:pPr>
              <w:pStyle w:val="Tabletext"/>
              <w:rPr>
                <w:lang w:eastAsia="en-GB"/>
              </w:rPr>
            </w:pPr>
            <w:r w:rsidRPr="00490C53">
              <w:t>Between 75,000 and 100,000</w:t>
            </w:r>
          </w:p>
        </w:tc>
        <w:tc>
          <w:tcPr>
            <w:tcW w:w="1117" w:type="pct"/>
            <w:noWrap/>
            <w:vAlign w:val="center"/>
          </w:tcPr>
          <w:p w14:paraId="23FA1287" w14:textId="77777777" w:rsidR="00284861" w:rsidRPr="00490C53" w:rsidRDefault="00284861">
            <w:pPr>
              <w:pStyle w:val="Tabletext"/>
              <w:jc w:val="right"/>
              <w:rPr>
                <w:lang w:eastAsia="en-GB"/>
              </w:rPr>
            </w:pPr>
            <w:r w:rsidRPr="00490C53">
              <w:rPr>
                <w:rFonts w:cstheme="minorHAnsi"/>
                <w:szCs w:val="24"/>
              </w:rPr>
              <w:t>10.0%</w:t>
            </w:r>
          </w:p>
        </w:tc>
        <w:tc>
          <w:tcPr>
            <w:tcW w:w="1160" w:type="pct"/>
            <w:noWrap/>
            <w:vAlign w:val="center"/>
          </w:tcPr>
          <w:p w14:paraId="4BA58302"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695CD2B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77746FE" w14:textId="77777777" w:rsidR="00284861" w:rsidRPr="00490C53" w:rsidRDefault="00284861">
            <w:pPr>
              <w:pStyle w:val="Tabletext"/>
              <w:rPr>
                <w:lang w:eastAsia="en-GB"/>
              </w:rPr>
            </w:pPr>
          </w:p>
        </w:tc>
        <w:tc>
          <w:tcPr>
            <w:tcW w:w="1746" w:type="pct"/>
            <w:noWrap/>
            <w:vAlign w:val="top"/>
          </w:tcPr>
          <w:p w14:paraId="75EB5A95" w14:textId="77777777" w:rsidR="00284861" w:rsidRPr="00490C53" w:rsidRDefault="00284861">
            <w:pPr>
              <w:pStyle w:val="Tabletext"/>
              <w:rPr>
                <w:lang w:eastAsia="en-GB"/>
              </w:rPr>
            </w:pPr>
            <w:r w:rsidRPr="00490C53">
              <w:t>Between 100,000 and 125,000</w:t>
            </w:r>
          </w:p>
        </w:tc>
        <w:tc>
          <w:tcPr>
            <w:tcW w:w="1117" w:type="pct"/>
            <w:noWrap/>
            <w:vAlign w:val="center"/>
          </w:tcPr>
          <w:p w14:paraId="60FEFDF0" w14:textId="77777777" w:rsidR="00284861" w:rsidRPr="00490C53" w:rsidRDefault="00284861">
            <w:pPr>
              <w:pStyle w:val="Tabletext"/>
              <w:jc w:val="right"/>
              <w:rPr>
                <w:lang w:eastAsia="en-GB"/>
              </w:rPr>
            </w:pPr>
            <w:r w:rsidRPr="00490C53">
              <w:rPr>
                <w:rFonts w:cstheme="minorHAnsi"/>
                <w:szCs w:val="24"/>
              </w:rPr>
              <w:t>9.5%</w:t>
            </w:r>
          </w:p>
        </w:tc>
        <w:tc>
          <w:tcPr>
            <w:tcW w:w="1160" w:type="pct"/>
            <w:noWrap/>
            <w:vAlign w:val="center"/>
          </w:tcPr>
          <w:p w14:paraId="3160CB1D"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6D8BE603" w14:textId="77777777">
        <w:tblPrEx>
          <w:tblCellMar>
            <w:left w:w="108" w:type="dxa"/>
            <w:right w:w="108" w:type="dxa"/>
          </w:tblCellMar>
        </w:tblPrEx>
        <w:trPr>
          <w:trHeight w:val="290"/>
        </w:trPr>
        <w:tc>
          <w:tcPr>
            <w:tcW w:w="977" w:type="pct"/>
            <w:noWrap/>
            <w:vAlign w:val="top"/>
          </w:tcPr>
          <w:p w14:paraId="290D1671" w14:textId="77777777" w:rsidR="00284861" w:rsidRPr="00490C53" w:rsidRDefault="00284861">
            <w:pPr>
              <w:pStyle w:val="Tabletext"/>
              <w:rPr>
                <w:lang w:eastAsia="en-GB"/>
              </w:rPr>
            </w:pPr>
          </w:p>
        </w:tc>
        <w:tc>
          <w:tcPr>
            <w:tcW w:w="1746" w:type="pct"/>
            <w:noWrap/>
            <w:vAlign w:val="top"/>
          </w:tcPr>
          <w:p w14:paraId="7622C3F7" w14:textId="77777777" w:rsidR="00284861" w:rsidRPr="00490C53" w:rsidRDefault="00284861">
            <w:pPr>
              <w:pStyle w:val="Tabletext"/>
              <w:rPr>
                <w:lang w:eastAsia="en-GB"/>
              </w:rPr>
            </w:pPr>
            <w:r w:rsidRPr="00490C53">
              <w:t>Between 125,000 and 150,000</w:t>
            </w:r>
          </w:p>
        </w:tc>
        <w:tc>
          <w:tcPr>
            <w:tcW w:w="1117" w:type="pct"/>
            <w:noWrap/>
            <w:vAlign w:val="center"/>
          </w:tcPr>
          <w:p w14:paraId="2EC4CF8C" w14:textId="77777777" w:rsidR="00284861" w:rsidRPr="00490C53" w:rsidRDefault="00284861">
            <w:pPr>
              <w:pStyle w:val="Tabletext"/>
              <w:jc w:val="right"/>
              <w:rPr>
                <w:lang w:eastAsia="en-GB"/>
              </w:rPr>
            </w:pPr>
            <w:r w:rsidRPr="00490C53">
              <w:rPr>
                <w:rFonts w:cstheme="minorHAnsi"/>
                <w:szCs w:val="24"/>
              </w:rPr>
              <w:t>5.7%</w:t>
            </w:r>
          </w:p>
        </w:tc>
        <w:tc>
          <w:tcPr>
            <w:tcW w:w="1160" w:type="pct"/>
            <w:noWrap/>
            <w:vAlign w:val="center"/>
          </w:tcPr>
          <w:p w14:paraId="4F5AE83A"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1B38480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B040557" w14:textId="77777777" w:rsidR="00284861" w:rsidRPr="00490C53" w:rsidRDefault="00284861">
            <w:pPr>
              <w:pStyle w:val="Tabletext"/>
              <w:rPr>
                <w:lang w:eastAsia="en-GB"/>
              </w:rPr>
            </w:pPr>
          </w:p>
        </w:tc>
        <w:tc>
          <w:tcPr>
            <w:tcW w:w="1746" w:type="pct"/>
            <w:noWrap/>
            <w:vAlign w:val="top"/>
          </w:tcPr>
          <w:p w14:paraId="544DA502" w14:textId="77777777" w:rsidR="00284861" w:rsidRPr="00490C53" w:rsidRDefault="00284861">
            <w:pPr>
              <w:pStyle w:val="Tabletext"/>
              <w:rPr>
                <w:lang w:eastAsia="en-GB"/>
              </w:rPr>
            </w:pPr>
            <w:r w:rsidRPr="00490C53">
              <w:t>Between 150,000 and 175,000</w:t>
            </w:r>
          </w:p>
        </w:tc>
        <w:tc>
          <w:tcPr>
            <w:tcW w:w="1117" w:type="pct"/>
            <w:noWrap/>
            <w:vAlign w:val="center"/>
          </w:tcPr>
          <w:p w14:paraId="41C025BA" w14:textId="77777777" w:rsidR="00284861" w:rsidRPr="00490C53" w:rsidRDefault="00284861">
            <w:pPr>
              <w:pStyle w:val="Tabletext"/>
              <w:jc w:val="right"/>
              <w:rPr>
                <w:lang w:eastAsia="en-GB"/>
              </w:rPr>
            </w:pPr>
            <w:r w:rsidRPr="00490C53">
              <w:rPr>
                <w:rFonts w:cstheme="minorHAnsi"/>
                <w:szCs w:val="24"/>
              </w:rPr>
              <w:t>3.1%</w:t>
            </w:r>
          </w:p>
        </w:tc>
        <w:tc>
          <w:tcPr>
            <w:tcW w:w="1160" w:type="pct"/>
            <w:noWrap/>
            <w:vAlign w:val="center"/>
          </w:tcPr>
          <w:p w14:paraId="03742EE9"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720A85C4" w14:textId="77777777">
        <w:tblPrEx>
          <w:tblCellMar>
            <w:left w:w="108" w:type="dxa"/>
            <w:right w:w="108" w:type="dxa"/>
          </w:tblCellMar>
        </w:tblPrEx>
        <w:trPr>
          <w:trHeight w:val="290"/>
        </w:trPr>
        <w:tc>
          <w:tcPr>
            <w:tcW w:w="977" w:type="pct"/>
            <w:noWrap/>
            <w:vAlign w:val="top"/>
          </w:tcPr>
          <w:p w14:paraId="59312FC1" w14:textId="77777777" w:rsidR="00284861" w:rsidRPr="00490C53" w:rsidRDefault="00284861">
            <w:pPr>
              <w:pStyle w:val="Tabletext"/>
              <w:rPr>
                <w:lang w:eastAsia="en-GB"/>
              </w:rPr>
            </w:pPr>
          </w:p>
        </w:tc>
        <w:tc>
          <w:tcPr>
            <w:tcW w:w="1746" w:type="pct"/>
            <w:noWrap/>
            <w:vAlign w:val="top"/>
          </w:tcPr>
          <w:p w14:paraId="4F01E3D1" w14:textId="77777777" w:rsidR="00284861" w:rsidRPr="00490C53" w:rsidRDefault="00284861">
            <w:pPr>
              <w:pStyle w:val="Tabletext"/>
              <w:rPr>
                <w:lang w:eastAsia="en-GB"/>
              </w:rPr>
            </w:pPr>
            <w:r w:rsidRPr="00490C53">
              <w:t>Between 175,000 and 200,000</w:t>
            </w:r>
          </w:p>
        </w:tc>
        <w:tc>
          <w:tcPr>
            <w:tcW w:w="1117" w:type="pct"/>
            <w:noWrap/>
            <w:vAlign w:val="center"/>
          </w:tcPr>
          <w:p w14:paraId="168DA790" w14:textId="77777777" w:rsidR="00284861" w:rsidRPr="00490C53" w:rsidRDefault="00284861">
            <w:pPr>
              <w:pStyle w:val="Tabletext"/>
              <w:jc w:val="right"/>
              <w:rPr>
                <w:lang w:eastAsia="en-GB"/>
              </w:rPr>
            </w:pPr>
            <w:r w:rsidRPr="00490C53">
              <w:rPr>
                <w:rFonts w:cstheme="minorHAnsi"/>
                <w:szCs w:val="24"/>
              </w:rPr>
              <w:t>1.4%</w:t>
            </w:r>
          </w:p>
        </w:tc>
        <w:tc>
          <w:tcPr>
            <w:tcW w:w="1160" w:type="pct"/>
            <w:noWrap/>
            <w:vAlign w:val="center"/>
          </w:tcPr>
          <w:p w14:paraId="53620299"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72B43E8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18BA9668" w14:textId="77777777" w:rsidR="00284861" w:rsidRPr="00490C53" w:rsidRDefault="00284861">
            <w:pPr>
              <w:pStyle w:val="Tabletext"/>
              <w:rPr>
                <w:lang w:eastAsia="en-GB"/>
              </w:rPr>
            </w:pPr>
          </w:p>
        </w:tc>
        <w:tc>
          <w:tcPr>
            <w:tcW w:w="1746" w:type="pct"/>
            <w:noWrap/>
            <w:vAlign w:val="top"/>
          </w:tcPr>
          <w:p w14:paraId="4928E454" w14:textId="77777777" w:rsidR="00284861" w:rsidRPr="00490C53" w:rsidRDefault="00284861">
            <w:pPr>
              <w:pStyle w:val="Tabletext"/>
              <w:rPr>
                <w:lang w:eastAsia="en-GB"/>
              </w:rPr>
            </w:pPr>
            <w:r w:rsidRPr="00490C53">
              <w:t>Between 200,000 and 250,000</w:t>
            </w:r>
          </w:p>
        </w:tc>
        <w:tc>
          <w:tcPr>
            <w:tcW w:w="1117" w:type="pct"/>
            <w:noWrap/>
            <w:vAlign w:val="center"/>
          </w:tcPr>
          <w:p w14:paraId="40CC4E78" w14:textId="77777777" w:rsidR="00284861" w:rsidRPr="00490C53" w:rsidRDefault="00284861">
            <w:pPr>
              <w:pStyle w:val="Tabletext"/>
              <w:jc w:val="right"/>
              <w:rPr>
                <w:lang w:eastAsia="en-GB"/>
              </w:rPr>
            </w:pPr>
            <w:r w:rsidRPr="00490C53">
              <w:rPr>
                <w:rFonts w:cstheme="minorHAnsi"/>
                <w:szCs w:val="24"/>
              </w:rPr>
              <w:t>1.4%</w:t>
            </w:r>
          </w:p>
        </w:tc>
        <w:tc>
          <w:tcPr>
            <w:tcW w:w="1160" w:type="pct"/>
            <w:noWrap/>
            <w:vAlign w:val="center"/>
          </w:tcPr>
          <w:p w14:paraId="78EB3745"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0CE01E70" w14:textId="77777777">
        <w:tblPrEx>
          <w:tblCellMar>
            <w:left w:w="108" w:type="dxa"/>
            <w:right w:w="108" w:type="dxa"/>
          </w:tblCellMar>
        </w:tblPrEx>
        <w:trPr>
          <w:trHeight w:val="290"/>
        </w:trPr>
        <w:tc>
          <w:tcPr>
            <w:tcW w:w="977" w:type="pct"/>
            <w:noWrap/>
            <w:vAlign w:val="top"/>
          </w:tcPr>
          <w:p w14:paraId="07D0F4C1" w14:textId="77777777" w:rsidR="00284861" w:rsidRPr="00490C53" w:rsidRDefault="00284861">
            <w:pPr>
              <w:pStyle w:val="Tabletext"/>
              <w:rPr>
                <w:lang w:eastAsia="en-GB"/>
              </w:rPr>
            </w:pPr>
          </w:p>
        </w:tc>
        <w:tc>
          <w:tcPr>
            <w:tcW w:w="1746" w:type="pct"/>
            <w:noWrap/>
            <w:vAlign w:val="top"/>
          </w:tcPr>
          <w:p w14:paraId="764A4CE1" w14:textId="77777777" w:rsidR="00284861" w:rsidRPr="00490C53" w:rsidRDefault="00284861">
            <w:pPr>
              <w:pStyle w:val="Tabletext"/>
              <w:rPr>
                <w:lang w:eastAsia="en-GB"/>
              </w:rPr>
            </w:pPr>
            <w:r w:rsidRPr="00490C53">
              <w:t>Between 250,000 and 350,000</w:t>
            </w:r>
          </w:p>
        </w:tc>
        <w:tc>
          <w:tcPr>
            <w:tcW w:w="1117" w:type="pct"/>
            <w:noWrap/>
            <w:vAlign w:val="center"/>
          </w:tcPr>
          <w:p w14:paraId="1B74397E" w14:textId="77777777" w:rsidR="00284861" w:rsidRPr="00490C53" w:rsidRDefault="00284861">
            <w:pPr>
              <w:pStyle w:val="Tabletext"/>
              <w:jc w:val="right"/>
              <w:rPr>
                <w:lang w:eastAsia="en-GB"/>
              </w:rPr>
            </w:pPr>
            <w:r w:rsidRPr="00490C53">
              <w:rPr>
                <w:rFonts w:cstheme="minorHAnsi"/>
                <w:szCs w:val="24"/>
              </w:rPr>
              <w:t>0.0%</w:t>
            </w:r>
          </w:p>
        </w:tc>
        <w:tc>
          <w:tcPr>
            <w:tcW w:w="1160" w:type="pct"/>
            <w:noWrap/>
            <w:vAlign w:val="center"/>
          </w:tcPr>
          <w:p w14:paraId="54CE6406" w14:textId="77777777" w:rsidR="00284861" w:rsidRPr="00490C53" w:rsidRDefault="00284861">
            <w:pPr>
              <w:pStyle w:val="Tabletext"/>
              <w:jc w:val="right"/>
              <w:rPr>
                <w:lang w:eastAsia="en-GB"/>
              </w:rPr>
            </w:pPr>
            <w:r w:rsidRPr="00490C53">
              <w:rPr>
                <w:rFonts w:cstheme="minorHAnsi"/>
                <w:szCs w:val="24"/>
              </w:rPr>
              <w:t>0.4%</w:t>
            </w:r>
          </w:p>
        </w:tc>
      </w:tr>
      <w:tr w:rsidR="00284861" w:rsidRPr="00490C53" w14:paraId="076E7DA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CFC6384" w14:textId="77777777" w:rsidR="00284861" w:rsidRPr="00490C53" w:rsidRDefault="00284861">
            <w:pPr>
              <w:pStyle w:val="Tabletext"/>
              <w:rPr>
                <w:lang w:eastAsia="en-GB"/>
              </w:rPr>
            </w:pPr>
          </w:p>
        </w:tc>
        <w:tc>
          <w:tcPr>
            <w:tcW w:w="1746" w:type="pct"/>
            <w:noWrap/>
            <w:vAlign w:val="top"/>
          </w:tcPr>
          <w:p w14:paraId="4982749A" w14:textId="77777777" w:rsidR="00284861" w:rsidRPr="00490C53" w:rsidRDefault="00284861">
            <w:pPr>
              <w:pStyle w:val="Tabletext"/>
              <w:rPr>
                <w:lang w:eastAsia="en-GB"/>
              </w:rPr>
            </w:pPr>
            <w:r w:rsidRPr="00490C53">
              <w:t>Between 350,000 and 500,000</w:t>
            </w:r>
          </w:p>
        </w:tc>
        <w:tc>
          <w:tcPr>
            <w:tcW w:w="1117" w:type="pct"/>
            <w:noWrap/>
            <w:vAlign w:val="center"/>
          </w:tcPr>
          <w:p w14:paraId="2CC013E2" w14:textId="77777777" w:rsidR="00284861" w:rsidRPr="00490C53" w:rsidRDefault="00284861">
            <w:pPr>
              <w:pStyle w:val="Tabletext"/>
              <w:jc w:val="right"/>
              <w:rPr>
                <w:lang w:eastAsia="en-GB"/>
              </w:rPr>
            </w:pPr>
            <w:r w:rsidRPr="00490C53">
              <w:rPr>
                <w:rFonts w:cstheme="minorHAnsi"/>
                <w:szCs w:val="24"/>
              </w:rPr>
              <w:t>3.1%</w:t>
            </w:r>
          </w:p>
        </w:tc>
        <w:tc>
          <w:tcPr>
            <w:tcW w:w="1160" w:type="pct"/>
            <w:noWrap/>
            <w:vAlign w:val="center"/>
          </w:tcPr>
          <w:p w14:paraId="5FC79A12"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166593BE" w14:textId="77777777">
        <w:tblPrEx>
          <w:tblCellMar>
            <w:left w:w="108" w:type="dxa"/>
            <w:right w:w="108" w:type="dxa"/>
          </w:tblCellMar>
        </w:tblPrEx>
        <w:trPr>
          <w:trHeight w:val="290"/>
        </w:trPr>
        <w:tc>
          <w:tcPr>
            <w:tcW w:w="977" w:type="pct"/>
            <w:noWrap/>
            <w:vAlign w:val="top"/>
          </w:tcPr>
          <w:p w14:paraId="34D66234" w14:textId="77777777" w:rsidR="00284861" w:rsidRPr="00490C53" w:rsidRDefault="00284861">
            <w:pPr>
              <w:pStyle w:val="Tabletext"/>
              <w:rPr>
                <w:lang w:eastAsia="en-GB"/>
              </w:rPr>
            </w:pPr>
          </w:p>
        </w:tc>
        <w:tc>
          <w:tcPr>
            <w:tcW w:w="1746" w:type="pct"/>
            <w:noWrap/>
            <w:vAlign w:val="top"/>
          </w:tcPr>
          <w:p w14:paraId="1F824121" w14:textId="77777777" w:rsidR="00284861" w:rsidRPr="00490C53" w:rsidRDefault="00284861">
            <w:pPr>
              <w:pStyle w:val="Tabletext"/>
              <w:rPr>
                <w:lang w:eastAsia="en-GB"/>
              </w:rPr>
            </w:pPr>
            <w:r w:rsidRPr="00490C53">
              <w:t>Between 500,000 and 1 million</w:t>
            </w:r>
          </w:p>
        </w:tc>
        <w:tc>
          <w:tcPr>
            <w:tcW w:w="1117" w:type="pct"/>
            <w:noWrap/>
            <w:vAlign w:val="center"/>
          </w:tcPr>
          <w:p w14:paraId="63095977" w14:textId="77777777" w:rsidR="00284861" w:rsidRPr="00490C53" w:rsidRDefault="00284861">
            <w:pPr>
              <w:pStyle w:val="Tabletext"/>
              <w:jc w:val="right"/>
              <w:rPr>
                <w:lang w:eastAsia="en-GB"/>
              </w:rPr>
            </w:pPr>
            <w:r w:rsidRPr="00490C53">
              <w:rPr>
                <w:rFonts w:cstheme="minorHAnsi"/>
                <w:szCs w:val="24"/>
              </w:rPr>
              <w:t>6.7%</w:t>
            </w:r>
          </w:p>
        </w:tc>
        <w:tc>
          <w:tcPr>
            <w:tcW w:w="1160" w:type="pct"/>
            <w:noWrap/>
            <w:vAlign w:val="center"/>
          </w:tcPr>
          <w:p w14:paraId="78BA1932"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2381B99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1E1AE2C" w14:textId="77777777" w:rsidR="00284861" w:rsidRPr="00490C53" w:rsidRDefault="00284861">
            <w:pPr>
              <w:pStyle w:val="Tabletext"/>
              <w:rPr>
                <w:lang w:eastAsia="en-GB"/>
              </w:rPr>
            </w:pPr>
          </w:p>
        </w:tc>
        <w:tc>
          <w:tcPr>
            <w:tcW w:w="1746" w:type="pct"/>
            <w:noWrap/>
            <w:vAlign w:val="top"/>
          </w:tcPr>
          <w:p w14:paraId="59E3B921" w14:textId="77777777" w:rsidR="00284861" w:rsidRPr="00490C53" w:rsidRDefault="00284861">
            <w:pPr>
              <w:pStyle w:val="Tabletext"/>
              <w:rPr>
                <w:lang w:eastAsia="en-GB"/>
              </w:rPr>
            </w:pPr>
            <w:r w:rsidRPr="00490C53">
              <w:t>Between 1 million and 5 million</w:t>
            </w:r>
          </w:p>
        </w:tc>
        <w:tc>
          <w:tcPr>
            <w:tcW w:w="1117" w:type="pct"/>
            <w:noWrap/>
            <w:vAlign w:val="center"/>
          </w:tcPr>
          <w:p w14:paraId="10421D74" w14:textId="77777777" w:rsidR="00284861" w:rsidRPr="00490C53" w:rsidRDefault="00284861">
            <w:pPr>
              <w:pStyle w:val="Tabletext"/>
              <w:jc w:val="right"/>
              <w:rPr>
                <w:lang w:eastAsia="en-GB"/>
              </w:rPr>
            </w:pPr>
            <w:r w:rsidRPr="00490C53">
              <w:rPr>
                <w:rFonts w:cstheme="minorHAnsi"/>
                <w:szCs w:val="24"/>
              </w:rPr>
              <w:t>21.3%</w:t>
            </w:r>
          </w:p>
        </w:tc>
        <w:tc>
          <w:tcPr>
            <w:tcW w:w="1160" w:type="pct"/>
            <w:noWrap/>
            <w:vAlign w:val="center"/>
          </w:tcPr>
          <w:p w14:paraId="5370A549"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6CFFB36B" w14:textId="77777777">
        <w:tblPrEx>
          <w:tblCellMar>
            <w:left w:w="108" w:type="dxa"/>
            <w:right w:w="108" w:type="dxa"/>
          </w:tblCellMar>
        </w:tblPrEx>
        <w:trPr>
          <w:trHeight w:val="290"/>
        </w:trPr>
        <w:tc>
          <w:tcPr>
            <w:tcW w:w="977" w:type="pct"/>
            <w:noWrap/>
            <w:vAlign w:val="top"/>
          </w:tcPr>
          <w:p w14:paraId="42B88D33" w14:textId="77777777" w:rsidR="00284861" w:rsidRPr="00490C53" w:rsidRDefault="00284861">
            <w:pPr>
              <w:pStyle w:val="Tabletext"/>
              <w:rPr>
                <w:lang w:eastAsia="en-GB"/>
              </w:rPr>
            </w:pPr>
          </w:p>
        </w:tc>
        <w:tc>
          <w:tcPr>
            <w:tcW w:w="1746" w:type="pct"/>
            <w:noWrap/>
            <w:vAlign w:val="center"/>
          </w:tcPr>
          <w:p w14:paraId="3D0DA6BC" w14:textId="77777777" w:rsidR="00284861" w:rsidRPr="00490C53" w:rsidRDefault="00284861">
            <w:pPr>
              <w:pStyle w:val="Tabletext"/>
            </w:pPr>
            <w:r w:rsidRPr="00490C53">
              <w:t>Between 5 million and 25 million</w:t>
            </w:r>
          </w:p>
        </w:tc>
        <w:tc>
          <w:tcPr>
            <w:tcW w:w="1117" w:type="pct"/>
            <w:noWrap/>
            <w:vAlign w:val="center"/>
          </w:tcPr>
          <w:p w14:paraId="4FC23F88" w14:textId="77777777" w:rsidR="00284861" w:rsidRPr="00490C53" w:rsidRDefault="00284861">
            <w:pPr>
              <w:pStyle w:val="Tabletext"/>
              <w:jc w:val="right"/>
              <w:rPr>
                <w:rFonts w:cstheme="minorHAnsi"/>
                <w:szCs w:val="24"/>
              </w:rPr>
            </w:pPr>
            <w:r w:rsidRPr="00490C53">
              <w:rPr>
                <w:rFonts w:cstheme="minorHAnsi"/>
                <w:szCs w:val="24"/>
              </w:rPr>
              <w:t>23.0%</w:t>
            </w:r>
          </w:p>
        </w:tc>
        <w:tc>
          <w:tcPr>
            <w:tcW w:w="1160" w:type="pct"/>
            <w:noWrap/>
            <w:vAlign w:val="center"/>
          </w:tcPr>
          <w:p w14:paraId="6A0C17F3" w14:textId="77777777" w:rsidR="00284861" w:rsidRPr="00490C53" w:rsidRDefault="00284861">
            <w:pPr>
              <w:pStyle w:val="Tabletext"/>
              <w:jc w:val="right"/>
              <w:rPr>
                <w:rFonts w:cstheme="minorHAnsi"/>
                <w:szCs w:val="24"/>
              </w:rPr>
            </w:pPr>
            <w:r w:rsidRPr="00490C53">
              <w:rPr>
                <w:rFonts w:cstheme="minorHAnsi"/>
                <w:szCs w:val="24"/>
              </w:rPr>
              <w:t>0.2%</w:t>
            </w:r>
          </w:p>
        </w:tc>
      </w:tr>
      <w:tr w:rsidR="00284861" w:rsidRPr="00490C53" w14:paraId="6ACD6FA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8931086" w14:textId="77777777" w:rsidR="00284861" w:rsidRPr="00490C53" w:rsidRDefault="00284861">
            <w:pPr>
              <w:pStyle w:val="Tabletext"/>
              <w:rPr>
                <w:lang w:eastAsia="en-GB"/>
              </w:rPr>
            </w:pPr>
          </w:p>
        </w:tc>
        <w:tc>
          <w:tcPr>
            <w:tcW w:w="1746" w:type="pct"/>
            <w:noWrap/>
            <w:vAlign w:val="center"/>
          </w:tcPr>
          <w:p w14:paraId="2CEDB9E0" w14:textId="77777777" w:rsidR="00284861" w:rsidRPr="00490C53" w:rsidRDefault="00284861">
            <w:pPr>
              <w:pStyle w:val="Tabletext"/>
            </w:pPr>
            <w:r w:rsidRPr="00490C53">
              <w:t>Between 25 million and 100 million</w:t>
            </w:r>
          </w:p>
        </w:tc>
        <w:tc>
          <w:tcPr>
            <w:tcW w:w="1117" w:type="pct"/>
            <w:noWrap/>
            <w:vAlign w:val="center"/>
          </w:tcPr>
          <w:p w14:paraId="37008E02" w14:textId="77777777" w:rsidR="00284861" w:rsidRPr="00490C53" w:rsidRDefault="00284861">
            <w:pPr>
              <w:pStyle w:val="Tabletext"/>
              <w:jc w:val="right"/>
              <w:rPr>
                <w:rFonts w:cstheme="minorHAnsi"/>
                <w:szCs w:val="24"/>
              </w:rPr>
            </w:pPr>
            <w:r w:rsidRPr="00490C53">
              <w:rPr>
                <w:rFonts w:cstheme="minorHAnsi"/>
                <w:szCs w:val="24"/>
              </w:rPr>
              <w:t>4.2%</w:t>
            </w:r>
          </w:p>
        </w:tc>
        <w:tc>
          <w:tcPr>
            <w:tcW w:w="1160" w:type="pct"/>
            <w:noWrap/>
            <w:vAlign w:val="center"/>
          </w:tcPr>
          <w:p w14:paraId="2B54AF15" w14:textId="77777777" w:rsidR="00284861" w:rsidRPr="00490C53" w:rsidRDefault="00284861">
            <w:pPr>
              <w:pStyle w:val="Tabletext"/>
              <w:jc w:val="right"/>
              <w:rPr>
                <w:rFonts w:cstheme="minorHAnsi"/>
                <w:szCs w:val="24"/>
              </w:rPr>
            </w:pPr>
            <w:r w:rsidRPr="00490C53">
              <w:rPr>
                <w:rFonts w:cstheme="minorHAnsi"/>
                <w:szCs w:val="24"/>
              </w:rPr>
              <w:t>0.1%</w:t>
            </w:r>
          </w:p>
        </w:tc>
      </w:tr>
      <w:tr w:rsidR="00284861" w:rsidRPr="00490C53" w14:paraId="3C5976CF" w14:textId="77777777">
        <w:tblPrEx>
          <w:tblCellMar>
            <w:left w:w="108" w:type="dxa"/>
            <w:right w:w="108" w:type="dxa"/>
          </w:tblCellMar>
        </w:tblPrEx>
        <w:trPr>
          <w:trHeight w:val="290"/>
        </w:trPr>
        <w:tc>
          <w:tcPr>
            <w:tcW w:w="977" w:type="pct"/>
            <w:noWrap/>
            <w:vAlign w:val="top"/>
          </w:tcPr>
          <w:p w14:paraId="66403366" w14:textId="77777777" w:rsidR="00284861" w:rsidRPr="00490C53" w:rsidRDefault="00284861">
            <w:pPr>
              <w:pStyle w:val="Tabletext"/>
              <w:rPr>
                <w:lang w:eastAsia="en-GB"/>
              </w:rPr>
            </w:pPr>
          </w:p>
        </w:tc>
        <w:tc>
          <w:tcPr>
            <w:tcW w:w="1746" w:type="pct"/>
            <w:noWrap/>
            <w:vAlign w:val="center"/>
          </w:tcPr>
          <w:p w14:paraId="4800CE02" w14:textId="77777777" w:rsidR="00284861" w:rsidRPr="00490C53" w:rsidRDefault="00284861">
            <w:pPr>
              <w:pStyle w:val="Tabletext"/>
            </w:pPr>
            <w:r w:rsidRPr="00490C53">
              <w:t>More than 100 million</w:t>
            </w:r>
          </w:p>
        </w:tc>
        <w:tc>
          <w:tcPr>
            <w:tcW w:w="1117" w:type="pct"/>
            <w:noWrap/>
            <w:vAlign w:val="center"/>
          </w:tcPr>
          <w:p w14:paraId="61EC0987" w14:textId="77777777" w:rsidR="00284861" w:rsidRPr="00490C53" w:rsidRDefault="00284861">
            <w:pPr>
              <w:pStyle w:val="Tabletext"/>
              <w:jc w:val="right"/>
              <w:rPr>
                <w:rFonts w:cstheme="minorHAnsi"/>
                <w:szCs w:val="24"/>
              </w:rPr>
            </w:pPr>
            <w:r w:rsidRPr="00490C53">
              <w:rPr>
                <w:rFonts w:cstheme="minorHAnsi"/>
                <w:szCs w:val="24"/>
              </w:rPr>
              <w:t>0.3%</w:t>
            </w:r>
          </w:p>
        </w:tc>
        <w:tc>
          <w:tcPr>
            <w:tcW w:w="1160" w:type="pct"/>
            <w:noWrap/>
            <w:vAlign w:val="center"/>
          </w:tcPr>
          <w:p w14:paraId="373661FA" w14:textId="77777777" w:rsidR="00284861" w:rsidRPr="00490C53" w:rsidRDefault="00284861">
            <w:pPr>
              <w:pStyle w:val="Tabletext"/>
              <w:jc w:val="right"/>
              <w:rPr>
                <w:rFonts w:cstheme="minorHAnsi"/>
                <w:szCs w:val="24"/>
              </w:rPr>
            </w:pPr>
            <w:r w:rsidRPr="00490C53">
              <w:rPr>
                <w:rFonts w:cstheme="minorHAnsi"/>
                <w:szCs w:val="24"/>
              </w:rPr>
              <w:t>0.1%</w:t>
            </w:r>
          </w:p>
        </w:tc>
      </w:tr>
      <w:tr w:rsidR="00284861" w:rsidRPr="00490C53" w14:paraId="70575FD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F2FA583" w14:textId="77777777" w:rsidR="00284861" w:rsidRPr="00490C53" w:rsidRDefault="00284861">
            <w:pPr>
              <w:pStyle w:val="Tabletext"/>
              <w:rPr>
                <w:lang w:eastAsia="en-GB"/>
              </w:rPr>
            </w:pPr>
            <w:r w:rsidRPr="00490C53">
              <w:rPr>
                <w:b/>
                <w:bCs/>
              </w:rPr>
              <w:t>Employment</w:t>
            </w:r>
          </w:p>
        </w:tc>
        <w:tc>
          <w:tcPr>
            <w:tcW w:w="1746" w:type="pct"/>
            <w:noWrap/>
            <w:vAlign w:val="top"/>
          </w:tcPr>
          <w:p w14:paraId="71ED62E9" w14:textId="77777777" w:rsidR="00284861" w:rsidRPr="00490C53" w:rsidRDefault="00284861">
            <w:pPr>
              <w:pStyle w:val="Tabletext"/>
              <w:rPr>
                <w:lang w:eastAsia="en-GB"/>
              </w:rPr>
            </w:pPr>
            <w:r w:rsidRPr="00490C53">
              <w:t>1 employee</w:t>
            </w:r>
          </w:p>
        </w:tc>
        <w:tc>
          <w:tcPr>
            <w:tcW w:w="1117" w:type="pct"/>
            <w:noWrap/>
            <w:vAlign w:val="center"/>
          </w:tcPr>
          <w:p w14:paraId="3AF87A0F" w14:textId="77777777" w:rsidR="00284861" w:rsidRPr="00490C53" w:rsidRDefault="00284861">
            <w:pPr>
              <w:pStyle w:val="Tabletext"/>
              <w:jc w:val="right"/>
              <w:rPr>
                <w:lang w:eastAsia="en-GB"/>
              </w:rPr>
            </w:pPr>
            <w:r w:rsidRPr="00490C53">
              <w:rPr>
                <w:rFonts w:cstheme="minorHAnsi"/>
                <w:szCs w:val="24"/>
              </w:rPr>
              <w:t>46.1%</w:t>
            </w:r>
          </w:p>
        </w:tc>
        <w:tc>
          <w:tcPr>
            <w:tcW w:w="1160" w:type="pct"/>
            <w:noWrap/>
            <w:vAlign w:val="center"/>
          </w:tcPr>
          <w:p w14:paraId="696F5D33"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5461D5A3" w14:textId="77777777">
        <w:tblPrEx>
          <w:tblCellMar>
            <w:left w:w="108" w:type="dxa"/>
            <w:right w:w="108" w:type="dxa"/>
          </w:tblCellMar>
        </w:tblPrEx>
        <w:trPr>
          <w:trHeight w:val="290"/>
        </w:trPr>
        <w:tc>
          <w:tcPr>
            <w:tcW w:w="977" w:type="pct"/>
            <w:noWrap/>
            <w:vAlign w:val="top"/>
          </w:tcPr>
          <w:p w14:paraId="6305A887" w14:textId="77777777" w:rsidR="00284861" w:rsidRPr="00490C53" w:rsidRDefault="00284861">
            <w:pPr>
              <w:pStyle w:val="Tabletext"/>
              <w:rPr>
                <w:lang w:eastAsia="en-GB"/>
              </w:rPr>
            </w:pPr>
          </w:p>
        </w:tc>
        <w:tc>
          <w:tcPr>
            <w:tcW w:w="1746" w:type="pct"/>
            <w:noWrap/>
            <w:vAlign w:val="top"/>
          </w:tcPr>
          <w:p w14:paraId="6B1F3DFF" w14:textId="77777777" w:rsidR="00284861" w:rsidRPr="00490C53" w:rsidRDefault="00284861">
            <w:pPr>
              <w:pStyle w:val="Tabletext"/>
              <w:rPr>
                <w:lang w:eastAsia="en-GB"/>
              </w:rPr>
            </w:pPr>
            <w:r w:rsidRPr="00490C53">
              <w:t>2-3 employees</w:t>
            </w:r>
          </w:p>
        </w:tc>
        <w:tc>
          <w:tcPr>
            <w:tcW w:w="1117" w:type="pct"/>
            <w:noWrap/>
            <w:vAlign w:val="center"/>
          </w:tcPr>
          <w:p w14:paraId="289A629D" w14:textId="77777777" w:rsidR="00284861" w:rsidRPr="00490C53" w:rsidRDefault="00284861">
            <w:pPr>
              <w:pStyle w:val="Tabletext"/>
              <w:jc w:val="right"/>
              <w:rPr>
                <w:lang w:eastAsia="en-GB"/>
              </w:rPr>
            </w:pPr>
            <w:r w:rsidRPr="00490C53">
              <w:rPr>
                <w:rFonts w:cstheme="minorHAnsi"/>
                <w:szCs w:val="24"/>
              </w:rPr>
              <w:t>11.1%</w:t>
            </w:r>
          </w:p>
        </w:tc>
        <w:tc>
          <w:tcPr>
            <w:tcW w:w="1160" w:type="pct"/>
            <w:noWrap/>
            <w:vAlign w:val="center"/>
          </w:tcPr>
          <w:p w14:paraId="45C5E7FE"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05F1613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84DAA4D" w14:textId="77777777" w:rsidR="00284861" w:rsidRPr="00490C53" w:rsidRDefault="00284861">
            <w:pPr>
              <w:pStyle w:val="Tabletext"/>
              <w:rPr>
                <w:lang w:eastAsia="en-GB"/>
              </w:rPr>
            </w:pPr>
          </w:p>
        </w:tc>
        <w:tc>
          <w:tcPr>
            <w:tcW w:w="1746" w:type="pct"/>
            <w:noWrap/>
            <w:vAlign w:val="top"/>
          </w:tcPr>
          <w:p w14:paraId="668B2EE0" w14:textId="77777777" w:rsidR="00284861" w:rsidRPr="00490C53" w:rsidRDefault="00284861">
            <w:pPr>
              <w:pStyle w:val="Tabletext"/>
              <w:rPr>
                <w:lang w:eastAsia="en-GB"/>
              </w:rPr>
            </w:pPr>
            <w:r w:rsidRPr="00490C53">
              <w:t>4-5 employees</w:t>
            </w:r>
          </w:p>
        </w:tc>
        <w:tc>
          <w:tcPr>
            <w:tcW w:w="1117" w:type="pct"/>
            <w:noWrap/>
            <w:vAlign w:val="center"/>
          </w:tcPr>
          <w:p w14:paraId="04923E97" w14:textId="77777777" w:rsidR="00284861" w:rsidRPr="00490C53" w:rsidRDefault="00284861">
            <w:pPr>
              <w:pStyle w:val="Tabletext"/>
              <w:jc w:val="right"/>
              <w:rPr>
                <w:lang w:eastAsia="en-GB"/>
              </w:rPr>
            </w:pPr>
            <w:r w:rsidRPr="00490C53">
              <w:rPr>
                <w:rFonts w:cstheme="minorHAnsi"/>
                <w:szCs w:val="24"/>
              </w:rPr>
              <w:t>2.0%</w:t>
            </w:r>
          </w:p>
        </w:tc>
        <w:tc>
          <w:tcPr>
            <w:tcW w:w="1160" w:type="pct"/>
            <w:noWrap/>
            <w:vAlign w:val="center"/>
          </w:tcPr>
          <w:p w14:paraId="7977D9F4"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334E8125" w14:textId="77777777">
        <w:tblPrEx>
          <w:tblCellMar>
            <w:left w:w="108" w:type="dxa"/>
            <w:right w:w="108" w:type="dxa"/>
          </w:tblCellMar>
        </w:tblPrEx>
        <w:trPr>
          <w:trHeight w:val="290"/>
        </w:trPr>
        <w:tc>
          <w:tcPr>
            <w:tcW w:w="977" w:type="pct"/>
            <w:noWrap/>
            <w:vAlign w:val="top"/>
          </w:tcPr>
          <w:p w14:paraId="182AA93D" w14:textId="77777777" w:rsidR="00284861" w:rsidRPr="00490C53" w:rsidRDefault="00284861">
            <w:pPr>
              <w:pStyle w:val="Tabletext"/>
              <w:rPr>
                <w:lang w:eastAsia="en-GB"/>
              </w:rPr>
            </w:pPr>
          </w:p>
        </w:tc>
        <w:tc>
          <w:tcPr>
            <w:tcW w:w="1746" w:type="pct"/>
            <w:noWrap/>
            <w:vAlign w:val="top"/>
          </w:tcPr>
          <w:p w14:paraId="37AB361E" w14:textId="77777777" w:rsidR="00284861" w:rsidRPr="00490C53" w:rsidRDefault="00284861">
            <w:pPr>
              <w:pStyle w:val="Tabletext"/>
              <w:rPr>
                <w:lang w:eastAsia="en-GB"/>
              </w:rPr>
            </w:pPr>
            <w:r w:rsidRPr="00490C53">
              <w:t>6-7 employees</w:t>
            </w:r>
          </w:p>
        </w:tc>
        <w:tc>
          <w:tcPr>
            <w:tcW w:w="1117" w:type="pct"/>
            <w:noWrap/>
            <w:vAlign w:val="center"/>
          </w:tcPr>
          <w:p w14:paraId="3E47F623" w14:textId="77777777" w:rsidR="00284861" w:rsidRPr="00490C53" w:rsidRDefault="00284861">
            <w:pPr>
              <w:pStyle w:val="Tabletext"/>
              <w:jc w:val="right"/>
              <w:rPr>
                <w:lang w:eastAsia="en-GB"/>
              </w:rPr>
            </w:pPr>
            <w:r w:rsidRPr="00490C53">
              <w:rPr>
                <w:rFonts w:cstheme="minorHAnsi"/>
                <w:szCs w:val="24"/>
              </w:rPr>
              <w:t>3.3%</w:t>
            </w:r>
          </w:p>
        </w:tc>
        <w:tc>
          <w:tcPr>
            <w:tcW w:w="1160" w:type="pct"/>
            <w:noWrap/>
            <w:vAlign w:val="center"/>
          </w:tcPr>
          <w:p w14:paraId="69BA835D" w14:textId="77777777" w:rsidR="00284861" w:rsidRPr="00490C53" w:rsidRDefault="00284861">
            <w:pPr>
              <w:pStyle w:val="Tabletext"/>
              <w:jc w:val="right"/>
              <w:rPr>
                <w:lang w:eastAsia="en-GB"/>
              </w:rPr>
            </w:pPr>
            <w:r w:rsidRPr="00490C53">
              <w:rPr>
                <w:rFonts w:cstheme="minorHAnsi"/>
                <w:szCs w:val="24"/>
              </w:rPr>
              <w:t>0.0%</w:t>
            </w:r>
          </w:p>
        </w:tc>
      </w:tr>
      <w:tr w:rsidR="00284861" w:rsidRPr="00490C53" w14:paraId="75FE568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5BD33AB" w14:textId="77777777" w:rsidR="00284861" w:rsidRPr="00490C53" w:rsidRDefault="00284861">
            <w:pPr>
              <w:pStyle w:val="Tabletext"/>
              <w:rPr>
                <w:lang w:eastAsia="en-GB"/>
              </w:rPr>
            </w:pPr>
          </w:p>
        </w:tc>
        <w:tc>
          <w:tcPr>
            <w:tcW w:w="1746" w:type="pct"/>
            <w:noWrap/>
            <w:vAlign w:val="top"/>
          </w:tcPr>
          <w:p w14:paraId="26740F0C" w14:textId="77777777" w:rsidR="00284861" w:rsidRPr="00490C53" w:rsidRDefault="00284861">
            <w:pPr>
              <w:pStyle w:val="Tabletext"/>
              <w:rPr>
                <w:lang w:eastAsia="en-GB"/>
              </w:rPr>
            </w:pPr>
            <w:r w:rsidRPr="00490C53">
              <w:t>8-9 employees</w:t>
            </w:r>
          </w:p>
        </w:tc>
        <w:tc>
          <w:tcPr>
            <w:tcW w:w="1117" w:type="pct"/>
            <w:noWrap/>
            <w:vAlign w:val="center"/>
          </w:tcPr>
          <w:p w14:paraId="4D7216BA" w14:textId="77777777" w:rsidR="00284861" w:rsidRPr="00490C53" w:rsidRDefault="00284861">
            <w:pPr>
              <w:pStyle w:val="Tabletext"/>
              <w:jc w:val="right"/>
              <w:rPr>
                <w:lang w:eastAsia="en-GB"/>
              </w:rPr>
            </w:pPr>
            <w:r w:rsidRPr="00490C53">
              <w:rPr>
                <w:rFonts w:cstheme="minorHAnsi"/>
                <w:szCs w:val="24"/>
              </w:rPr>
              <w:t>3.6%</w:t>
            </w:r>
          </w:p>
        </w:tc>
        <w:tc>
          <w:tcPr>
            <w:tcW w:w="1160" w:type="pct"/>
            <w:noWrap/>
            <w:vAlign w:val="center"/>
          </w:tcPr>
          <w:p w14:paraId="2CDEAF78" w14:textId="77777777" w:rsidR="00284861" w:rsidRPr="00490C53" w:rsidRDefault="00284861">
            <w:pPr>
              <w:pStyle w:val="Tabletext"/>
              <w:jc w:val="right"/>
              <w:rPr>
                <w:lang w:eastAsia="en-GB"/>
              </w:rPr>
            </w:pPr>
            <w:r w:rsidRPr="00490C53">
              <w:rPr>
                <w:rFonts w:cstheme="minorHAnsi"/>
                <w:szCs w:val="24"/>
              </w:rPr>
              <w:t>0.3%</w:t>
            </w:r>
          </w:p>
        </w:tc>
      </w:tr>
      <w:tr w:rsidR="00284861" w:rsidRPr="00490C53" w14:paraId="04DFC113" w14:textId="77777777">
        <w:tblPrEx>
          <w:tblCellMar>
            <w:left w:w="108" w:type="dxa"/>
            <w:right w:w="108" w:type="dxa"/>
          </w:tblCellMar>
        </w:tblPrEx>
        <w:trPr>
          <w:trHeight w:val="290"/>
        </w:trPr>
        <w:tc>
          <w:tcPr>
            <w:tcW w:w="977" w:type="pct"/>
            <w:noWrap/>
            <w:vAlign w:val="top"/>
          </w:tcPr>
          <w:p w14:paraId="394A3AE8" w14:textId="77777777" w:rsidR="00284861" w:rsidRPr="00490C53" w:rsidRDefault="00284861">
            <w:pPr>
              <w:pStyle w:val="Tabletext"/>
              <w:rPr>
                <w:lang w:eastAsia="en-GB"/>
              </w:rPr>
            </w:pPr>
          </w:p>
        </w:tc>
        <w:tc>
          <w:tcPr>
            <w:tcW w:w="1746" w:type="pct"/>
            <w:noWrap/>
            <w:vAlign w:val="top"/>
          </w:tcPr>
          <w:p w14:paraId="6FC2A33B" w14:textId="77777777" w:rsidR="00284861" w:rsidRPr="00490C53" w:rsidRDefault="00284861">
            <w:pPr>
              <w:pStyle w:val="Tabletext"/>
              <w:rPr>
                <w:lang w:eastAsia="en-GB"/>
              </w:rPr>
            </w:pPr>
            <w:r w:rsidRPr="00490C53">
              <w:t>10-14 employees</w:t>
            </w:r>
          </w:p>
        </w:tc>
        <w:tc>
          <w:tcPr>
            <w:tcW w:w="1117" w:type="pct"/>
            <w:noWrap/>
            <w:vAlign w:val="center"/>
          </w:tcPr>
          <w:p w14:paraId="18FCFD2E" w14:textId="77777777" w:rsidR="00284861" w:rsidRPr="00490C53" w:rsidRDefault="00284861">
            <w:pPr>
              <w:pStyle w:val="Tabletext"/>
              <w:jc w:val="right"/>
              <w:rPr>
                <w:lang w:eastAsia="en-GB"/>
              </w:rPr>
            </w:pPr>
            <w:r w:rsidRPr="00490C53">
              <w:rPr>
                <w:rFonts w:cstheme="minorHAnsi"/>
                <w:szCs w:val="24"/>
              </w:rPr>
              <w:t>6.9%</w:t>
            </w:r>
          </w:p>
        </w:tc>
        <w:tc>
          <w:tcPr>
            <w:tcW w:w="1160" w:type="pct"/>
            <w:noWrap/>
            <w:vAlign w:val="center"/>
          </w:tcPr>
          <w:p w14:paraId="3C89932C"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0F9BCB0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16FEB153" w14:textId="77777777" w:rsidR="00284861" w:rsidRPr="00490C53" w:rsidRDefault="00284861">
            <w:pPr>
              <w:pStyle w:val="Tabletext"/>
              <w:rPr>
                <w:lang w:eastAsia="en-GB"/>
              </w:rPr>
            </w:pPr>
          </w:p>
        </w:tc>
        <w:tc>
          <w:tcPr>
            <w:tcW w:w="1746" w:type="pct"/>
            <w:noWrap/>
            <w:vAlign w:val="top"/>
          </w:tcPr>
          <w:p w14:paraId="43E57234" w14:textId="77777777" w:rsidR="00284861" w:rsidRPr="00490C53" w:rsidRDefault="00284861">
            <w:pPr>
              <w:pStyle w:val="Tabletext"/>
              <w:rPr>
                <w:lang w:eastAsia="en-GB"/>
              </w:rPr>
            </w:pPr>
            <w:r w:rsidRPr="00490C53">
              <w:t>15-24 employees</w:t>
            </w:r>
          </w:p>
        </w:tc>
        <w:tc>
          <w:tcPr>
            <w:tcW w:w="1117" w:type="pct"/>
            <w:noWrap/>
            <w:vAlign w:val="center"/>
          </w:tcPr>
          <w:p w14:paraId="545AFF72" w14:textId="77777777" w:rsidR="00284861" w:rsidRPr="00490C53" w:rsidRDefault="00284861">
            <w:pPr>
              <w:pStyle w:val="Tabletext"/>
              <w:jc w:val="right"/>
              <w:rPr>
                <w:lang w:eastAsia="en-GB"/>
              </w:rPr>
            </w:pPr>
            <w:r w:rsidRPr="00490C53">
              <w:rPr>
                <w:rFonts w:cstheme="minorHAnsi"/>
                <w:szCs w:val="24"/>
              </w:rPr>
              <w:t>9.7%</w:t>
            </w:r>
          </w:p>
        </w:tc>
        <w:tc>
          <w:tcPr>
            <w:tcW w:w="1160" w:type="pct"/>
            <w:noWrap/>
            <w:vAlign w:val="center"/>
          </w:tcPr>
          <w:p w14:paraId="420687FD"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5EF64B6E" w14:textId="77777777">
        <w:tblPrEx>
          <w:tblCellMar>
            <w:left w:w="108" w:type="dxa"/>
            <w:right w:w="108" w:type="dxa"/>
          </w:tblCellMar>
        </w:tblPrEx>
        <w:trPr>
          <w:trHeight w:val="290"/>
        </w:trPr>
        <w:tc>
          <w:tcPr>
            <w:tcW w:w="977" w:type="pct"/>
            <w:noWrap/>
            <w:vAlign w:val="top"/>
          </w:tcPr>
          <w:p w14:paraId="66C7B3E3" w14:textId="77777777" w:rsidR="00284861" w:rsidRPr="00490C53" w:rsidRDefault="00284861">
            <w:pPr>
              <w:pStyle w:val="Tabletext"/>
              <w:rPr>
                <w:lang w:eastAsia="en-GB"/>
              </w:rPr>
            </w:pPr>
          </w:p>
        </w:tc>
        <w:tc>
          <w:tcPr>
            <w:tcW w:w="1746" w:type="pct"/>
            <w:noWrap/>
            <w:vAlign w:val="top"/>
          </w:tcPr>
          <w:p w14:paraId="164CF318" w14:textId="77777777" w:rsidR="00284861" w:rsidRPr="00490C53" w:rsidRDefault="00284861">
            <w:pPr>
              <w:pStyle w:val="Tabletext"/>
              <w:rPr>
                <w:lang w:eastAsia="en-GB"/>
              </w:rPr>
            </w:pPr>
            <w:r w:rsidRPr="00490C53">
              <w:t>25-49 employees</w:t>
            </w:r>
          </w:p>
        </w:tc>
        <w:tc>
          <w:tcPr>
            <w:tcW w:w="1117" w:type="pct"/>
            <w:noWrap/>
            <w:vAlign w:val="center"/>
          </w:tcPr>
          <w:p w14:paraId="21169B37" w14:textId="77777777" w:rsidR="00284861" w:rsidRPr="00490C53" w:rsidRDefault="00284861">
            <w:pPr>
              <w:pStyle w:val="Tabletext"/>
              <w:jc w:val="right"/>
              <w:rPr>
                <w:lang w:eastAsia="en-GB"/>
              </w:rPr>
            </w:pPr>
            <w:r w:rsidRPr="00490C53">
              <w:rPr>
                <w:rFonts w:cstheme="minorHAnsi"/>
                <w:szCs w:val="24"/>
              </w:rPr>
              <w:t>12.5%</w:t>
            </w:r>
          </w:p>
        </w:tc>
        <w:tc>
          <w:tcPr>
            <w:tcW w:w="1160" w:type="pct"/>
            <w:noWrap/>
            <w:vAlign w:val="center"/>
          </w:tcPr>
          <w:p w14:paraId="7B4D48FF"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02C3F54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9B8B146" w14:textId="77777777" w:rsidR="00284861" w:rsidRPr="00490C53" w:rsidRDefault="00284861">
            <w:pPr>
              <w:pStyle w:val="Tabletext"/>
              <w:rPr>
                <w:lang w:eastAsia="en-GB"/>
              </w:rPr>
            </w:pPr>
          </w:p>
        </w:tc>
        <w:tc>
          <w:tcPr>
            <w:tcW w:w="1746" w:type="pct"/>
            <w:noWrap/>
            <w:vAlign w:val="top"/>
          </w:tcPr>
          <w:p w14:paraId="2D759D01" w14:textId="77777777" w:rsidR="00284861" w:rsidRPr="00490C53" w:rsidRDefault="00284861">
            <w:pPr>
              <w:pStyle w:val="Tabletext"/>
              <w:rPr>
                <w:lang w:eastAsia="en-GB"/>
              </w:rPr>
            </w:pPr>
            <w:r w:rsidRPr="00490C53">
              <w:t>50-249 employees</w:t>
            </w:r>
          </w:p>
        </w:tc>
        <w:tc>
          <w:tcPr>
            <w:tcW w:w="1117" w:type="pct"/>
            <w:noWrap/>
            <w:vAlign w:val="center"/>
          </w:tcPr>
          <w:p w14:paraId="1414E949" w14:textId="77777777" w:rsidR="00284861" w:rsidRPr="00490C53" w:rsidRDefault="00284861">
            <w:pPr>
              <w:pStyle w:val="Tabletext"/>
              <w:jc w:val="right"/>
              <w:rPr>
                <w:lang w:eastAsia="en-GB"/>
              </w:rPr>
            </w:pPr>
            <w:r w:rsidRPr="00490C53">
              <w:rPr>
                <w:rFonts w:cstheme="minorHAnsi"/>
                <w:szCs w:val="24"/>
              </w:rPr>
              <w:t>16.5%</w:t>
            </w:r>
          </w:p>
        </w:tc>
        <w:tc>
          <w:tcPr>
            <w:tcW w:w="1160" w:type="pct"/>
            <w:noWrap/>
            <w:vAlign w:val="center"/>
          </w:tcPr>
          <w:p w14:paraId="014658A9"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7F3C5414" w14:textId="77777777">
        <w:tblPrEx>
          <w:tblCellMar>
            <w:left w:w="108" w:type="dxa"/>
            <w:right w:w="108" w:type="dxa"/>
          </w:tblCellMar>
        </w:tblPrEx>
        <w:trPr>
          <w:trHeight w:val="290"/>
        </w:trPr>
        <w:tc>
          <w:tcPr>
            <w:tcW w:w="977" w:type="pct"/>
            <w:noWrap/>
            <w:vAlign w:val="top"/>
          </w:tcPr>
          <w:p w14:paraId="32A5933D" w14:textId="77777777" w:rsidR="00284861" w:rsidRPr="00490C53" w:rsidRDefault="00284861">
            <w:pPr>
              <w:pStyle w:val="Tabletext"/>
              <w:rPr>
                <w:lang w:eastAsia="en-GB"/>
              </w:rPr>
            </w:pPr>
          </w:p>
        </w:tc>
        <w:tc>
          <w:tcPr>
            <w:tcW w:w="1746" w:type="pct"/>
            <w:noWrap/>
            <w:vAlign w:val="top"/>
          </w:tcPr>
          <w:p w14:paraId="150E6676" w14:textId="77777777" w:rsidR="00284861" w:rsidRPr="00490C53" w:rsidRDefault="00284861">
            <w:pPr>
              <w:pStyle w:val="Tabletext"/>
              <w:rPr>
                <w:lang w:eastAsia="en-GB"/>
              </w:rPr>
            </w:pPr>
            <w:r w:rsidRPr="00490C53">
              <w:t>More than 250 employees</w:t>
            </w:r>
          </w:p>
        </w:tc>
        <w:tc>
          <w:tcPr>
            <w:tcW w:w="1117" w:type="pct"/>
            <w:noWrap/>
            <w:vAlign w:val="center"/>
          </w:tcPr>
          <w:p w14:paraId="647D7925" w14:textId="77777777" w:rsidR="00284861" w:rsidRPr="00490C53" w:rsidRDefault="00284861">
            <w:pPr>
              <w:pStyle w:val="Tabletext"/>
              <w:jc w:val="right"/>
              <w:rPr>
                <w:lang w:eastAsia="en-GB"/>
              </w:rPr>
            </w:pPr>
            <w:r w:rsidRPr="00490C53">
              <w:rPr>
                <w:rFonts w:cstheme="minorHAnsi"/>
                <w:szCs w:val="24"/>
              </w:rPr>
              <w:t>2.6%</w:t>
            </w:r>
          </w:p>
        </w:tc>
        <w:tc>
          <w:tcPr>
            <w:tcW w:w="1160" w:type="pct"/>
            <w:noWrap/>
            <w:vAlign w:val="center"/>
          </w:tcPr>
          <w:p w14:paraId="3C9D7272"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24B099D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8728D35" w14:textId="77777777" w:rsidR="00284861" w:rsidRPr="00490C53" w:rsidRDefault="00284861">
            <w:pPr>
              <w:pStyle w:val="Tabletext"/>
              <w:rPr>
                <w:lang w:eastAsia="en-GB"/>
              </w:rPr>
            </w:pPr>
            <w:r w:rsidRPr="00490C53">
              <w:rPr>
                <w:b/>
                <w:bCs/>
              </w:rPr>
              <w:t>Region</w:t>
            </w:r>
          </w:p>
        </w:tc>
        <w:tc>
          <w:tcPr>
            <w:tcW w:w="1746" w:type="pct"/>
            <w:noWrap/>
            <w:vAlign w:val="top"/>
          </w:tcPr>
          <w:p w14:paraId="6DA01387" w14:textId="77777777" w:rsidR="00284861" w:rsidRPr="00490C53" w:rsidRDefault="00284861">
            <w:pPr>
              <w:pStyle w:val="Tabletext"/>
              <w:rPr>
                <w:lang w:eastAsia="en-GB"/>
              </w:rPr>
            </w:pPr>
            <w:r w:rsidRPr="00490C53">
              <w:t>East / Midlands</w:t>
            </w:r>
          </w:p>
        </w:tc>
        <w:tc>
          <w:tcPr>
            <w:tcW w:w="1117" w:type="pct"/>
            <w:noWrap/>
            <w:vAlign w:val="center"/>
          </w:tcPr>
          <w:p w14:paraId="311A03C0" w14:textId="77777777" w:rsidR="00284861" w:rsidRPr="00490C53" w:rsidRDefault="00284861">
            <w:pPr>
              <w:pStyle w:val="Tabletext"/>
              <w:jc w:val="right"/>
              <w:rPr>
                <w:lang w:eastAsia="en-GB"/>
              </w:rPr>
            </w:pPr>
            <w:r w:rsidRPr="00490C53">
              <w:rPr>
                <w:rFonts w:cstheme="minorHAnsi"/>
                <w:szCs w:val="24"/>
              </w:rPr>
              <w:t>1.1%</w:t>
            </w:r>
          </w:p>
        </w:tc>
        <w:tc>
          <w:tcPr>
            <w:tcW w:w="1160" w:type="pct"/>
            <w:noWrap/>
            <w:vAlign w:val="center"/>
          </w:tcPr>
          <w:p w14:paraId="4E0EB132"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523A9042" w14:textId="77777777">
        <w:tblPrEx>
          <w:tblCellMar>
            <w:left w:w="108" w:type="dxa"/>
            <w:right w:w="108" w:type="dxa"/>
          </w:tblCellMar>
        </w:tblPrEx>
        <w:trPr>
          <w:trHeight w:val="290"/>
        </w:trPr>
        <w:tc>
          <w:tcPr>
            <w:tcW w:w="977" w:type="pct"/>
            <w:noWrap/>
            <w:vAlign w:val="top"/>
          </w:tcPr>
          <w:p w14:paraId="260A9C4E" w14:textId="77777777" w:rsidR="00284861" w:rsidRPr="00490C53" w:rsidRDefault="00284861">
            <w:pPr>
              <w:pStyle w:val="Tabletext"/>
              <w:rPr>
                <w:lang w:eastAsia="en-GB"/>
              </w:rPr>
            </w:pPr>
          </w:p>
        </w:tc>
        <w:tc>
          <w:tcPr>
            <w:tcW w:w="1746" w:type="pct"/>
            <w:noWrap/>
            <w:vAlign w:val="top"/>
          </w:tcPr>
          <w:p w14:paraId="001B35F4" w14:textId="77777777" w:rsidR="00284861" w:rsidRPr="00490C53" w:rsidRDefault="00284861">
            <w:pPr>
              <w:pStyle w:val="Tabletext"/>
              <w:rPr>
                <w:lang w:eastAsia="en-GB"/>
              </w:rPr>
            </w:pPr>
            <w:r w:rsidRPr="00490C53">
              <w:t>London</w:t>
            </w:r>
          </w:p>
        </w:tc>
        <w:tc>
          <w:tcPr>
            <w:tcW w:w="1117" w:type="pct"/>
            <w:noWrap/>
            <w:vAlign w:val="center"/>
          </w:tcPr>
          <w:p w14:paraId="2EF18E69" w14:textId="77777777" w:rsidR="00284861" w:rsidRPr="00490C53" w:rsidRDefault="00284861">
            <w:pPr>
              <w:pStyle w:val="Tabletext"/>
              <w:jc w:val="right"/>
              <w:rPr>
                <w:lang w:eastAsia="en-GB"/>
              </w:rPr>
            </w:pPr>
            <w:r w:rsidRPr="00490C53">
              <w:rPr>
                <w:rFonts w:cstheme="minorHAnsi"/>
                <w:szCs w:val="24"/>
              </w:rPr>
              <w:t>5.8%</w:t>
            </w:r>
          </w:p>
        </w:tc>
        <w:tc>
          <w:tcPr>
            <w:tcW w:w="1160" w:type="pct"/>
            <w:noWrap/>
            <w:vAlign w:val="center"/>
          </w:tcPr>
          <w:p w14:paraId="03F1118A" w14:textId="77777777" w:rsidR="00284861" w:rsidRPr="00490C53" w:rsidRDefault="00284861">
            <w:pPr>
              <w:pStyle w:val="Tabletext"/>
              <w:jc w:val="right"/>
              <w:rPr>
                <w:lang w:eastAsia="en-GB"/>
              </w:rPr>
            </w:pPr>
            <w:r w:rsidRPr="00490C53">
              <w:rPr>
                <w:rFonts w:cstheme="minorHAnsi"/>
                <w:szCs w:val="24"/>
              </w:rPr>
              <w:t>0.0%</w:t>
            </w:r>
          </w:p>
        </w:tc>
      </w:tr>
      <w:tr w:rsidR="00284861" w:rsidRPr="00490C53" w14:paraId="411E4B5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BBD0580" w14:textId="77777777" w:rsidR="00284861" w:rsidRPr="00490C53" w:rsidRDefault="00284861">
            <w:pPr>
              <w:pStyle w:val="Tabletext"/>
              <w:rPr>
                <w:lang w:eastAsia="en-GB"/>
              </w:rPr>
            </w:pPr>
          </w:p>
        </w:tc>
        <w:tc>
          <w:tcPr>
            <w:tcW w:w="1746" w:type="pct"/>
            <w:noWrap/>
            <w:vAlign w:val="top"/>
          </w:tcPr>
          <w:p w14:paraId="0D88CAF5" w14:textId="77777777" w:rsidR="00284861" w:rsidRPr="00490C53" w:rsidRDefault="00284861">
            <w:pPr>
              <w:pStyle w:val="Tabletext"/>
              <w:rPr>
                <w:lang w:eastAsia="en-GB"/>
              </w:rPr>
            </w:pPr>
            <w:r w:rsidRPr="00490C53">
              <w:t>North / Yorkshire</w:t>
            </w:r>
          </w:p>
        </w:tc>
        <w:tc>
          <w:tcPr>
            <w:tcW w:w="1117" w:type="pct"/>
            <w:noWrap/>
            <w:vAlign w:val="center"/>
          </w:tcPr>
          <w:p w14:paraId="53DEC91B" w14:textId="77777777" w:rsidR="00284861" w:rsidRPr="00490C53" w:rsidRDefault="00284861">
            <w:pPr>
              <w:pStyle w:val="Tabletext"/>
              <w:jc w:val="right"/>
              <w:rPr>
                <w:lang w:eastAsia="en-GB"/>
              </w:rPr>
            </w:pPr>
            <w:r w:rsidRPr="00490C53">
              <w:rPr>
                <w:rFonts w:cstheme="minorHAnsi"/>
                <w:szCs w:val="24"/>
              </w:rPr>
              <w:t>1.8%</w:t>
            </w:r>
          </w:p>
        </w:tc>
        <w:tc>
          <w:tcPr>
            <w:tcW w:w="1160" w:type="pct"/>
            <w:noWrap/>
            <w:vAlign w:val="center"/>
          </w:tcPr>
          <w:p w14:paraId="24D6022D" w14:textId="77777777" w:rsidR="00284861" w:rsidRPr="00490C53" w:rsidRDefault="00284861">
            <w:pPr>
              <w:pStyle w:val="Tabletext"/>
              <w:jc w:val="right"/>
              <w:rPr>
                <w:lang w:eastAsia="en-GB"/>
              </w:rPr>
            </w:pPr>
            <w:r w:rsidRPr="00490C53">
              <w:rPr>
                <w:rFonts w:cstheme="minorHAnsi"/>
                <w:szCs w:val="24"/>
              </w:rPr>
              <w:t>0.9%</w:t>
            </w:r>
          </w:p>
        </w:tc>
      </w:tr>
      <w:tr w:rsidR="00284861" w:rsidRPr="00490C53" w14:paraId="3B0F82F5" w14:textId="77777777">
        <w:tblPrEx>
          <w:tblCellMar>
            <w:left w:w="108" w:type="dxa"/>
            <w:right w:w="108" w:type="dxa"/>
          </w:tblCellMar>
        </w:tblPrEx>
        <w:trPr>
          <w:trHeight w:val="290"/>
        </w:trPr>
        <w:tc>
          <w:tcPr>
            <w:tcW w:w="977" w:type="pct"/>
            <w:noWrap/>
            <w:vAlign w:val="top"/>
          </w:tcPr>
          <w:p w14:paraId="423E38E1" w14:textId="77777777" w:rsidR="00284861" w:rsidRPr="00490C53" w:rsidRDefault="00284861">
            <w:pPr>
              <w:pStyle w:val="Tabletext"/>
              <w:rPr>
                <w:lang w:eastAsia="en-GB"/>
              </w:rPr>
            </w:pPr>
          </w:p>
        </w:tc>
        <w:tc>
          <w:tcPr>
            <w:tcW w:w="1746" w:type="pct"/>
            <w:noWrap/>
            <w:vAlign w:val="top"/>
          </w:tcPr>
          <w:p w14:paraId="6818E082" w14:textId="77777777" w:rsidR="00284861" w:rsidRPr="00490C53" w:rsidRDefault="00284861">
            <w:pPr>
              <w:pStyle w:val="Tabletext"/>
              <w:rPr>
                <w:lang w:eastAsia="en-GB"/>
              </w:rPr>
            </w:pPr>
            <w:r w:rsidRPr="00490C53">
              <w:t>Northern Ireland</w:t>
            </w:r>
          </w:p>
        </w:tc>
        <w:tc>
          <w:tcPr>
            <w:tcW w:w="1117" w:type="pct"/>
            <w:noWrap/>
            <w:vAlign w:val="center"/>
          </w:tcPr>
          <w:p w14:paraId="1D69D417" w14:textId="77777777" w:rsidR="00284861" w:rsidRPr="00490C53" w:rsidRDefault="00284861">
            <w:pPr>
              <w:pStyle w:val="Tabletext"/>
              <w:jc w:val="right"/>
              <w:rPr>
                <w:lang w:eastAsia="en-GB"/>
              </w:rPr>
            </w:pPr>
            <w:r w:rsidRPr="00490C53">
              <w:rPr>
                <w:rFonts w:cstheme="minorHAnsi"/>
                <w:szCs w:val="24"/>
              </w:rPr>
              <w:t>0.5%</w:t>
            </w:r>
          </w:p>
        </w:tc>
        <w:tc>
          <w:tcPr>
            <w:tcW w:w="1160" w:type="pct"/>
            <w:noWrap/>
            <w:vAlign w:val="center"/>
          </w:tcPr>
          <w:p w14:paraId="7FFA294E"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0DF6C45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D1FC0F3" w14:textId="77777777" w:rsidR="00284861" w:rsidRPr="00490C53" w:rsidRDefault="00284861">
            <w:pPr>
              <w:pStyle w:val="Tabletext"/>
              <w:rPr>
                <w:lang w:eastAsia="en-GB"/>
              </w:rPr>
            </w:pPr>
          </w:p>
        </w:tc>
        <w:tc>
          <w:tcPr>
            <w:tcW w:w="1746" w:type="pct"/>
            <w:noWrap/>
            <w:vAlign w:val="top"/>
          </w:tcPr>
          <w:p w14:paraId="263A2337" w14:textId="77777777" w:rsidR="00284861" w:rsidRPr="00490C53" w:rsidRDefault="00284861">
            <w:pPr>
              <w:pStyle w:val="Tabletext"/>
              <w:rPr>
                <w:lang w:eastAsia="en-GB"/>
              </w:rPr>
            </w:pPr>
            <w:r w:rsidRPr="00490C53">
              <w:t>Scotland</w:t>
            </w:r>
          </w:p>
        </w:tc>
        <w:tc>
          <w:tcPr>
            <w:tcW w:w="1117" w:type="pct"/>
            <w:noWrap/>
            <w:vAlign w:val="center"/>
          </w:tcPr>
          <w:p w14:paraId="1F65AEE7" w14:textId="77777777" w:rsidR="00284861" w:rsidRPr="00490C53" w:rsidRDefault="00284861">
            <w:pPr>
              <w:pStyle w:val="Tabletext"/>
              <w:jc w:val="right"/>
              <w:rPr>
                <w:lang w:eastAsia="en-GB"/>
              </w:rPr>
            </w:pPr>
            <w:r w:rsidRPr="00490C53">
              <w:rPr>
                <w:rFonts w:cstheme="minorHAnsi"/>
                <w:szCs w:val="24"/>
              </w:rPr>
              <w:t>0.1%</w:t>
            </w:r>
          </w:p>
        </w:tc>
        <w:tc>
          <w:tcPr>
            <w:tcW w:w="1160" w:type="pct"/>
            <w:noWrap/>
            <w:vAlign w:val="center"/>
          </w:tcPr>
          <w:p w14:paraId="1AF3970E" w14:textId="77777777" w:rsidR="00284861" w:rsidRPr="00490C53" w:rsidRDefault="00284861">
            <w:pPr>
              <w:pStyle w:val="Tabletext"/>
              <w:jc w:val="right"/>
              <w:rPr>
                <w:lang w:eastAsia="en-GB"/>
              </w:rPr>
            </w:pPr>
            <w:r w:rsidRPr="00490C53">
              <w:rPr>
                <w:rFonts w:cstheme="minorHAnsi"/>
                <w:szCs w:val="24"/>
              </w:rPr>
              <w:t>0.0%</w:t>
            </w:r>
          </w:p>
        </w:tc>
      </w:tr>
      <w:tr w:rsidR="00284861" w:rsidRPr="00490C53" w14:paraId="7B073163" w14:textId="77777777">
        <w:tblPrEx>
          <w:tblCellMar>
            <w:left w:w="108" w:type="dxa"/>
            <w:right w:w="108" w:type="dxa"/>
          </w:tblCellMar>
        </w:tblPrEx>
        <w:trPr>
          <w:trHeight w:val="290"/>
        </w:trPr>
        <w:tc>
          <w:tcPr>
            <w:tcW w:w="977" w:type="pct"/>
            <w:noWrap/>
            <w:vAlign w:val="top"/>
          </w:tcPr>
          <w:p w14:paraId="4ED6DF53" w14:textId="77777777" w:rsidR="00284861" w:rsidRPr="00490C53" w:rsidRDefault="00284861">
            <w:pPr>
              <w:pStyle w:val="Tabletext"/>
              <w:rPr>
                <w:lang w:eastAsia="en-GB"/>
              </w:rPr>
            </w:pPr>
          </w:p>
        </w:tc>
        <w:tc>
          <w:tcPr>
            <w:tcW w:w="1746" w:type="pct"/>
            <w:noWrap/>
            <w:vAlign w:val="top"/>
          </w:tcPr>
          <w:p w14:paraId="244242F4" w14:textId="77777777" w:rsidR="00284861" w:rsidRPr="00490C53" w:rsidRDefault="00284861">
            <w:pPr>
              <w:pStyle w:val="Tabletext"/>
              <w:rPr>
                <w:lang w:eastAsia="en-GB"/>
              </w:rPr>
            </w:pPr>
            <w:r w:rsidRPr="00490C53">
              <w:t>South</w:t>
            </w:r>
          </w:p>
        </w:tc>
        <w:tc>
          <w:tcPr>
            <w:tcW w:w="1117" w:type="pct"/>
            <w:noWrap/>
            <w:vAlign w:val="center"/>
          </w:tcPr>
          <w:p w14:paraId="1D0F4F47" w14:textId="77777777" w:rsidR="00284861" w:rsidRPr="00490C53" w:rsidRDefault="00284861">
            <w:pPr>
              <w:pStyle w:val="Tabletext"/>
              <w:jc w:val="right"/>
              <w:rPr>
                <w:lang w:eastAsia="en-GB"/>
              </w:rPr>
            </w:pPr>
            <w:r w:rsidRPr="00490C53">
              <w:rPr>
                <w:rFonts w:cstheme="minorHAnsi"/>
                <w:szCs w:val="24"/>
              </w:rPr>
              <w:t>2.5%</w:t>
            </w:r>
          </w:p>
        </w:tc>
        <w:tc>
          <w:tcPr>
            <w:tcW w:w="1160" w:type="pct"/>
            <w:noWrap/>
            <w:vAlign w:val="center"/>
          </w:tcPr>
          <w:p w14:paraId="6F6118F4" w14:textId="77777777" w:rsidR="00284861" w:rsidRPr="00490C53" w:rsidRDefault="00284861">
            <w:pPr>
              <w:pStyle w:val="Tabletext"/>
              <w:jc w:val="right"/>
              <w:rPr>
                <w:lang w:eastAsia="en-GB"/>
              </w:rPr>
            </w:pPr>
            <w:r w:rsidRPr="00490C53">
              <w:rPr>
                <w:rFonts w:cstheme="minorHAnsi"/>
                <w:szCs w:val="24"/>
              </w:rPr>
              <w:t>0.9%</w:t>
            </w:r>
          </w:p>
        </w:tc>
      </w:tr>
      <w:tr w:rsidR="00284861" w:rsidRPr="00490C53" w14:paraId="02EF364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DFEA0C5" w14:textId="77777777" w:rsidR="00284861" w:rsidRPr="00490C53" w:rsidRDefault="00284861">
            <w:pPr>
              <w:pStyle w:val="Tabletext"/>
              <w:rPr>
                <w:lang w:eastAsia="en-GB"/>
              </w:rPr>
            </w:pPr>
          </w:p>
        </w:tc>
        <w:tc>
          <w:tcPr>
            <w:tcW w:w="1746" w:type="pct"/>
            <w:noWrap/>
            <w:vAlign w:val="top"/>
          </w:tcPr>
          <w:p w14:paraId="0C6A7E82" w14:textId="77777777" w:rsidR="00284861" w:rsidRPr="00490C53" w:rsidRDefault="00284861">
            <w:pPr>
              <w:pStyle w:val="Tabletext"/>
              <w:rPr>
                <w:lang w:eastAsia="en-GB"/>
              </w:rPr>
            </w:pPr>
            <w:r w:rsidRPr="00490C53">
              <w:t>Wales</w:t>
            </w:r>
          </w:p>
        </w:tc>
        <w:tc>
          <w:tcPr>
            <w:tcW w:w="1117" w:type="pct"/>
            <w:noWrap/>
            <w:vAlign w:val="center"/>
          </w:tcPr>
          <w:p w14:paraId="6C840C01" w14:textId="77777777" w:rsidR="00284861" w:rsidRPr="00490C53" w:rsidRDefault="00284861">
            <w:pPr>
              <w:pStyle w:val="Tabletext"/>
              <w:jc w:val="right"/>
              <w:rPr>
                <w:lang w:eastAsia="en-GB"/>
              </w:rPr>
            </w:pPr>
            <w:r w:rsidRPr="00490C53">
              <w:rPr>
                <w:rFonts w:cstheme="minorHAnsi"/>
                <w:szCs w:val="24"/>
              </w:rPr>
              <w:t>0.1%</w:t>
            </w:r>
          </w:p>
        </w:tc>
        <w:tc>
          <w:tcPr>
            <w:tcW w:w="1160" w:type="pct"/>
            <w:noWrap/>
            <w:vAlign w:val="center"/>
          </w:tcPr>
          <w:p w14:paraId="20CD66D8"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5E291E98" w14:textId="77777777">
        <w:tblPrEx>
          <w:tblCellMar>
            <w:left w:w="108" w:type="dxa"/>
            <w:right w:w="108" w:type="dxa"/>
          </w:tblCellMar>
        </w:tblPrEx>
        <w:trPr>
          <w:trHeight w:val="290"/>
        </w:trPr>
        <w:tc>
          <w:tcPr>
            <w:tcW w:w="977" w:type="pct"/>
            <w:noWrap/>
            <w:vAlign w:val="top"/>
          </w:tcPr>
          <w:p w14:paraId="2E01F20C" w14:textId="77777777" w:rsidR="00284861" w:rsidRPr="00490C53" w:rsidRDefault="00284861">
            <w:pPr>
              <w:pStyle w:val="Tabletext"/>
              <w:rPr>
                <w:lang w:eastAsia="en-GB"/>
              </w:rPr>
            </w:pPr>
            <w:r w:rsidRPr="00490C53">
              <w:rPr>
                <w:b/>
                <w:bCs/>
              </w:rPr>
              <w:t>Sector</w:t>
            </w:r>
          </w:p>
        </w:tc>
        <w:tc>
          <w:tcPr>
            <w:tcW w:w="1746" w:type="pct"/>
            <w:noWrap/>
            <w:vAlign w:val="top"/>
          </w:tcPr>
          <w:p w14:paraId="1BAF8F4E" w14:textId="77777777" w:rsidR="00284861" w:rsidRPr="00490C53" w:rsidRDefault="00284861">
            <w:pPr>
              <w:pStyle w:val="Tabletext"/>
              <w:rPr>
                <w:lang w:eastAsia="en-GB"/>
              </w:rPr>
            </w:pPr>
            <w:r w:rsidRPr="00490C53">
              <w:t>Business Services</w:t>
            </w:r>
          </w:p>
        </w:tc>
        <w:tc>
          <w:tcPr>
            <w:tcW w:w="1117" w:type="pct"/>
            <w:noWrap/>
            <w:vAlign w:val="center"/>
          </w:tcPr>
          <w:p w14:paraId="39195EC1" w14:textId="77777777" w:rsidR="00284861" w:rsidRPr="00490C53" w:rsidRDefault="00284861">
            <w:pPr>
              <w:pStyle w:val="Tabletext"/>
              <w:jc w:val="right"/>
              <w:rPr>
                <w:lang w:eastAsia="en-GB"/>
              </w:rPr>
            </w:pPr>
            <w:r w:rsidRPr="00490C53">
              <w:rPr>
                <w:rFonts w:cstheme="minorHAnsi"/>
                <w:szCs w:val="24"/>
              </w:rPr>
              <w:t>16.0%</w:t>
            </w:r>
          </w:p>
        </w:tc>
        <w:tc>
          <w:tcPr>
            <w:tcW w:w="1160" w:type="pct"/>
            <w:noWrap/>
            <w:vAlign w:val="center"/>
          </w:tcPr>
          <w:p w14:paraId="1D54ED87" w14:textId="77777777" w:rsidR="00284861" w:rsidRPr="00490C53" w:rsidRDefault="00284861">
            <w:pPr>
              <w:pStyle w:val="Tabletext"/>
              <w:jc w:val="right"/>
              <w:rPr>
                <w:lang w:eastAsia="en-GB"/>
              </w:rPr>
            </w:pPr>
            <w:r w:rsidRPr="00490C53">
              <w:rPr>
                <w:rFonts w:cstheme="minorHAnsi"/>
                <w:szCs w:val="24"/>
              </w:rPr>
              <w:t>1.0%</w:t>
            </w:r>
          </w:p>
        </w:tc>
      </w:tr>
      <w:tr w:rsidR="00284861" w:rsidRPr="00490C53" w14:paraId="274C165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A87A327" w14:textId="77777777" w:rsidR="00284861" w:rsidRPr="00490C53" w:rsidRDefault="00284861">
            <w:pPr>
              <w:pStyle w:val="Tabletext"/>
              <w:rPr>
                <w:lang w:eastAsia="en-GB"/>
              </w:rPr>
            </w:pPr>
          </w:p>
        </w:tc>
        <w:tc>
          <w:tcPr>
            <w:tcW w:w="1746" w:type="pct"/>
            <w:noWrap/>
            <w:vAlign w:val="top"/>
          </w:tcPr>
          <w:p w14:paraId="708B0B9F" w14:textId="77777777" w:rsidR="00284861" w:rsidRPr="00490C53" w:rsidRDefault="00284861">
            <w:pPr>
              <w:pStyle w:val="Tabletext"/>
              <w:rPr>
                <w:lang w:eastAsia="en-GB"/>
              </w:rPr>
            </w:pPr>
            <w:r w:rsidRPr="00490C53">
              <w:t>Construction</w:t>
            </w:r>
          </w:p>
        </w:tc>
        <w:tc>
          <w:tcPr>
            <w:tcW w:w="1117" w:type="pct"/>
            <w:noWrap/>
            <w:vAlign w:val="center"/>
          </w:tcPr>
          <w:p w14:paraId="2149C7A7" w14:textId="77777777" w:rsidR="00284861" w:rsidRPr="00490C53" w:rsidRDefault="00284861">
            <w:pPr>
              <w:pStyle w:val="Tabletext"/>
              <w:jc w:val="right"/>
              <w:rPr>
                <w:lang w:eastAsia="en-GB"/>
              </w:rPr>
            </w:pPr>
            <w:r w:rsidRPr="00490C53">
              <w:rPr>
                <w:rFonts w:cstheme="minorHAnsi"/>
                <w:szCs w:val="24"/>
              </w:rPr>
              <w:t>1.5%</w:t>
            </w:r>
          </w:p>
        </w:tc>
        <w:tc>
          <w:tcPr>
            <w:tcW w:w="1160" w:type="pct"/>
            <w:noWrap/>
            <w:vAlign w:val="center"/>
          </w:tcPr>
          <w:p w14:paraId="267D12EF"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2159B548" w14:textId="77777777">
        <w:tblPrEx>
          <w:tblCellMar>
            <w:left w:w="108" w:type="dxa"/>
            <w:right w:w="108" w:type="dxa"/>
          </w:tblCellMar>
        </w:tblPrEx>
        <w:trPr>
          <w:trHeight w:val="290"/>
        </w:trPr>
        <w:tc>
          <w:tcPr>
            <w:tcW w:w="977" w:type="pct"/>
            <w:noWrap/>
            <w:vAlign w:val="top"/>
          </w:tcPr>
          <w:p w14:paraId="2D0103CF" w14:textId="77777777" w:rsidR="00284861" w:rsidRPr="00490C53" w:rsidRDefault="00284861">
            <w:pPr>
              <w:pStyle w:val="Tabletext"/>
              <w:rPr>
                <w:lang w:eastAsia="en-GB"/>
              </w:rPr>
            </w:pPr>
          </w:p>
        </w:tc>
        <w:tc>
          <w:tcPr>
            <w:tcW w:w="1746" w:type="pct"/>
            <w:noWrap/>
            <w:vAlign w:val="top"/>
          </w:tcPr>
          <w:p w14:paraId="1AFBE2A2" w14:textId="77777777" w:rsidR="00284861" w:rsidRPr="00490C53" w:rsidRDefault="00284861">
            <w:pPr>
              <w:pStyle w:val="Tabletext"/>
              <w:rPr>
                <w:lang w:eastAsia="en-GB"/>
              </w:rPr>
            </w:pPr>
            <w:r w:rsidRPr="00490C53">
              <w:t>Distribution</w:t>
            </w:r>
          </w:p>
        </w:tc>
        <w:tc>
          <w:tcPr>
            <w:tcW w:w="1117" w:type="pct"/>
            <w:noWrap/>
            <w:vAlign w:val="center"/>
          </w:tcPr>
          <w:p w14:paraId="4C3230CD" w14:textId="77777777" w:rsidR="00284861" w:rsidRPr="00490C53" w:rsidRDefault="00284861">
            <w:pPr>
              <w:pStyle w:val="Tabletext"/>
              <w:jc w:val="right"/>
              <w:rPr>
                <w:lang w:eastAsia="en-GB"/>
              </w:rPr>
            </w:pPr>
            <w:r w:rsidRPr="00490C53">
              <w:rPr>
                <w:rFonts w:cstheme="minorHAnsi"/>
                <w:szCs w:val="24"/>
              </w:rPr>
              <w:t>6.9%</w:t>
            </w:r>
          </w:p>
        </w:tc>
        <w:tc>
          <w:tcPr>
            <w:tcW w:w="1160" w:type="pct"/>
            <w:noWrap/>
            <w:vAlign w:val="center"/>
          </w:tcPr>
          <w:p w14:paraId="3C86FB0B"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1796731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98C4E4C" w14:textId="77777777" w:rsidR="00284861" w:rsidRPr="00490C53" w:rsidRDefault="00284861">
            <w:pPr>
              <w:pStyle w:val="Tabletext"/>
              <w:rPr>
                <w:lang w:eastAsia="en-GB"/>
              </w:rPr>
            </w:pPr>
          </w:p>
        </w:tc>
        <w:tc>
          <w:tcPr>
            <w:tcW w:w="1746" w:type="pct"/>
            <w:noWrap/>
            <w:vAlign w:val="top"/>
          </w:tcPr>
          <w:p w14:paraId="66A4637E" w14:textId="77777777" w:rsidR="00284861" w:rsidRPr="00490C53" w:rsidRDefault="00284861">
            <w:pPr>
              <w:pStyle w:val="Tabletext"/>
              <w:rPr>
                <w:lang w:eastAsia="en-GB"/>
              </w:rPr>
            </w:pPr>
            <w:r w:rsidRPr="00490C53">
              <w:t>Other Services</w:t>
            </w:r>
          </w:p>
        </w:tc>
        <w:tc>
          <w:tcPr>
            <w:tcW w:w="1117" w:type="pct"/>
            <w:noWrap/>
            <w:vAlign w:val="center"/>
          </w:tcPr>
          <w:p w14:paraId="4B89C738" w14:textId="77777777" w:rsidR="00284861" w:rsidRPr="00490C53" w:rsidRDefault="00284861">
            <w:pPr>
              <w:pStyle w:val="Tabletext"/>
              <w:jc w:val="right"/>
              <w:rPr>
                <w:lang w:eastAsia="en-GB"/>
              </w:rPr>
            </w:pPr>
            <w:r w:rsidRPr="00490C53">
              <w:rPr>
                <w:rFonts w:cstheme="minorHAnsi"/>
                <w:szCs w:val="24"/>
              </w:rPr>
              <w:t>0.0%</w:t>
            </w:r>
          </w:p>
        </w:tc>
        <w:tc>
          <w:tcPr>
            <w:tcW w:w="1160" w:type="pct"/>
            <w:noWrap/>
            <w:vAlign w:val="center"/>
          </w:tcPr>
          <w:p w14:paraId="7FAC7F24" w14:textId="77777777" w:rsidR="00284861" w:rsidRPr="00490C53" w:rsidRDefault="00284861">
            <w:pPr>
              <w:pStyle w:val="Tabletext"/>
              <w:jc w:val="right"/>
              <w:rPr>
                <w:lang w:eastAsia="en-GB"/>
              </w:rPr>
            </w:pPr>
            <w:r w:rsidRPr="00490C53">
              <w:rPr>
                <w:rFonts w:cstheme="minorHAnsi"/>
                <w:szCs w:val="24"/>
              </w:rPr>
              <w:t>0.8%</w:t>
            </w:r>
          </w:p>
        </w:tc>
      </w:tr>
      <w:tr w:rsidR="00284861" w:rsidRPr="00490C53" w14:paraId="23238183" w14:textId="77777777">
        <w:tblPrEx>
          <w:tblCellMar>
            <w:left w:w="108" w:type="dxa"/>
            <w:right w:w="108" w:type="dxa"/>
          </w:tblCellMar>
        </w:tblPrEx>
        <w:trPr>
          <w:trHeight w:val="290"/>
        </w:trPr>
        <w:tc>
          <w:tcPr>
            <w:tcW w:w="977" w:type="pct"/>
            <w:noWrap/>
            <w:vAlign w:val="top"/>
          </w:tcPr>
          <w:p w14:paraId="01C9886E" w14:textId="77777777" w:rsidR="00284861" w:rsidRPr="00490C53" w:rsidRDefault="00284861">
            <w:pPr>
              <w:pStyle w:val="Tabletext"/>
              <w:rPr>
                <w:lang w:eastAsia="en-GB"/>
              </w:rPr>
            </w:pPr>
          </w:p>
        </w:tc>
        <w:tc>
          <w:tcPr>
            <w:tcW w:w="1746" w:type="pct"/>
            <w:noWrap/>
            <w:vAlign w:val="top"/>
          </w:tcPr>
          <w:p w14:paraId="2B83A659" w14:textId="77777777" w:rsidR="00284861" w:rsidRPr="00490C53" w:rsidRDefault="00284861">
            <w:pPr>
              <w:pStyle w:val="Tabletext"/>
              <w:rPr>
                <w:lang w:eastAsia="en-GB"/>
              </w:rPr>
            </w:pPr>
            <w:r w:rsidRPr="00490C53">
              <w:t>Primary/Manufacturing</w:t>
            </w:r>
          </w:p>
        </w:tc>
        <w:tc>
          <w:tcPr>
            <w:tcW w:w="1117" w:type="pct"/>
            <w:noWrap/>
            <w:vAlign w:val="center"/>
          </w:tcPr>
          <w:p w14:paraId="74917B9F" w14:textId="77777777" w:rsidR="00284861" w:rsidRPr="00490C53" w:rsidRDefault="00284861">
            <w:pPr>
              <w:pStyle w:val="Tabletext"/>
              <w:jc w:val="right"/>
              <w:rPr>
                <w:lang w:eastAsia="en-GB"/>
              </w:rPr>
            </w:pPr>
            <w:r w:rsidRPr="00490C53">
              <w:rPr>
                <w:rFonts w:cstheme="minorHAnsi"/>
                <w:szCs w:val="24"/>
              </w:rPr>
              <w:t>7.8%</w:t>
            </w:r>
          </w:p>
        </w:tc>
        <w:tc>
          <w:tcPr>
            <w:tcW w:w="1160" w:type="pct"/>
            <w:noWrap/>
            <w:vAlign w:val="center"/>
          </w:tcPr>
          <w:p w14:paraId="0C408B0F"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5C02D5F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42C47DF" w14:textId="77777777" w:rsidR="00284861" w:rsidRPr="00490C53" w:rsidRDefault="00284861">
            <w:pPr>
              <w:pStyle w:val="Tabletext"/>
              <w:rPr>
                <w:lang w:eastAsia="en-GB"/>
              </w:rPr>
            </w:pPr>
            <w:r w:rsidRPr="00490C53">
              <w:rPr>
                <w:b/>
                <w:bCs/>
              </w:rPr>
              <w:t>Turnover growth 2017/2018</w:t>
            </w:r>
          </w:p>
        </w:tc>
        <w:tc>
          <w:tcPr>
            <w:tcW w:w="1746" w:type="pct"/>
            <w:noWrap/>
            <w:vAlign w:val="top"/>
          </w:tcPr>
          <w:p w14:paraId="51CE0237" w14:textId="77777777" w:rsidR="00284861" w:rsidRPr="00490C53" w:rsidRDefault="00284861">
            <w:pPr>
              <w:pStyle w:val="Tabletext"/>
              <w:rPr>
                <w:lang w:eastAsia="en-GB"/>
              </w:rPr>
            </w:pPr>
            <w:r w:rsidRPr="00490C53">
              <w:t>Decrease of more than 50%</w:t>
            </w:r>
          </w:p>
        </w:tc>
        <w:tc>
          <w:tcPr>
            <w:tcW w:w="1117" w:type="pct"/>
            <w:noWrap/>
            <w:vAlign w:val="center"/>
          </w:tcPr>
          <w:p w14:paraId="6737C767" w14:textId="77777777" w:rsidR="00284861" w:rsidRPr="00490C53" w:rsidRDefault="00284861">
            <w:pPr>
              <w:pStyle w:val="Tabletext"/>
              <w:jc w:val="right"/>
              <w:rPr>
                <w:lang w:eastAsia="en-GB"/>
              </w:rPr>
            </w:pPr>
            <w:r w:rsidRPr="00490C53">
              <w:rPr>
                <w:rFonts w:cstheme="minorHAnsi"/>
                <w:szCs w:val="24"/>
              </w:rPr>
              <w:t>3.9%</w:t>
            </w:r>
          </w:p>
        </w:tc>
        <w:tc>
          <w:tcPr>
            <w:tcW w:w="1160" w:type="pct"/>
            <w:noWrap/>
            <w:vAlign w:val="center"/>
          </w:tcPr>
          <w:p w14:paraId="61E9A8EF"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54C14D52" w14:textId="77777777">
        <w:tblPrEx>
          <w:tblCellMar>
            <w:left w:w="108" w:type="dxa"/>
            <w:right w:w="108" w:type="dxa"/>
          </w:tblCellMar>
        </w:tblPrEx>
        <w:trPr>
          <w:trHeight w:val="290"/>
        </w:trPr>
        <w:tc>
          <w:tcPr>
            <w:tcW w:w="977" w:type="pct"/>
            <w:noWrap/>
            <w:vAlign w:val="top"/>
          </w:tcPr>
          <w:p w14:paraId="73D6D884" w14:textId="77777777" w:rsidR="00284861" w:rsidRPr="00490C53" w:rsidRDefault="00284861">
            <w:pPr>
              <w:pStyle w:val="Tabletext"/>
              <w:rPr>
                <w:lang w:eastAsia="en-GB"/>
              </w:rPr>
            </w:pPr>
          </w:p>
        </w:tc>
        <w:tc>
          <w:tcPr>
            <w:tcW w:w="1746" w:type="pct"/>
            <w:noWrap/>
            <w:vAlign w:val="top"/>
          </w:tcPr>
          <w:p w14:paraId="143D28DB" w14:textId="77777777" w:rsidR="00284861" w:rsidRPr="00490C53" w:rsidRDefault="00284861">
            <w:pPr>
              <w:pStyle w:val="Tabletext"/>
              <w:rPr>
                <w:lang w:eastAsia="en-GB"/>
              </w:rPr>
            </w:pPr>
            <w:r w:rsidRPr="00490C53">
              <w:t>Decrease of between 25% and 50%</w:t>
            </w:r>
          </w:p>
        </w:tc>
        <w:tc>
          <w:tcPr>
            <w:tcW w:w="1117" w:type="pct"/>
            <w:noWrap/>
            <w:vAlign w:val="center"/>
          </w:tcPr>
          <w:p w14:paraId="0955186D" w14:textId="77777777" w:rsidR="00284861" w:rsidRPr="00490C53" w:rsidRDefault="00284861">
            <w:pPr>
              <w:pStyle w:val="Tabletext"/>
              <w:jc w:val="right"/>
              <w:rPr>
                <w:lang w:eastAsia="en-GB"/>
              </w:rPr>
            </w:pPr>
            <w:r w:rsidRPr="00490C53">
              <w:rPr>
                <w:rFonts w:cstheme="minorHAnsi"/>
                <w:szCs w:val="24"/>
              </w:rPr>
              <w:t>2.1%</w:t>
            </w:r>
          </w:p>
        </w:tc>
        <w:tc>
          <w:tcPr>
            <w:tcW w:w="1160" w:type="pct"/>
            <w:noWrap/>
            <w:vAlign w:val="center"/>
          </w:tcPr>
          <w:p w14:paraId="2096D049"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63BEB27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16C02399" w14:textId="77777777" w:rsidR="00284861" w:rsidRPr="00490C53" w:rsidRDefault="00284861">
            <w:pPr>
              <w:pStyle w:val="Tabletext"/>
              <w:rPr>
                <w:lang w:eastAsia="en-GB"/>
              </w:rPr>
            </w:pPr>
          </w:p>
        </w:tc>
        <w:tc>
          <w:tcPr>
            <w:tcW w:w="1746" w:type="pct"/>
            <w:noWrap/>
            <w:vAlign w:val="top"/>
          </w:tcPr>
          <w:p w14:paraId="64227222" w14:textId="77777777" w:rsidR="00284861" w:rsidRPr="00490C53" w:rsidRDefault="00284861">
            <w:pPr>
              <w:pStyle w:val="Tabletext"/>
              <w:rPr>
                <w:lang w:eastAsia="en-GB"/>
              </w:rPr>
            </w:pPr>
            <w:r w:rsidRPr="00490C53">
              <w:t>Decrease of between 10% and 25%</w:t>
            </w:r>
          </w:p>
        </w:tc>
        <w:tc>
          <w:tcPr>
            <w:tcW w:w="1117" w:type="pct"/>
            <w:noWrap/>
            <w:vAlign w:val="center"/>
          </w:tcPr>
          <w:p w14:paraId="18815C1E" w14:textId="77777777" w:rsidR="00284861" w:rsidRPr="00490C53" w:rsidRDefault="00284861">
            <w:pPr>
              <w:pStyle w:val="Tabletext"/>
              <w:jc w:val="right"/>
              <w:rPr>
                <w:lang w:eastAsia="en-GB"/>
              </w:rPr>
            </w:pPr>
            <w:r w:rsidRPr="00490C53">
              <w:rPr>
                <w:rFonts w:cstheme="minorHAnsi"/>
                <w:szCs w:val="24"/>
              </w:rPr>
              <w:t>0.9%</w:t>
            </w:r>
          </w:p>
        </w:tc>
        <w:tc>
          <w:tcPr>
            <w:tcW w:w="1160" w:type="pct"/>
            <w:noWrap/>
            <w:vAlign w:val="center"/>
          </w:tcPr>
          <w:p w14:paraId="35B7B59A" w14:textId="77777777" w:rsidR="00284861" w:rsidRPr="00490C53" w:rsidRDefault="00284861">
            <w:pPr>
              <w:pStyle w:val="Tabletext"/>
              <w:jc w:val="right"/>
              <w:rPr>
                <w:lang w:eastAsia="en-GB"/>
              </w:rPr>
            </w:pPr>
            <w:r w:rsidRPr="00490C53">
              <w:rPr>
                <w:rFonts w:cstheme="minorHAnsi"/>
                <w:szCs w:val="24"/>
              </w:rPr>
              <w:t>0.4%</w:t>
            </w:r>
          </w:p>
        </w:tc>
      </w:tr>
      <w:tr w:rsidR="00284861" w:rsidRPr="00490C53" w14:paraId="6E702F80" w14:textId="77777777">
        <w:tblPrEx>
          <w:tblCellMar>
            <w:left w:w="108" w:type="dxa"/>
            <w:right w:w="108" w:type="dxa"/>
          </w:tblCellMar>
        </w:tblPrEx>
        <w:trPr>
          <w:trHeight w:val="290"/>
        </w:trPr>
        <w:tc>
          <w:tcPr>
            <w:tcW w:w="977" w:type="pct"/>
            <w:noWrap/>
            <w:vAlign w:val="top"/>
          </w:tcPr>
          <w:p w14:paraId="25D1005B" w14:textId="77777777" w:rsidR="00284861" w:rsidRPr="00490C53" w:rsidRDefault="00284861">
            <w:pPr>
              <w:pStyle w:val="Tabletext"/>
              <w:rPr>
                <w:lang w:eastAsia="en-GB"/>
              </w:rPr>
            </w:pPr>
          </w:p>
        </w:tc>
        <w:tc>
          <w:tcPr>
            <w:tcW w:w="1746" w:type="pct"/>
            <w:noWrap/>
            <w:vAlign w:val="top"/>
          </w:tcPr>
          <w:p w14:paraId="5E077255" w14:textId="77777777" w:rsidR="00284861" w:rsidRPr="00490C53" w:rsidRDefault="00284861">
            <w:pPr>
              <w:pStyle w:val="Tabletext"/>
              <w:rPr>
                <w:lang w:eastAsia="en-GB"/>
              </w:rPr>
            </w:pPr>
            <w:r w:rsidRPr="00490C53">
              <w:t>Decrease of less than 10%</w:t>
            </w:r>
          </w:p>
        </w:tc>
        <w:tc>
          <w:tcPr>
            <w:tcW w:w="1117" w:type="pct"/>
            <w:noWrap/>
            <w:vAlign w:val="center"/>
          </w:tcPr>
          <w:p w14:paraId="5EBA0776" w14:textId="77777777" w:rsidR="00284861" w:rsidRPr="00490C53" w:rsidRDefault="00284861">
            <w:pPr>
              <w:pStyle w:val="Tabletext"/>
              <w:jc w:val="right"/>
              <w:rPr>
                <w:lang w:eastAsia="en-GB"/>
              </w:rPr>
            </w:pPr>
            <w:r w:rsidRPr="00490C53">
              <w:rPr>
                <w:rFonts w:cstheme="minorHAnsi"/>
                <w:szCs w:val="24"/>
              </w:rPr>
              <w:t>4.7%</w:t>
            </w:r>
          </w:p>
        </w:tc>
        <w:tc>
          <w:tcPr>
            <w:tcW w:w="1160" w:type="pct"/>
            <w:noWrap/>
            <w:vAlign w:val="center"/>
          </w:tcPr>
          <w:p w14:paraId="21BD18E1"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43866FF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0DB3171" w14:textId="77777777" w:rsidR="00284861" w:rsidRPr="00490C53" w:rsidRDefault="00284861">
            <w:pPr>
              <w:pStyle w:val="Tabletext"/>
              <w:rPr>
                <w:lang w:eastAsia="en-GB"/>
              </w:rPr>
            </w:pPr>
          </w:p>
        </w:tc>
        <w:tc>
          <w:tcPr>
            <w:tcW w:w="1746" w:type="pct"/>
            <w:noWrap/>
            <w:vAlign w:val="top"/>
          </w:tcPr>
          <w:p w14:paraId="5404A446" w14:textId="77777777" w:rsidR="00284861" w:rsidRPr="00490C53" w:rsidRDefault="00284861">
            <w:pPr>
              <w:pStyle w:val="Tabletext"/>
              <w:rPr>
                <w:lang w:eastAsia="en-GB"/>
              </w:rPr>
            </w:pPr>
            <w:r w:rsidRPr="00490C53">
              <w:t>Increase of less than 5%</w:t>
            </w:r>
          </w:p>
        </w:tc>
        <w:tc>
          <w:tcPr>
            <w:tcW w:w="1117" w:type="pct"/>
            <w:noWrap/>
            <w:vAlign w:val="center"/>
          </w:tcPr>
          <w:p w14:paraId="511F04AB" w14:textId="77777777" w:rsidR="00284861" w:rsidRPr="00490C53" w:rsidRDefault="00284861">
            <w:pPr>
              <w:pStyle w:val="Tabletext"/>
              <w:jc w:val="right"/>
              <w:rPr>
                <w:lang w:eastAsia="en-GB"/>
              </w:rPr>
            </w:pPr>
            <w:r w:rsidRPr="00490C53">
              <w:rPr>
                <w:rFonts w:cstheme="minorHAnsi"/>
                <w:szCs w:val="24"/>
              </w:rPr>
              <w:t>25.7%</w:t>
            </w:r>
          </w:p>
        </w:tc>
        <w:tc>
          <w:tcPr>
            <w:tcW w:w="1160" w:type="pct"/>
            <w:noWrap/>
            <w:vAlign w:val="center"/>
          </w:tcPr>
          <w:p w14:paraId="2E02FBE6" w14:textId="77777777" w:rsidR="00284861" w:rsidRPr="00490C53" w:rsidRDefault="00284861">
            <w:pPr>
              <w:pStyle w:val="Tabletext"/>
              <w:jc w:val="right"/>
              <w:rPr>
                <w:lang w:eastAsia="en-GB"/>
              </w:rPr>
            </w:pPr>
            <w:r w:rsidRPr="00490C53">
              <w:rPr>
                <w:rFonts w:cstheme="minorHAnsi"/>
                <w:szCs w:val="24"/>
              </w:rPr>
              <w:t>0.8%</w:t>
            </w:r>
          </w:p>
        </w:tc>
      </w:tr>
      <w:tr w:rsidR="00284861" w:rsidRPr="00490C53" w14:paraId="2155C200" w14:textId="77777777">
        <w:tblPrEx>
          <w:tblCellMar>
            <w:left w:w="108" w:type="dxa"/>
            <w:right w:w="108" w:type="dxa"/>
          </w:tblCellMar>
        </w:tblPrEx>
        <w:trPr>
          <w:trHeight w:val="290"/>
        </w:trPr>
        <w:tc>
          <w:tcPr>
            <w:tcW w:w="977" w:type="pct"/>
            <w:noWrap/>
            <w:vAlign w:val="top"/>
          </w:tcPr>
          <w:p w14:paraId="1782F0B0" w14:textId="77777777" w:rsidR="00284861" w:rsidRPr="00490C53" w:rsidRDefault="00284861">
            <w:pPr>
              <w:pStyle w:val="Tabletext"/>
              <w:rPr>
                <w:lang w:eastAsia="en-GB"/>
              </w:rPr>
            </w:pPr>
          </w:p>
        </w:tc>
        <w:tc>
          <w:tcPr>
            <w:tcW w:w="1746" w:type="pct"/>
            <w:noWrap/>
            <w:vAlign w:val="top"/>
          </w:tcPr>
          <w:p w14:paraId="1558571F" w14:textId="77777777" w:rsidR="00284861" w:rsidRPr="00490C53" w:rsidRDefault="00284861">
            <w:pPr>
              <w:pStyle w:val="Tabletext"/>
              <w:rPr>
                <w:lang w:eastAsia="en-GB"/>
              </w:rPr>
            </w:pPr>
            <w:r w:rsidRPr="00490C53">
              <w:t>Increase of between 5% and 25%</w:t>
            </w:r>
          </w:p>
        </w:tc>
        <w:tc>
          <w:tcPr>
            <w:tcW w:w="1117" w:type="pct"/>
            <w:noWrap/>
            <w:vAlign w:val="center"/>
          </w:tcPr>
          <w:p w14:paraId="7913092A" w14:textId="77777777" w:rsidR="00284861" w:rsidRPr="00490C53" w:rsidRDefault="00284861">
            <w:pPr>
              <w:pStyle w:val="Tabletext"/>
              <w:jc w:val="right"/>
              <w:rPr>
                <w:lang w:eastAsia="en-GB"/>
              </w:rPr>
            </w:pPr>
            <w:r w:rsidRPr="00490C53">
              <w:rPr>
                <w:rFonts w:cstheme="minorHAnsi"/>
                <w:szCs w:val="24"/>
              </w:rPr>
              <w:t>16.3%</w:t>
            </w:r>
          </w:p>
        </w:tc>
        <w:tc>
          <w:tcPr>
            <w:tcW w:w="1160" w:type="pct"/>
            <w:noWrap/>
            <w:vAlign w:val="center"/>
          </w:tcPr>
          <w:p w14:paraId="6A538658" w14:textId="77777777" w:rsidR="00284861" w:rsidRPr="00490C53" w:rsidRDefault="00284861">
            <w:pPr>
              <w:pStyle w:val="Tabletext"/>
              <w:jc w:val="right"/>
              <w:rPr>
                <w:lang w:eastAsia="en-GB"/>
              </w:rPr>
            </w:pPr>
            <w:r w:rsidRPr="00490C53">
              <w:rPr>
                <w:rFonts w:cstheme="minorHAnsi"/>
                <w:szCs w:val="24"/>
              </w:rPr>
              <w:t>1.1%</w:t>
            </w:r>
          </w:p>
        </w:tc>
      </w:tr>
      <w:tr w:rsidR="00284861" w:rsidRPr="00490C53" w14:paraId="0EFF18D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2004048" w14:textId="77777777" w:rsidR="00284861" w:rsidRPr="00490C53" w:rsidRDefault="00284861">
            <w:pPr>
              <w:pStyle w:val="Tabletext"/>
              <w:rPr>
                <w:lang w:eastAsia="en-GB"/>
              </w:rPr>
            </w:pPr>
          </w:p>
        </w:tc>
        <w:tc>
          <w:tcPr>
            <w:tcW w:w="1746" w:type="pct"/>
            <w:noWrap/>
            <w:vAlign w:val="top"/>
          </w:tcPr>
          <w:p w14:paraId="0EAEF289" w14:textId="77777777" w:rsidR="00284861" w:rsidRPr="00490C53" w:rsidRDefault="00284861">
            <w:pPr>
              <w:pStyle w:val="Tabletext"/>
              <w:rPr>
                <w:lang w:eastAsia="en-GB"/>
              </w:rPr>
            </w:pPr>
            <w:r w:rsidRPr="00490C53">
              <w:t>Increase of between 25% and 50%</w:t>
            </w:r>
          </w:p>
        </w:tc>
        <w:tc>
          <w:tcPr>
            <w:tcW w:w="1117" w:type="pct"/>
            <w:noWrap/>
            <w:vAlign w:val="center"/>
          </w:tcPr>
          <w:p w14:paraId="689B264B" w14:textId="77777777" w:rsidR="00284861" w:rsidRPr="00490C53" w:rsidRDefault="00284861">
            <w:pPr>
              <w:pStyle w:val="Tabletext"/>
              <w:jc w:val="right"/>
              <w:rPr>
                <w:lang w:eastAsia="en-GB"/>
              </w:rPr>
            </w:pPr>
            <w:r w:rsidRPr="00490C53">
              <w:rPr>
                <w:rFonts w:cstheme="minorHAnsi"/>
                <w:szCs w:val="24"/>
              </w:rPr>
              <w:t>6.4%</w:t>
            </w:r>
          </w:p>
        </w:tc>
        <w:tc>
          <w:tcPr>
            <w:tcW w:w="1160" w:type="pct"/>
            <w:noWrap/>
            <w:vAlign w:val="center"/>
          </w:tcPr>
          <w:p w14:paraId="2318F1C0" w14:textId="77777777" w:rsidR="00284861" w:rsidRPr="00490C53" w:rsidRDefault="00284861">
            <w:pPr>
              <w:pStyle w:val="Tabletext"/>
              <w:jc w:val="right"/>
              <w:rPr>
                <w:lang w:eastAsia="en-GB"/>
              </w:rPr>
            </w:pPr>
            <w:r w:rsidRPr="00490C53">
              <w:rPr>
                <w:rFonts w:cstheme="minorHAnsi"/>
                <w:szCs w:val="24"/>
              </w:rPr>
              <w:t>0.0%</w:t>
            </w:r>
          </w:p>
        </w:tc>
      </w:tr>
      <w:tr w:rsidR="00284861" w:rsidRPr="00490C53" w14:paraId="0ECD6B43" w14:textId="77777777">
        <w:tblPrEx>
          <w:tblCellMar>
            <w:left w:w="108" w:type="dxa"/>
            <w:right w:w="108" w:type="dxa"/>
          </w:tblCellMar>
        </w:tblPrEx>
        <w:trPr>
          <w:trHeight w:val="290"/>
        </w:trPr>
        <w:tc>
          <w:tcPr>
            <w:tcW w:w="977" w:type="pct"/>
            <w:noWrap/>
            <w:vAlign w:val="top"/>
          </w:tcPr>
          <w:p w14:paraId="6B6790AB" w14:textId="77777777" w:rsidR="00284861" w:rsidRPr="00490C53" w:rsidRDefault="00284861">
            <w:pPr>
              <w:pStyle w:val="Tabletext"/>
              <w:rPr>
                <w:lang w:eastAsia="en-GB"/>
              </w:rPr>
            </w:pPr>
          </w:p>
        </w:tc>
        <w:tc>
          <w:tcPr>
            <w:tcW w:w="1746" w:type="pct"/>
            <w:noWrap/>
            <w:vAlign w:val="top"/>
          </w:tcPr>
          <w:p w14:paraId="7F25D74B" w14:textId="77777777" w:rsidR="00284861" w:rsidRPr="00490C53" w:rsidRDefault="00284861">
            <w:pPr>
              <w:pStyle w:val="Tabletext"/>
              <w:rPr>
                <w:lang w:eastAsia="en-GB"/>
              </w:rPr>
            </w:pPr>
            <w:r w:rsidRPr="00490C53">
              <w:t>Increase of more than 50%</w:t>
            </w:r>
          </w:p>
        </w:tc>
        <w:tc>
          <w:tcPr>
            <w:tcW w:w="1117" w:type="pct"/>
            <w:noWrap/>
            <w:vAlign w:val="center"/>
          </w:tcPr>
          <w:p w14:paraId="69C15D17" w14:textId="77777777" w:rsidR="00284861" w:rsidRPr="00490C53" w:rsidRDefault="00284861">
            <w:pPr>
              <w:pStyle w:val="Tabletext"/>
              <w:jc w:val="right"/>
              <w:rPr>
                <w:lang w:eastAsia="en-GB"/>
              </w:rPr>
            </w:pPr>
            <w:r w:rsidRPr="00490C53">
              <w:rPr>
                <w:rFonts w:cstheme="minorHAnsi"/>
                <w:szCs w:val="24"/>
              </w:rPr>
              <w:t>3.4%</w:t>
            </w:r>
          </w:p>
        </w:tc>
        <w:tc>
          <w:tcPr>
            <w:tcW w:w="1160" w:type="pct"/>
            <w:noWrap/>
            <w:vAlign w:val="center"/>
          </w:tcPr>
          <w:p w14:paraId="3A1D3D82" w14:textId="77777777" w:rsidR="00284861" w:rsidRPr="00490C53" w:rsidRDefault="00284861">
            <w:pPr>
              <w:pStyle w:val="Tabletext"/>
              <w:jc w:val="right"/>
              <w:rPr>
                <w:lang w:eastAsia="en-GB"/>
              </w:rPr>
            </w:pPr>
            <w:r w:rsidRPr="00490C53">
              <w:rPr>
                <w:rFonts w:cstheme="minorHAnsi"/>
                <w:szCs w:val="24"/>
              </w:rPr>
              <w:t>0.4%</w:t>
            </w:r>
          </w:p>
        </w:tc>
      </w:tr>
      <w:tr w:rsidR="00284861" w:rsidRPr="00490C53" w14:paraId="5B0840E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998A44E" w14:textId="77777777" w:rsidR="00284861" w:rsidRPr="00490C53" w:rsidRDefault="00284861">
            <w:pPr>
              <w:pStyle w:val="Tabletext"/>
              <w:rPr>
                <w:lang w:eastAsia="en-GB"/>
              </w:rPr>
            </w:pPr>
            <w:r w:rsidRPr="00490C53">
              <w:rPr>
                <w:b/>
                <w:bCs/>
              </w:rPr>
              <w:t>Turnover growth 2018/2019</w:t>
            </w:r>
          </w:p>
        </w:tc>
        <w:tc>
          <w:tcPr>
            <w:tcW w:w="1746" w:type="pct"/>
            <w:noWrap/>
            <w:vAlign w:val="top"/>
          </w:tcPr>
          <w:p w14:paraId="6FE442AA" w14:textId="77777777" w:rsidR="00284861" w:rsidRPr="00490C53" w:rsidRDefault="00284861">
            <w:pPr>
              <w:pStyle w:val="Tabletext"/>
              <w:rPr>
                <w:lang w:eastAsia="en-GB"/>
              </w:rPr>
            </w:pPr>
            <w:r w:rsidRPr="00490C53">
              <w:t>Decrease of more than 50%</w:t>
            </w:r>
          </w:p>
        </w:tc>
        <w:tc>
          <w:tcPr>
            <w:tcW w:w="1117" w:type="pct"/>
            <w:noWrap/>
            <w:vAlign w:val="center"/>
          </w:tcPr>
          <w:p w14:paraId="22DE5731" w14:textId="77777777" w:rsidR="00284861" w:rsidRPr="00490C53" w:rsidRDefault="00284861">
            <w:pPr>
              <w:pStyle w:val="Tabletext"/>
              <w:jc w:val="right"/>
              <w:rPr>
                <w:lang w:eastAsia="en-GB"/>
              </w:rPr>
            </w:pPr>
            <w:r w:rsidRPr="00490C53">
              <w:rPr>
                <w:rFonts w:cstheme="minorHAnsi"/>
                <w:szCs w:val="24"/>
              </w:rPr>
              <w:t>2.6%</w:t>
            </w:r>
          </w:p>
        </w:tc>
        <w:tc>
          <w:tcPr>
            <w:tcW w:w="1160" w:type="pct"/>
            <w:noWrap/>
            <w:vAlign w:val="center"/>
          </w:tcPr>
          <w:p w14:paraId="46C3A7C6" w14:textId="77777777" w:rsidR="00284861" w:rsidRPr="00490C53" w:rsidRDefault="00284861">
            <w:pPr>
              <w:pStyle w:val="Tabletext"/>
              <w:jc w:val="right"/>
              <w:rPr>
                <w:lang w:eastAsia="en-GB"/>
              </w:rPr>
            </w:pPr>
            <w:r w:rsidRPr="00490C53">
              <w:rPr>
                <w:rFonts w:cstheme="minorHAnsi"/>
                <w:szCs w:val="24"/>
              </w:rPr>
              <w:t>0.3%</w:t>
            </w:r>
          </w:p>
        </w:tc>
      </w:tr>
      <w:tr w:rsidR="00284861" w:rsidRPr="00490C53" w14:paraId="2089F845" w14:textId="77777777">
        <w:tblPrEx>
          <w:tblCellMar>
            <w:left w:w="108" w:type="dxa"/>
            <w:right w:w="108" w:type="dxa"/>
          </w:tblCellMar>
        </w:tblPrEx>
        <w:trPr>
          <w:trHeight w:val="290"/>
        </w:trPr>
        <w:tc>
          <w:tcPr>
            <w:tcW w:w="977" w:type="pct"/>
            <w:noWrap/>
            <w:vAlign w:val="top"/>
          </w:tcPr>
          <w:p w14:paraId="66ADCB6E" w14:textId="77777777" w:rsidR="00284861" w:rsidRPr="00490C53" w:rsidRDefault="00284861">
            <w:pPr>
              <w:pStyle w:val="Tabletext"/>
              <w:rPr>
                <w:lang w:eastAsia="en-GB"/>
              </w:rPr>
            </w:pPr>
          </w:p>
        </w:tc>
        <w:tc>
          <w:tcPr>
            <w:tcW w:w="1746" w:type="pct"/>
            <w:noWrap/>
            <w:vAlign w:val="top"/>
          </w:tcPr>
          <w:p w14:paraId="3462370B" w14:textId="77777777" w:rsidR="00284861" w:rsidRPr="00490C53" w:rsidRDefault="00284861">
            <w:pPr>
              <w:pStyle w:val="Tabletext"/>
              <w:rPr>
                <w:lang w:eastAsia="en-GB"/>
              </w:rPr>
            </w:pPr>
            <w:r w:rsidRPr="00490C53">
              <w:t>Decrease of between 25% and 50%</w:t>
            </w:r>
          </w:p>
        </w:tc>
        <w:tc>
          <w:tcPr>
            <w:tcW w:w="1117" w:type="pct"/>
            <w:noWrap/>
            <w:vAlign w:val="center"/>
          </w:tcPr>
          <w:p w14:paraId="36E6730B" w14:textId="77777777" w:rsidR="00284861" w:rsidRPr="00490C53" w:rsidRDefault="00284861">
            <w:pPr>
              <w:pStyle w:val="Tabletext"/>
              <w:jc w:val="right"/>
              <w:rPr>
                <w:lang w:eastAsia="en-GB"/>
              </w:rPr>
            </w:pPr>
            <w:r w:rsidRPr="00490C53">
              <w:rPr>
                <w:rFonts w:cstheme="minorHAnsi"/>
                <w:szCs w:val="24"/>
              </w:rPr>
              <w:t>1.1%</w:t>
            </w:r>
          </w:p>
        </w:tc>
        <w:tc>
          <w:tcPr>
            <w:tcW w:w="1160" w:type="pct"/>
            <w:noWrap/>
            <w:vAlign w:val="center"/>
          </w:tcPr>
          <w:p w14:paraId="41D842DD" w14:textId="77777777" w:rsidR="00284861" w:rsidRPr="00490C53" w:rsidRDefault="00284861">
            <w:pPr>
              <w:pStyle w:val="Tabletext"/>
              <w:jc w:val="right"/>
              <w:rPr>
                <w:lang w:eastAsia="en-GB"/>
              </w:rPr>
            </w:pPr>
            <w:r w:rsidRPr="00490C53">
              <w:rPr>
                <w:rFonts w:cstheme="minorHAnsi"/>
                <w:szCs w:val="24"/>
              </w:rPr>
              <w:t>0.0%</w:t>
            </w:r>
          </w:p>
        </w:tc>
      </w:tr>
      <w:tr w:rsidR="00284861" w:rsidRPr="00490C53" w14:paraId="2D620AF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8063CB1" w14:textId="77777777" w:rsidR="00284861" w:rsidRPr="00490C53" w:rsidRDefault="00284861">
            <w:pPr>
              <w:pStyle w:val="Tabletext"/>
              <w:rPr>
                <w:lang w:eastAsia="en-GB"/>
              </w:rPr>
            </w:pPr>
          </w:p>
        </w:tc>
        <w:tc>
          <w:tcPr>
            <w:tcW w:w="1746" w:type="pct"/>
            <w:noWrap/>
            <w:vAlign w:val="top"/>
          </w:tcPr>
          <w:p w14:paraId="52533308" w14:textId="77777777" w:rsidR="00284861" w:rsidRPr="00490C53" w:rsidRDefault="00284861">
            <w:pPr>
              <w:pStyle w:val="Tabletext"/>
              <w:rPr>
                <w:lang w:eastAsia="en-GB"/>
              </w:rPr>
            </w:pPr>
            <w:r w:rsidRPr="00490C53">
              <w:t>Decrease of between 10% and 25%</w:t>
            </w:r>
          </w:p>
        </w:tc>
        <w:tc>
          <w:tcPr>
            <w:tcW w:w="1117" w:type="pct"/>
            <w:noWrap/>
            <w:vAlign w:val="center"/>
          </w:tcPr>
          <w:p w14:paraId="5CD9A6DA" w14:textId="77777777" w:rsidR="00284861" w:rsidRPr="00490C53" w:rsidRDefault="00284861">
            <w:pPr>
              <w:pStyle w:val="Tabletext"/>
              <w:jc w:val="right"/>
              <w:rPr>
                <w:lang w:eastAsia="en-GB"/>
              </w:rPr>
            </w:pPr>
            <w:r w:rsidRPr="00490C53">
              <w:rPr>
                <w:rFonts w:cstheme="minorHAnsi"/>
                <w:szCs w:val="24"/>
              </w:rPr>
              <w:t>2.9%</w:t>
            </w:r>
          </w:p>
        </w:tc>
        <w:tc>
          <w:tcPr>
            <w:tcW w:w="1160" w:type="pct"/>
            <w:noWrap/>
            <w:vAlign w:val="center"/>
          </w:tcPr>
          <w:p w14:paraId="24E2D715"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577E7C77" w14:textId="77777777">
        <w:tblPrEx>
          <w:tblCellMar>
            <w:left w:w="108" w:type="dxa"/>
            <w:right w:w="108" w:type="dxa"/>
          </w:tblCellMar>
        </w:tblPrEx>
        <w:trPr>
          <w:trHeight w:val="290"/>
        </w:trPr>
        <w:tc>
          <w:tcPr>
            <w:tcW w:w="977" w:type="pct"/>
            <w:noWrap/>
            <w:vAlign w:val="top"/>
          </w:tcPr>
          <w:p w14:paraId="254B3A0A" w14:textId="77777777" w:rsidR="00284861" w:rsidRPr="00490C53" w:rsidRDefault="00284861">
            <w:pPr>
              <w:pStyle w:val="Tabletext"/>
              <w:rPr>
                <w:lang w:eastAsia="en-GB"/>
              </w:rPr>
            </w:pPr>
          </w:p>
        </w:tc>
        <w:tc>
          <w:tcPr>
            <w:tcW w:w="1746" w:type="pct"/>
            <w:noWrap/>
            <w:vAlign w:val="top"/>
          </w:tcPr>
          <w:p w14:paraId="51FE4DB9" w14:textId="77777777" w:rsidR="00284861" w:rsidRPr="00490C53" w:rsidRDefault="00284861">
            <w:pPr>
              <w:pStyle w:val="Tabletext"/>
              <w:rPr>
                <w:lang w:eastAsia="en-GB"/>
              </w:rPr>
            </w:pPr>
            <w:r w:rsidRPr="00490C53">
              <w:t>Decrease of less than 10%</w:t>
            </w:r>
          </w:p>
        </w:tc>
        <w:tc>
          <w:tcPr>
            <w:tcW w:w="1117" w:type="pct"/>
            <w:noWrap/>
            <w:vAlign w:val="center"/>
          </w:tcPr>
          <w:p w14:paraId="23F8A5F9" w14:textId="77777777" w:rsidR="00284861" w:rsidRPr="00490C53" w:rsidRDefault="00284861">
            <w:pPr>
              <w:pStyle w:val="Tabletext"/>
              <w:jc w:val="right"/>
              <w:rPr>
                <w:lang w:eastAsia="en-GB"/>
              </w:rPr>
            </w:pPr>
            <w:r w:rsidRPr="00490C53">
              <w:rPr>
                <w:rFonts w:cstheme="minorHAnsi"/>
                <w:szCs w:val="24"/>
              </w:rPr>
              <w:t>7.6%</w:t>
            </w:r>
          </w:p>
        </w:tc>
        <w:tc>
          <w:tcPr>
            <w:tcW w:w="1160" w:type="pct"/>
            <w:noWrap/>
            <w:vAlign w:val="center"/>
          </w:tcPr>
          <w:p w14:paraId="15040D4A"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65BB15C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A79BDFE" w14:textId="77777777" w:rsidR="00284861" w:rsidRPr="00490C53" w:rsidRDefault="00284861">
            <w:pPr>
              <w:pStyle w:val="Tabletext"/>
              <w:rPr>
                <w:lang w:eastAsia="en-GB"/>
              </w:rPr>
            </w:pPr>
          </w:p>
        </w:tc>
        <w:tc>
          <w:tcPr>
            <w:tcW w:w="1746" w:type="pct"/>
            <w:noWrap/>
            <w:vAlign w:val="top"/>
          </w:tcPr>
          <w:p w14:paraId="1B7A8E2B" w14:textId="77777777" w:rsidR="00284861" w:rsidRPr="00490C53" w:rsidRDefault="00284861">
            <w:pPr>
              <w:pStyle w:val="Tabletext"/>
              <w:rPr>
                <w:lang w:eastAsia="en-GB"/>
              </w:rPr>
            </w:pPr>
            <w:r w:rsidRPr="00490C53">
              <w:t>Increase of less than 5%</w:t>
            </w:r>
          </w:p>
        </w:tc>
        <w:tc>
          <w:tcPr>
            <w:tcW w:w="1117" w:type="pct"/>
            <w:noWrap/>
            <w:vAlign w:val="center"/>
          </w:tcPr>
          <w:p w14:paraId="47ACD9BE" w14:textId="77777777" w:rsidR="00284861" w:rsidRPr="00490C53" w:rsidRDefault="00284861">
            <w:pPr>
              <w:pStyle w:val="Tabletext"/>
              <w:jc w:val="right"/>
              <w:rPr>
                <w:lang w:eastAsia="en-GB"/>
              </w:rPr>
            </w:pPr>
            <w:r w:rsidRPr="00490C53">
              <w:rPr>
                <w:rFonts w:cstheme="minorHAnsi"/>
                <w:szCs w:val="24"/>
              </w:rPr>
              <w:t>31.6%</w:t>
            </w:r>
          </w:p>
        </w:tc>
        <w:tc>
          <w:tcPr>
            <w:tcW w:w="1160" w:type="pct"/>
            <w:noWrap/>
            <w:vAlign w:val="center"/>
          </w:tcPr>
          <w:p w14:paraId="4D2A2ADC" w14:textId="77777777" w:rsidR="00284861" w:rsidRPr="00490C53" w:rsidRDefault="00284861">
            <w:pPr>
              <w:pStyle w:val="Tabletext"/>
              <w:jc w:val="right"/>
              <w:rPr>
                <w:lang w:eastAsia="en-GB"/>
              </w:rPr>
            </w:pPr>
            <w:r w:rsidRPr="00490C53">
              <w:rPr>
                <w:rFonts w:cstheme="minorHAnsi"/>
                <w:szCs w:val="24"/>
              </w:rPr>
              <w:t>0.6%</w:t>
            </w:r>
          </w:p>
        </w:tc>
      </w:tr>
      <w:tr w:rsidR="00284861" w:rsidRPr="00490C53" w14:paraId="02639A03" w14:textId="77777777">
        <w:tblPrEx>
          <w:tblCellMar>
            <w:left w:w="108" w:type="dxa"/>
            <w:right w:w="108" w:type="dxa"/>
          </w:tblCellMar>
        </w:tblPrEx>
        <w:trPr>
          <w:trHeight w:val="290"/>
        </w:trPr>
        <w:tc>
          <w:tcPr>
            <w:tcW w:w="977" w:type="pct"/>
            <w:noWrap/>
            <w:vAlign w:val="top"/>
          </w:tcPr>
          <w:p w14:paraId="553F8E05" w14:textId="77777777" w:rsidR="00284861" w:rsidRPr="00490C53" w:rsidRDefault="00284861">
            <w:pPr>
              <w:pStyle w:val="Tabletext"/>
              <w:rPr>
                <w:lang w:eastAsia="en-GB"/>
              </w:rPr>
            </w:pPr>
          </w:p>
        </w:tc>
        <w:tc>
          <w:tcPr>
            <w:tcW w:w="1746" w:type="pct"/>
            <w:noWrap/>
            <w:vAlign w:val="top"/>
          </w:tcPr>
          <w:p w14:paraId="02383308" w14:textId="77777777" w:rsidR="00284861" w:rsidRPr="00490C53" w:rsidRDefault="00284861">
            <w:pPr>
              <w:pStyle w:val="Tabletext"/>
              <w:rPr>
                <w:lang w:eastAsia="en-GB"/>
              </w:rPr>
            </w:pPr>
            <w:r w:rsidRPr="00490C53">
              <w:t>Increase of between 5% and 25%</w:t>
            </w:r>
          </w:p>
        </w:tc>
        <w:tc>
          <w:tcPr>
            <w:tcW w:w="1117" w:type="pct"/>
            <w:noWrap/>
            <w:vAlign w:val="center"/>
          </w:tcPr>
          <w:p w14:paraId="410A6BE2" w14:textId="77777777" w:rsidR="00284861" w:rsidRPr="00490C53" w:rsidRDefault="00284861">
            <w:pPr>
              <w:pStyle w:val="Tabletext"/>
              <w:jc w:val="right"/>
              <w:rPr>
                <w:lang w:eastAsia="en-GB"/>
              </w:rPr>
            </w:pPr>
            <w:r w:rsidRPr="00490C53">
              <w:rPr>
                <w:rFonts w:cstheme="minorHAnsi"/>
                <w:szCs w:val="24"/>
              </w:rPr>
              <w:t>13.5%</w:t>
            </w:r>
          </w:p>
        </w:tc>
        <w:tc>
          <w:tcPr>
            <w:tcW w:w="1160" w:type="pct"/>
            <w:noWrap/>
            <w:vAlign w:val="center"/>
          </w:tcPr>
          <w:p w14:paraId="47D99CDD" w14:textId="77777777" w:rsidR="00284861" w:rsidRPr="00490C53" w:rsidRDefault="00284861">
            <w:pPr>
              <w:pStyle w:val="Tabletext"/>
              <w:jc w:val="right"/>
              <w:rPr>
                <w:lang w:eastAsia="en-GB"/>
              </w:rPr>
            </w:pPr>
            <w:r w:rsidRPr="00490C53">
              <w:rPr>
                <w:rFonts w:cstheme="minorHAnsi"/>
                <w:szCs w:val="24"/>
              </w:rPr>
              <w:t>0.7%</w:t>
            </w:r>
          </w:p>
        </w:tc>
      </w:tr>
      <w:tr w:rsidR="00284861" w:rsidRPr="00490C53" w14:paraId="7E661AB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21822C2" w14:textId="77777777" w:rsidR="00284861" w:rsidRPr="00490C53" w:rsidRDefault="00284861">
            <w:pPr>
              <w:pStyle w:val="Tabletext"/>
              <w:rPr>
                <w:lang w:eastAsia="en-GB"/>
              </w:rPr>
            </w:pPr>
          </w:p>
        </w:tc>
        <w:tc>
          <w:tcPr>
            <w:tcW w:w="1746" w:type="pct"/>
            <w:noWrap/>
            <w:vAlign w:val="top"/>
          </w:tcPr>
          <w:p w14:paraId="32FA32C3" w14:textId="77777777" w:rsidR="00284861" w:rsidRPr="00490C53" w:rsidRDefault="00284861">
            <w:pPr>
              <w:pStyle w:val="Tabletext"/>
              <w:rPr>
                <w:lang w:eastAsia="en-GB"/>
              </w:rPr>
            </w:pPr>
            <w:r w:rsidRPr="00490C53">
              <w:t>Increase of between 25% and 50%</w:t>
            </w:r>
          </w:p>
        </w:tc>
        <w:tc>
          <w:tcPr>
            <w:tcW w:w="1117" w:type="pct"/>
            <w:noWrap/>
            <w:vAlign w:val="center"/>
          </w:tcPr>
          <w:p w14:paraId="437A3BDB" w14:textId="77777777" w:rsidR="00284861" w:rsidRPr="00490C53" w:rsidRDefault="00284861">
            <w:pPr>
              <w:pStyle w:val="Tabletext"/>
              <w:jc w:val="right"/>
              <w:rPr>
                <w:lang w:eastAsia="en-GB"/>
              </w:rPr>
            </w:pPr>
            <w:r w:rsidRPr="00490C53">
              <w:rPr>
                <w:rFonts w:cstheme="minorHAnsi"/>
                <w:szCs w:val="24"/>
              </w:rPr>
              <w:t>6.9%</w:t>
            </w:r>
          </w:p>
        </w:tc>
        <w:tc>
          <w:tcPr>
            <w:tcW w:w="1160" w:type="pct"/>
            <w:noWrap/>
            <w:vAlign w:val="center"/>
          </w:tcPr>
          <w:p w14:paraId="4357124E" w14:textId="77777777" w:rsidR="00284861" w:rsidRPr="00490C53" w:rsidRDefault="00284861">
            <w:pPr>
              <w:pStyle w:val="Tabletext"/>
              <w:jc w:val="right"/>
              <w:rPr>
                <w:lang w:eastAsia="en-GB"/>
              </w:rPr>
            </w:pPr>
            <w:r w:rsidRPr="00490C53">
              <w:rPr>
                <w:rFonts w:cstheme="minorHAnsi"/>
                <w:szCs w:val="24"/>
              </w:rPr>
              <w:t>0.4%</w:t>
            </w:r>
          </w:p>
        </w:tc>
      </w:tr>
      <w:tr w:rsidR="00284861" w:rsidRPr="00490C53" w14:paraId="1A50BBBB" w14:textId="77777777">
        <w:tblPrEx>
          <w:tblCellMar>
            <w:left w:w="108" w:type="dxa"/>
            <w:right w:w="108" w:type="dxa"/>
          </w:tblCellMar>
        </w:tblPrEx>
        <w:trPr>
          <w:trHeight w:val="290"/>
        </w:trPr>
        <w:tc>
          <w:tcPr>
            <w:tcW w:w="977" w:type="pct"/>
            <w:noWrap/>
            <w:vAlign w:val="top"/>
          </w:tcPr>
          <w:p w14:paraId="2E1AE8C5" w14:textId="77777777" w:rsidR="00284861" w:rsidRPr="00490C53" w:rsidRDefault="00284861">
            <w:pPr>
              <w:pStyle w:val="Tabletext"/>
              <w:rPr>
                <w:lang w:eastAsia="en-GB"/>
              </w:rPr>
            </w:pPr>
          </w:p>
        </w:tc>
        <w:tc>
          <w:tcPr>
            <w:tcW w:w="1746" w:type="pct"/>
            <w:noWrap/>
            <w:vAlign w:val="top"/>
          </w:tcPr>
          <w:p w14:paraId="596099C4" w14:textId="77777777" w:rsidR="00284861" w:rsidRPr="00490C53" w:rsidRDefault="00284861">
            <w:pPr>
              <w:pStyle w:val="Tabletext"/>
              <w:rPr>
                <w:lang w:eastAsia="en-GB"/>
              </w:rPr>
            </w:pPr>
            <w:r w:rsidRPr="00490C53">
              <w:t>Increase of more than 50%</w:t>
            </w:r>
          </w:p>
        </w:tc>
        <w:tc>
          <w:tcPr>
            <w:tcW w:w="1117" w:type="pct"/>
            <w:noWrap/>
            <w:vAlign w:val="center"/>
          </w:tcPr>
          <w:p w14:paraId="69F7E9FD" w14:textId="77777777" w:rsidR="00284861" w:rsidRPr="00490C53" w:rsidRDefault="00284861">
            <w:pPr>
              <w:pStyle w:val="Tabletext"/>
              <w:jc w:val="right"/>
              <w:rPr>
                <w:lang w:eastAsia="en-GB"/>
              </w:rPr>
            </w:pPr>
            <w:r w:rsidRPr="00490C53">
              <w:rPr>
                <w:rFonts w:cstheme="minorHAnsi"/>
                <w:szCs w:val="24"/>
              </w:rPr>
              <w:t>4.5%</w:t>
            </w:r>
          </w:p>
        </w:tc>
        <w:tc>
          <w:tcPr>
            <w:tcW w:w="1160" w:type="pct"/>
            <w:noWrap/>
            <w:vAlign w:val="center"/>
          </w:tcPr>
          <w:p w14:paraId="66D87D6D"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2A306DA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63EB573" w14:textId="77777777" w:rsidR="00284861" w:rsidRPr="00490C53" w:rsidRDefault="00284861">
            <w:pPr>
              <w:pStyle w:val="Tabletext"/>
              <w:rPr>
                <w:lang w:eastAsia="en-GB"/>
              </w:rPr>
            </w:pPr>
            <w:r w:rsidRPr="00490C53">
              <w:rPr>
                <w:b/>
                <w:bCs/>
              </w:rPr>
              <w:t>Employment growth 2017/2018</w:t>
            </w:r>
          </w:p>
        </w:tc>
        <w:tc>
          <w:tcPr>
            <w:tcW w:w="1746" w:type="pct"/>
            <w:noWrap/>
            <w:vAlign w:val="top"/>
          </w:tcPr>
          <w:p w14:paraId="4EC3BF50" w14:textId="77777777" w:rsidR="00284861" w:rsidRPr="00490C53" w:rsidRDefault="00284861">
            <w:pPr>
              <w:pStyle w:val="Tabletext"/>
              <w:rPr>
                <w:lang w:eastAsia="en-GB"/>
              </w:rPr>
            </w:pPr>
            <w:r w:rsidRPr="00490C53">
              <w:t>Decrease of more than 50%</w:t>
            </w:r>
          </w:p>
        </w:tc>
        <w:tc>
          <w:tcPr>
            <w:tcW w:w="1117" w:type="pct"/>
            <w:noWrap/>
            <w:vAlign w:val="center"/>
          </w:tcPr>
          <w:p w14:paraId="468F454A" w14:textId="77777777" w:rsidR="00284861" w:rsidRPr="00490C53" w:rsidRDefault="00284861">
            <w:pPr>
              <w:pStyle w:val="Tabletext"/>
              <w:jc w:val="right"/>
              <w:rPr>
                <w:lang w:eastAsia="en-GB"/>
              </w:rPr>
            </w:pPr>
            <w:r w:rsidRPr="00490C53">
              <w:rPr>
                <w:rFonts w:cstheme="minorHAnsi"/>
                <w:szCs w:val="24"/>
              </w:rPr>
              <w:t>1.0%</w:t>
            </w:r>
          </w:p>
        </w:tc>
        <w:tc>
          <w:tcPr>
            <w:tcW w:w="1160" w:type="pct"/>
            <w:noWrap/>
            <w:vAlign w:val="center"/>
          </w:tcPr>
          <w:p w14:paraId="016210F0"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149EF9D5" w14:textId="77777777">
        <w:tblPrEx>
          <w:tblCellMar>
            <w:left w:w="108" w:type="dxa"/>
            <w:right w:w="108" w:type="dxa"/>
          </w:tblCellMar>
        </w:tblPrEx>
        <w:trPr>
          <w:trHeight w:val="290"/>
        </w:trPr>
        <w:tc>
          <w:tcPr>
            <w:tcW w:w="977" w:type="pct"/>
            <w:noWrap/>
            <w:vAlign w:val="top"/>
          </w:tcPr>
          <w:p w14:paraId="1EEA73F0" w14:textId="77777777" w:rsidR="00284861" w:rsidRPr="00490C53" w:rsidRDefault="00284861">
            <w:pPr>
              <w:pStyle w:val="Tabletext"/>
              <w:rPr>
                <w:lang w:eastAsia="en-GB"/>
              </w:rPr>
            </w:pPr>
          </w:p>
        </w:tc>
        <w:tc>
          <w:tcPr>
            <w:tcW w:w="1746" w:type="pct"/>
            <w:noWrap/>
            <w:vAlign w:val="top"/>
          </w:tcPr>
          <w:p w14:paraId="236E70E1" w14:textId="77777777" w:rsidR="00284861" w:rsidRPr="00490C53" w:rsidRDefault="00284861">
            <w:pPr>
              <w:pStyle w:val="Tabletext"/>
              <w:rPr>
                <w:lang w:eastAsia="en-GB"/>
              </w:rPr>
            </w:pPr>
            <w:r w:rsidRPr="00490C53">
              <w:t>Decrease of less than 50%</w:t>
            </w:r>
          </w:p>
        </w:tc>
        <w:tc>
          <w:tcPr>
            <w:tcW w:w="1117" w:type="pct"/>
            <w:noWrap/>
            <w:vAlign w:val="center"/>
          </w:tcPr>
          <w:p w14:paraId="5EED29C9" w14:textId="77777777" w:rsidR="00284861" w:rsidRPr="00490C53" w:rsidRDefault="00284861">
            <w:pPr>
              <w:pStyle w:val="Tabletext"/>
              <w:jc w:val="right"/>
              <w:rPr>
                <w:lang w:eastAsia="en-GB"/>
              </w:rPr>
            </w:pPr>
            <w:r w:rsidRPr="00490C53">
              <w:rPr>
                <w:rFonts w:cstheme="minorHAnsi"/>
                <w:szCs w:val="24"/>
              </w:rPr>
              <w:t>5.1%</w:t>
            </w:r>
          </w:p>
        </w:tc>
        <w:tc>
          <w:tcPr>
            <w:tcW w:w="1160" w:type="pct"/>
            <w:noWrap/>
            <w:vAlign w:val="center"/>
          </w:tcPr>
          <w:p w14:paraId="4B68F580" w14:textId="77777777" w:rsidR="00284861" w:rsidRPr="00490C53" w:rsidRDefault="00284861">
            <w:pPr>
              <w:pStyle w:val="Tabletext"/>
              <w:jc w:val="right"/>
              <w:rPr>
                <w:lang w:eastAsia="en-GB"/>
              </w:rPr>
            </w:pPr>
            <w:r w:rsidRPr="00490C53">
              <w:rPr>
                <w:rFonts w:cstheme="minorHAnsi"/>
                <w:szCs w:val="24"/>
              </w:rPr>
              <w:t>0.7%</w:t>
            </w:r>
          </w:p>
        </w:tc>
      </w:tr>
      <w:tr w:rsidR="00284861" w:rsidRPr="00490C53" w14:paraId="24E844C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1E31B0D" w14:textId="77777777" w:rsidR="00284861" w:rsidRPr="00490C53" w:rsidRDefault="00284861">
            <w:pPr>
              <w:pStyle w:val="Tabletext"/>
              <w:rPr>
                <w:lang w:eastAsia="en-GB"/>
              </w:rPr>
            </w:pPr>
          </w:p>
        </w:tc>
        <w:tc>
          <w:tcPr>
            <w:tcW w:w="1746" w:type="pct"/>
            <w:noWrap/>
            <w:vAlign w:val="top"/>
          </w:tcPr>
          <w:p w14:paraId="70917DD0" w14:textId="77777777" w:rsidR="00284861" w:rsidRPr="00490C53" w:rsidRDefault="00284861">
            <w:pPr>
              <w:pStyle w:val="Tabletext"/>
              <w:rPr>
                <w:lang w:eastAsia="en-GB"/>
              </w:rPr>
            </w:pPr>
            <w:r w:rsidRPr="00490C53">
              <w:t>No change</w:t>
            </w:r>
          </w:p>
        </w:tc>
        <w:tc>
          <w:tcPr>
            <w:tcW w:w="1117" w:type="pct"/>
            <w:noWrap/>
            <w:vAlign w:val="center"/>
          </w:tcPr>
          <w:p w14:paraId="18948854" w14:textId="77777777" w:rsidR="00284861" w:rsidRPr="00490C53" w:rsidRDefault="00284861">
            <w:pPr>
              <w:pStyle w:val="Tabletext"/>
              <w:jc w:val="right"/>
              <w:rPr>
                <w:lang w:eastAsia="en-GB"/>
              </w:rPr>
            </w:pPr>
            <w:r w:rsidRPr="00490C53">
              <w:rPr>
                <w:rFonts w:cstheme="minorHAnsi"/>
                <w:szCs w:val="24"/>
              </w:rPr>
              <w:t>27.1%</w:t>
            </w:r>
          </w:p>
        </w:tc>
        <w:tc>
          <w:tcPr>
            <w:tcW w:w="1160" w:type="pct"/>
            <w:noWrap/>
            <w:vAlign w:val="center"/>
          </w:tcPr>
          <w:p w14:paraId="153ECA6C" w14:textId="77777777" w:rsidR="00284861" w:rsidRPr="00490C53" w:rsidRDefault="00284861">
            <w:pPr>
              <w:pStyle w:val="Tabletext"/>
              <w:jc w:val="right"/>
              <w:rPr>
                <w:lang w:eastAsia="en-GB"/>
              </w:rPr>
            </w:pPr>
            <w:r w:rsidRPr="00490C53">
              <w:rPr>
                <w:rFonts w:cstheme="minorHAnsi"/>
                <w:szCs w:val="24"/>
              </w:rPr>
              <w:t>1.3%</w:t>
            </w:r>
          </w:p>
        </w:tc>
      </w:tr>
      <w:tr w:rsidR="00284861" w:rsidRPr="00490C53" w14:paraId="29805030" w14:textId="77777777">
        <w:tblPrEx>
          <w:tblCellMar>
            <w:left w:w="108" w:type="dxa"/>
            <w:right w:w="108" w:type="dxa"/>
          </w:tblCellMar>
        </w:tblPrEx>
        <w:trPr>
          <w:trHeight w:val="290"/>
        </w:trPr>
        <w:tc>
          <w:tcPr>
            <w:tcW w:w="977" w:type="pct"/>
            <w:noWrap/>
            <w:vAlign w:val="top"/>
          </w:tcPr>
          <w:p w14:paraId="7DA3ABA8" w14:textId="77777777" w:rsidR="00284861" w:rsidRPr="00490C53" w:rsidRDefault="00284861">
            <w:pPr>
              <w:pStyle w:val="Tabletext"/>
              <w:rPr>
                <w:lang w:eastAsia="en-GB"/>
              </w:rPr>
            </w:pPr>
          </w:p>
        </w:tc>
        <w:tc>
          <w:tcPr>
            <w:tcW w:w="1746" w:type="pct"/>
            <w:noWrap/>
            <w:vAlign w:val="top"/>
          </w:tcPr>
          <w:p w14:paraId="0AFD47AB" w14:textId="77777777" w:rsidR="00284861" w:rsidRPr="00490C53" w:rsidRDefault="00284861">
            <w:pPr>
              <w:pStyle w:val="Tabletext"/>
              <w:rPr>
                <w:lang w:eastAsia="en-GB"/>
              </w:rPr>
            </w:pPr>
            <w:r w:rsidRPr="00490C53">
              <w:t>Increase of less than 50%</w:t>
            </w:r>
          </w:p>
        </w:tc>
        <w:tc>
          <w:tcPr>
            <w:tcW w:w="1117" w:type="pct"/>
            <w:noWrap/>
            <w:vAlign w:val="center"/>
          </w:tcPr>
          <w:p w14:paraId="31B31382" w14:textId="77777777" w:rsidR="00284861" w:rsidRPr="00490C53" w:rsidRDefault="00284861">
            <w:pPr>
              <w:pStyle w:val="Tabletext"/>
              <w:jc w:val="right"/>
              <w:rPr>
                <w:lang w:eastAsia="en-GB"/>
              </w:rPr>
            </w:pPr>
            <w:r w:rsidRPr="00490C53">
              <w:rPr>
                <w:rFonts w:cstheme="minorHAnsi"/>
                <w:szCs w:val="24"/>
              </w:rPr>
              <w:t>19.6%</w:t>
            </w:r>
          </w:p>
        </w:tc>
        <w:tc>
          <w:tcPr>
            <w:tcW w:w="1160" w:type="pct"/>
            <w:noWrap/>
            <w:vAlign w:val="center"/>
          </w:tcPr>
          <w:p w14:paraId="3E003865" w14:textId="77777777" w:rsidR="00284861" w:rsidRPr="00490C53" w:rsidRDefault="00284861">
            <w:pPr>
              <w:pStyle w:val="Tabletext"/>
              <w:jc w:val="right"/>
              <w:rPr>
                <w:lang w:eastAsia="en-GB"/>
              </w:rPr>
            </w:pPr>
            <w:r w:rsidRPr="00490C53">
              <w:rPr>
                <w:rFonts w:cstheme="minorHAnsi"/>
                <w:szCs w:val="24"/>
              </w:rPr>
              <w:t>0.4%</w:t>
            </w:r>
          </w:p>
        </w:tc>
      </w:tr>
      <w:tr w:rsidR="00284861" w:rsidRPr="00490C53" w14:paraId="1C82EE5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A90FE94" w14:textId="77777777" w:rsidR="00284861" w:rsidRPr="00490C53" w:rsidRDefault="00284861">
            <w:pPr>
              <w:pStyle w:val="Tabletext"/>
              <w:rPr>
                <w:lang w:eastAsia="en-GB"/>
              </w:rPr>
            </w:pPr>
          </w:p>
        </w:tc>
        <w:tc>
          <w:tcPr>
            <w:tcW w:w="1746" w:type="pct"/>
            <w:noWrap/>
            <w:vAlign w:val="top"/>
          </w:tcPr>
          <w:p w14:paraId="678355FF" w14:textId="77777777" w:rsidR="00284861" w:rsidRPr="00490C53" w:rsidRDefault="00284861">
            <w:pPr>
              <w:pStyle w:val="Tabletext"/>
              <w:rPr>
                <w:lang w:eastAsia="en-GB"/>
              </w:rPr>
            </w:pPr>
            <w:r w:rsidRPr="00490C53">
              <w:t>Increase of more than 50%</w:t>
            </w:r>
          </w:p>
        </w:tc>
        <w:tc>
          <w:tcPr>
            <w:tcW w:w="1117" w:type="pct"/>
            <w:noWrap/>
            <w:vAlign w:val="center"/>
          </w:tcPr>
          <w:p w14:paraId="3486F67F" w14:textId="77777777" w:rsidR="00284861" w:rsidRPr="00490C53" w:rsidRDefault="00284861">
            <w:pPr>
              <w:pStyle w:val="Tabletext"/>
              <w:jc w:val="right"/>
              <w:rPr>
                <w:lang w:eastAsia="en-GB"/>
              </w:rPr>
            </w:pPr>
            <w:r w:rsidRPr="00490C53">
              <w:rPr>
                <w:rFonts w:cstheme="minorHAnsi"/>
                <w:szCs w:val="24"/>
              </w:rPr>
              <w:t>3.5%</w:t>
            </w:r>
          </w:p>
        </w:tc>
        <w:tc>
          <w:tcPr>
            <w:tcW w:w="1160" w:type="pct"/>
            <w:noWrap/>
            <w:vAlign w:val="center"/>
          </w:tcPr>
          <w:p w14:paraId="38AB3E54" w14:textId="77777777" w:rsidR="00284861" w:rsidRPr="00490C53" w:rsidRDefault="00284861">
            <w:pPr>
              <w:pStyle w:val="Tabletext"/>
              <w:jc w:val="right"/>
              <w:rPr>
                <w:lang w:eastAsia="en-GB"/>
              </w:rPr>
            </w:pPr>
            <w:r w:rsidRPr="00490C53">
              <w:rPr>
                <w:rFonts w:cstheme="minorHAnsi"/>
                <w:szCs w:val="24"/>
              </w:rPr>
              <w:t>0.2%</w:t>
            </w:r>
          </w:p>
        </w:tc>
      </w:tr>
      <w:tr w:rsidR="00284861" w:rsidRPr="00490C53" w14:paraId="39A0E443" w14:textId="77777777">
        <w:tblPrEx>
          <w:tblCellMar>
            <w:left w:w="108" w:type="dxa"/>
            <w:right w:w="108" w:type="dxa"/>
          </w:tblCellMar>
        </w:tblPrEx>
        <w:trPr>
          <w:trHeight w:val="290"/>
        </w:trPr>
        <w:tc>
          <w:tcPr>
            <w:tcW w:w="977" w:type="pct"/>
            <w:noWrap/>
            <w:vAlign w:val="top"/>
          </w:tcPr>
          <w:p w14:paraId="65FE4091" w14:textId="77777777" w:rsidR="00284861" w:rsidRPr="00490C53" w:rsidRDefault="00284861">
            <w:pPr>
              <w:pStyle w:val="Tabletext"/>
              <w:rPr>
                <w:lang w:eastAsia="en-GB"/>
              </w:rPr>
            </w:pPr>
            <w:r w:rsidRPr="00490C53">
              <w:rPr>
                <w:b/>
                <w:bCs/>
              </w:rPr>
              <w:t>Employment growth 2018/2019</w:t>
            </w:r>
          </w:p>
        </w:tc>
        <w:tc>
          <w:tcPr>
            <w:tcW w:w="1746" w:type="pct"/>
            <w:noWrap/>
            <w:vAlign w:val="top"/>
          </w:tcPr>
          <w:p w14:paraId="65FFE705" w14:textId="77777777" w:rsidR="00284861" w:rsidRPr="00490C53" w:rsidRDefault="00284861">
            <w:pPr>
              <w:pStyle w:val="Tabletext"/>
              <w:rPr>
                <w:lang w:eastAsia="en-GB"/>
              </w:rPr>
            </w:pPr>
            <w:r w:rsidRPr="00490C53">
              <w:t>Decrease of more than 50%</w:t>
            </w:r>
          </w:p>
        </w:tc>
        <w:tc>
          <w:tcPr>
            <w:tcW w:w="1117" w:type="pct"/>
            <w:noWrap/>
            <w:vAlign w:val="center"/>
          </w:tcPr>
          <w:p w14:paraId="254E9DAF" w14:textId="77777777" w:rsidR="00284861" w:rsidRPr="00490C53" w:rsidRDefault="00284861">
            <w:pPr>
              <w:pStyle w:val="Tabletext"/>
              <w:jc w:val="right"/>
              <w:rPr>
                <w:lang w:eastAsia="en-GB"/>
              </w:rPr>
            </w:pPr>
            <w:r w:rsidRPr="00490C53">
              <w:rPr>
                <w:rFonts w:cstheme="minorHAnsi"/>
                <w:szCs w:val="24"/>
              </w:rPr>
              <w:t>0.9%</w:t>
            </w:r>
          </w:p>
        </w:tc>
        <w:tc>
          <w:tcPr>
            <w:tcW w:w="1160" w:type="pct"/>
            <w:noWrap/>
            <w:vAlign w:val="center"/>
          </w:tcPr>
          <w:p w14:paraId="54040782"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3D0DCD4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C61B69A" w14:textId="77777777" w:rsidR="00284861" w:rsidRPr="00490C53" w:rsidRDefault="00284861">
            <w:pPr>
              <w:pStyle w:val="Tabletext"/>
              <w:rPr>
                <w:lang w:eastAsia="en-GB"/>
              </w:rPr>
            </w:pPr>
          </w:p>
        </w:tc>
        <w:tc>
          <w:tcPr>
            <w:tcW w:w="1746" w:type="pct"/>
            <w:noWrap/>
            <w:vAlign w:val="top"/>
          </w:tcPr>
          <w:p w14:paraId="7BA73118" w14:textId="77777777" w:rsidR="00284861" w:rsidRPr="00490C53" w:rsidRDefault="00284861">
            <w:pPr>
              <w:pStyle w:val="Tabletext"/>
              <w:rPr>
                <w:lang w:eastAsia="en-GB"/>
              </w:rPr>
            </w:pPr>
            <w:r w:rsidRPr="00490C53">
              <w:t>Decrease of less than 50%</w:t>
            </w:r>
          </w:p>
        </w:tc>
        <w:tc>
          <w:tcPr>
            <w:tcW w:w="1117" w:type="pct"/>
            <w:noWrap/>
            <w:vAlign w:val="center"/>
          </w:tcPr>
          <w:p w14:paraId="58136F5C" w14:textId="77777777" w:rsidR="00284861" w:rsidRPr="00490C53" w:rsidRDefault="00284861">
            <w:pPr>
              <w:pStyle w:val="Tabletext"/>
              <w:jc w:val="right"/>
              <w:rPr>
                <w:lang w:eastAsia="en-GB"/>
              </w:rPr>
            </w:pPr>
            <w:r w:rsidRPr="00490C53">
              <w:rPr>
                <w:rFonts w:cstheme="minorHAnsi"/>
                <w:szCs w:val="24"/>
              </w:rPr>
              <w:t>6.5%</w:t>
            </w:r>
          </w:p>
        </w:tc>
        <w:tc>
          <w:tcPr>
            <w:tcW w:w="1160" w:type="pct"/>
            <w:noWrap/>
            <w:vAlign w:val="center"/>
          </w:tcPr>
          <w:p w14:paraId="7CA4102F"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3ECA1A1A" w14:textId="77777777">
        <w:tblPrEx>
          <w:tblCellMar>
            <w:left w:w="108" w:type="dxa"/>
            <w:right w:w="108" w:type="dxa"/>
          </w:tblCellMar>
        </w:tblPrEx>
        <w:trPr>
          <w:trHeight w:val="290"/>
        </w:trPr>
        <w:tc>
          <w:tcPr>
            <w:tcW w:w="977" w:type="pct"/>
            <w:noWrap/>
            <w:vAlign w:val="top"/>
          </w:tcPr>
          <w:p w14:paraId="55887CA6" w14:textId="77777777" w:rsidR="00284861" w:rsidRPr="00490C53" w:rsidRDefault="00284861">
            <w:pPr>
              <w:pStyle w:val="Tabletext"/>
              <w:rPr>
                <w:lang w:eastAsia="en-GB"/>
              </w:rPr>
            </w:pPr>
          </w:p>
        </w:tc>
        <w:tc>
          <w:tcPr>
            <w:tcW w:w="1746" w:type="pct"/>
            <w:noWrap/>
            <w:vAlign w:val="top"/>
          </w:tcPr>
          <w:p w14:paraId="7022C910" w14:textId="77777777" w:rsidR="00284861" w:rsidRPr="00490C53" w:rsidRDefault="00284861">
            <w:pPr>
              <w:pStyle w:val="Tabletext"/>
              <w:rPr>
                <w:lang w:eastAsia="en-GB"/>
              </w:rPr>
            </w:pPr>
            <w:r w:rsidRPr="00490C53">
              <w:t>No change</w:t>
            </w:r>
          </w:p>
        </w:tc>
        <w:tc>
          <w:tcPr>
            <w:tcW w:w="1117" w:type="pct"/>
            <w:noWrap/>
            <w:vAlign w:val="center"/>
          </w:tcPr>
          <w:p w14:paraId="01886613" w14:textId="77777777" w:rsidR="00284861" w:rsidRPr="00490C53" w:rsidRDefault="00284861">
            <w:pPr>
              <w:pStyle w:val="Tabletext"/>
              <w:jc w:val="right"/>
              <w:rPr>
                <w:lang w:eastAsia="en-GB"/>
              </w:rPr>
            </w:pPr>
            <w:r w:rsidRPr="00490C53">
              <w:rPr>
                <w:rFonts w:cstheme="minorHAnsi"/>
                <w:szCs w:val="24"/>
              </w:rPr>
              <w:t>29.3%</w:t>
            </w:r>
          </w:p>
        </w:tc>
        <w:tc>
          <w:tcPr>
            <w:tcW w:w="1160" w:type="pct"/>
            <w:noWrap/>
            <w:vAlign w:val="center"/>
          </w:tcPr>
          <w:p w14:paraId="68C092BC" w14:textId="77777777" w:rsidR="00284861" w:rsidRPr="00490C53" w:rsidRDefault="00284861">
            <w:pPr>
              <w:pStyle w:val="Tabletext"/>
              <w:jc w:val="right"/>
              <w:rPr>
                <w:lang w:eastAsia="en-GB"/>
              </w:rPr>
            </w:pPr>
            <w:r w:rsidRPr="00490C53">
              <w:rPr>
                <w:rFonts w:cstheme="minorHAnsi"/>
                <w:szCs w:val="24"/>
              </w:rPr>
              <w:t>0.6%</w:t>
            </w:r>
          </w:p>
        </w:tc>
      </w:tr>
      <w:tr w:rsidR="00284861" w:rsidRPr="00490C53" w14:paraId="5052137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A583AA6" w14:textId="77777777" w:rsidR="00284861" w:rsidRPr="00490C53" w:rsidRDefault="00284861">
            <w:pPr>
              <w:pStyle w:val="Tabletext"/>
              <w:rPr>
                <w:lang w:eastAsia="en-GB"/>
              </w:rPr>
            </w:pPr>
          </w:p>
        </w:tc>
        <w:tc>
          <w:tcPr>
            <w:tcW w:w="1746" w:type="pct"/>
            <w:noWrap/>
            <w:vAlign w:val="top"/>
          </w:tcPr>
          <w:p w14:paraId="55CEDF06" w14:textId="77777777" w:rsidR="00284861" w:rsidRPr="00490C53" w:rsidRDefault="00284861">
            <w:pPr>
              <w:pStyle w:val="Tabletext"/>
              <w:rPr>
                <w:lang w:eastAsia="en-GB"/>
              </w:rPr>
            </w:pPr>
            <w:r w:rsidRPr="00490C53">
              <w:t>Increase of less than 50%</w:t>
            </w:r>
          </w:p>
        </w:tc>
        <w:tc>
          <w:tcPr>
            <w:tcW w:w="1117" w:type="pct"/>
            <w:noWrap/>
            <w:vAlign w:val="center"/>
          </w:tcPr>
          <w:p w14:paraId="7C4ED885" w14:textId="77777777" w:rsidR="00284861" w:rsidRPr="00490C53" w:rsidRDefault="00284861">
            <w:pPr>
              <w:pStyle w:val="Tabletext"/>
              <w:jc w:val="right"/>
              <w:rPr>
                <w:lang w:eastAsia="en-GB"/>
              </w:rPr>
            </w:pPr>
            <w:r w:rsidRPr="00490C53">
              <w:rPr>
                <w:rFonts w:cstheme="minorHAnsi"/>
                <w:szCs w:val="24"/>
              </w:rPr>
              <w:t>20.2%</w:t>
            </w:r>
          </w:p>
        </w:tc>
        <w:tc>
          <w:tcPr>
            <w:tcW w:w="1160" w:type="pct"/>
            <w:noWrap/>
            <w:vAlign w:val="center"/>
          </w:tcPr>
          <w:p w14:paraId="77D5635E" w14:textId="77777777" w:rsidR="00284861" w:rsidRPr="00490C53" w:rsidRDefault="00284861">
            <w:pPr>
              <w:pStyle w:val="Tabletext"/>
              <w:jc w:val="right"/>
              <w:rPr>
                <w:lang w:eastAsia="en-GB"/>
              </w:rPr>
            </w:pPr>
            <w:r w:rsidRPr="00490C53">
              <w:rPr>
                <w:rFonts w:cstheme="minorHAnsi"/>
                <w:szCs w:val="24"/>
              </w:rPr>
              <w:t>0.5%</w:t>
            </w:r>
          </w:p>
        </w:tc>
      </w:tr>
      <w:tr w:rsidR="00284861" w:rsidRPr="00490C53" w14:paraId="1FAEAF06" w14:textId="77777777">
        <w:tblPrEx>
          <w:tblCellMar>
            <w:left w:w="108" w:type="dxa"/>
            <w:right w:w="108" w:type="dxa"/>
          </w:tblCellMar>
        </w:tblPrEx>
        <w:trPr>
          <w:trHeight w:val="290"/>
        </w:trPr>
        <w:tc>
          <w:tcPr>
            <w:tcW w:w="977" w:type="pct"/>
            <w:noWrap/>
            <w:vAlign w:val="top"/>
          </w:tcPr>
          <w:p w14:paraId="77C2BCD6" w14:textId="77777777" w:rsidR="00284861" w:rsidRPr="00490C53" w:rsidRDefault="00284861">
            <w:pPr>
              <w:pStyle w:val="Tabletext"/>
              <w:rPr>
                <w:lang w:eastAsia="en-GB"/>
              </w:rPr>
            </w:pPr>
          </w:p>
        </w:tc>
        <w:tc>
          <w:tcPr>
            <w:tcW w:w="1746" w:type="pct"/>
            <w:noWrap/>
            <w:vAlign w:val="top"/>
          </w:tcPr>
          <w:p w14:paraId="04D34572" w14:textId="77777777" w:rsidR="00284861" w:rsidRPr="00490C53" w:rsidRDefault="00284861">
            <w:pPr>
              <w:pStyle w:val="Tabletext"/>
              <w:rPr>
                <w:lang w:eastAsia="en-GB"/>
              </w:rPr>
            </w:pPr>
            <w:r w:rsidRPr="00490C53">
              <w:t>Increase of more than 50%</w:t>
            </w:r>
          </w:p>
        </w:tc>
        <w:tc>
          <w:tcPr>
            <w:tcW w:w="1117" w:type="pct"/>
            <w:noWrap/>
            <w:vAlign w:val="center"/>
          </w:tcPr>
          <w:p w14:paraId="381BE8E0" w14:textId="77777777" w:rsidR="00284861" w:rsidRPr="00490C53" w:rsidRDefault="00284861">
            <w:pPr>
              <w:pStyle w:val="Tabletext"/>
              <w:jc w:val="right"/>
              <w:rPr>
                <w:lang w:eastAsia="en-GB"/>
              </w:rPr>
            </w:pPr>
            <w:r w:rsidRPr="00490C53">
              <w:rPr>
                <w:rFonts w:cstheme="minorHAnsi"/>
                <w:szCs w:val="24"/>
              </w:rPr>
              <w:t>3.6%</w:t>
            </w:r>
          </w:p>
        </w:tc>
        <w:tc>
          <w:tcPr>
            <w:tcW w:w="1160" w:type="pct"/>
            <w:noWrap/>
            <w:vAlign w:val="center"/>
          </w:tcPr>
          <w:p w14:paraId="21C1B7A3"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26B581B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B7D459C" w14:textId="77777777" w:rsidR="00284861" w:rsidRPr="00490C53" w:rsidRDefault="00284861">
            <w:pPr>
              <w:pStyle w:val="Tabletext"/>
              <w:rPr>
                <w:lang w:eastAsia="en-GB"/>
              </w:rPr>
            </w:pPr>
            <w:r w:rsidRPr="00490C53">
              <w:rPr>
                <w:b/>
                <w:bCs/>
              </w:rPr>
              <w:lastRenderedPageBreak/>
              <w:t>Age</w:t>
            </w:r>
          </w:p>
        </w:tc>
        <w:tc>
          <w:tcPr>
            <w:tcW w:w="1746" w:type="pct"/>
            <w:noWrap/>
            <w:vAlign w:val="top"/>
          </w:tcPr>
          <w:p w14:paraId="5FE42FA3" w14:textId="77777777" w:rsidR="00284861" w:rsidRPr="00490C53" w:rsidRDefault="00284861">
            <w:pPr>
              <w:pStyle w:val="Tabletext"/>
              <w:rPr>
                <w:lang w:eastAsia="en-GB"/>
              </w:rPr>
            </w:pPr>
            <w:r w:rsidRPr="00490C53">
              <w:t>2 Years or less</w:t>
            </w:r>
          </w:p>
        </w:tc>
        <w:tc>
          <w:tcPr>
            <w:tcW w:w="1117" w:type="pct"/>
            <w:noWrap/>
            <w:vAlign w:val="center"/>
          </w:tcPr>
          <w:p w14:paraId="5004625F" w14:textId="77777777" w:rsidR="00284861" w:rsidRPr="00490C53" w:rsidRDefault="00284861">
            <w:pPr>
              <w:pStyle w:val="Tabletext"/>
              <w:jc w:val="right"/>
              <w:rPr>
                <w:lang w:eastAsia="en-GB"/>
              </w:rPr>
            </w:pPr>
            <w:r w:rsidRPr="00490C53">
              <w:rPr>
                <w:rFonts w:cstheme="minorHAnsi"/>
                <w:szCs w:val="24"/>
              </w:rPr>
              <w:t>15.9%</w:t>
            </w:r>
          </w:p>
        </w:tc>
        <w:tc>
          <w:tcPr>
            <w:tcW w:w="1160" w:type="pct"/>
            <w:noWrap/>
            <w:vAlign w:val="center"/>
          </w:tcPr>
          <w:p w14:paraId="533EAE67" w14:textId="77777777" w:rsidR="00284861" w:rsidRPr="00490C53" w:rsidRDefault="00284861">
            <w:pPr>
              <w:pStyle w:val="Tabletext"/>
              <w:jc w:val="right"/>
              <w:rPr>
                <w:lang w:eastAsia="en-GB"/>
              </w:rPr>
            </w:pPr>
            <w:r w:rsidRPr="00490C53">
              <w:rPr>
                <w:rFonts w:cstheme="minorHAnsi"/>
                <w:szCs w:val="24"/>
              </w:rPr>
              <w:t>0.0%</w:t>
            </w:r>
          </w:p>
        </w:tc>
      </w:tr>
      <w:tr w:rsidR="00284861" w:rsidRPr="00490C53" w14:paraId="12E1DD06" w14:textId="77777777">
        <w:tblPrEx>
          <w:tblCellMar>
            <w:left w:w="108" w:type="dxa"/>
            <w:right w:w="108" w:type="dxa"/>
          </w:tblCellMar>
        </w:tblPrEx>
        <w:trPr>
          <w:trHeight w:val="290"/>
        </w:trPr>
        <w:tc>
          <w:tcPr>
            <w:tcW w:w="977" w:type="pct"/>
            <w:noWrap/>
            <w:vAlign w:val="top"/>
          </w:tcPr>
          <w:p w14:paraId="1C3EB462" w14:textId="77777777" w:rsidR="00284861" w:rsidRPr="00490C53" w:rsidRDefault="00284861">
            <w:pPr>
              <w:pStyle w:val="Tabletext"/>
              <w:rPr>
                <w:lang w:eastAsia="en-GB"/>
              </w:rPr>
            </w:pPr>
          </w:p>
        </w:tc>
        <w:tc>
          <w:tcPr>
            <w:tcW w:w="1746" w:type="pct"/>
            <w:noWrap/>
            <w:vAlign w:val="top"/>
          </w:tcPr>
          <w:p w14:paraId="2C9AD816" w14:textId="77777777" w:rsidR="00284861" w:rsidRPr="00490C53" w:rsidRDefault="00284861">
            <w:pPr>
              <w:pStyle w:val="Tabletext"/>
              <w:rPr>
                <w:lang w:eastAsia="en-GB"/>
              </w:rPr>
            </w:pPr>
            <w:r w:rsidRPr="00490C53">
              <w:t>3-5 Years</w:t>
            </w:r>
          </w:p>
        </w:tc>
        <w:tc>
          <w:tcPr>
            <w:tcW w:w="1117" w:type="pct"/>
            <w:noWrap/>
            <w:vAlign w:val="center"/>
          </w:tcPr>
          <w:p w14:paraId="4B609E95" w14:textId="77777777" w:rsidR="00284861" w:rsidRPr="00490C53" w:rsidRDefault="00284861">
            <w:pPr>
              <w:pStyle w:val="Tabletext"/>
              <w:jc w:val="right"/>
              <w:rPr>
                <w:lang w:eastAsia="en-GB"/>
              </w:rPr>
            </w:pPr>
            <w:r w:rsidRPr="00490C53">
              <w:rPr>
                <w:rFonts w:cstheme="minorHAnsi"/>
                <w:szCs w:val="24"/>
              </w:rPr>
              <w:t>14.0%</w:t>
            </w:r>
          </w:p>
        </w:tc>
        <w:tc>
          <w:tcPr>
            <w:tcW w:w="1160" w:type="pct"/>
            <w:noWrap/>
            <w:vAlign w:val="center"/>
          </w:tcPr>
          <w:p w14:paraId="54B084C2" w14:textId="77777777" w:rsidR="00284861" w:rsidRPr="00490C53" w:rsidRDefault="00284861">
            <w:pPr>
              <w:pStyle w:val="Tabletext"/>
              <w:jc w:val="right"/>
              <w:rPr>
                <w:lang w:eastAsia="en-GB"/>
              </w:rPr>
            </w:pPr>
            <w:r w:rsidRPr="00490C53">
              <w:rPr>
                <w:rFonts w:cstheme="minorHAnsi"/>
                <w:szCs w:val="24"/>
              </w:rPr>
              <w:t>0.4%</w:t>
            </w:r>
          </w:p>
        </w:tc>
      </w:tr>
      <w:tr w:rsidR="00284861" w:rsidRPr="00490C53" w14:paraId="3DF5060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DE8DAC9" w14:textId="77777777" w:rsidR="00284861" w:rsidRPr="00490C53" w:rsidRDefault="00284861">
            <w:pPr>
              <w:pStyle w:val="Tabletext"/>
              <w:rPr>
                <w:lang w:eastAsia="en-GB"/>
              </w:rPr>
            </w:pPr>
          </w:p>
        </w:tc>
        <w:tc>
          <w:tcPr>
            <w:tcW w:w="1746" w:type="pct"/>
            <w:noWrap/>
            <w:vAlign w:val="top"/>
          </w:tcPr>
          <w:p w14:paraId="691E4648" w14:textId="77777777" w:rsidR="00284861" w:rsidRPr="00490C53" w:rsidRDefault="00284861">
            <w:pPr>
              <w:pStyle w:val="Tabletext"/>
              <w:rPr>
                <w:lang w:eastAsia="en-GB"/>
              </w:rPr>
            </w:pPr>
            <w:r w:rsidRPr="00490C53">
              <w:t>6-10 Years</w:t>
            </w:r>
          </w:p>
        </w:tc>
        <w:tc>
          <w:tcPr>
            <w:tcW w:w="1117" w:type="pct"/>
            <w:noWrap/>
            <w:vAlign w:val="center"/>
          </w:tcPr>
          <w:p w14:paraId="497B1C56" w14:textId="77777777" w:rsidR="00284861" w:rsidRPr="00490C53" w:rsidRDefault="00284861">
            <w:pPr>
              <w:pStyle w:val="Tabletext"/>
              <w:jc w:val="right"/>
              <w:rPr>
                <w:lang w:eastAsia="en-GB"/>
              </w:rPr>
            </w:pPr>
            <w:r w:rsidRPr="00490C53">
              <w:rPr>
                <w:rFonts w:cstheme="minorHAnsi"/>
                <w:szCs w:val="24"/>
              </w:rPr>
              <w:t>0.1%</w:t>
            </w:r>
          </w:p>
        </w:tc>
        <w:tc>
          <w:tcPr>
            <w:tcW w:w="1160" w:type="pct"/>
            <w:noWrap/>
            <w:vAlign w:val="center"/>
          </w:tcPr>
          <w:p w14:paraId="12FAE377" w14:textId="77777777" w:rsidR="00284861" w:rsidRPr="00490C53" w:rsidRDefault="00284861">
            <w:pPr>
              <w:pStyle w:val="Tabletext"/>
              <w:jc w:val="right"/>
              <w:rPr>
                <w:lang w:eastAsia="en-GB"/>
              </w:rPr>
            </w:pPr>
            <w:r w:rsidRPr="00490C53">
              <w:rPr>
                <w:rFonts w:cstheme="minorHAnsi"/>
                <w:szCs w:val="24"/>
              </w:rPr>
              <w:t>0.3%</w:t>
            </w:r>
          </w:p>
        </w:tc>
      </w:tr>
      <w:tr w:rsidR="00284861" w:rsidRPr="00490C53" w14:paraId="16CFF99B" w14:textId="77777777">
        <w:tblPrEx>
          <w:tblCellMar>
            <w:left w:w="108" w:type="dxa"/>
            <w:right w:w="108" w:type="dxa"/>
          </w:tblCellMar>
        </w:tblPrEx>
        <w:trPr>
          <w:trHeight w:val="290"/>
        </w:trPr>
        <w:tc>
          <w:tcPr>
            <w:tcW w:w="977" w:type="pct"/>
            <w:noWrap/>
            <w:vAlign w:val="top"/>
          </w:tcPr>
          <w:p w14:paraId="7BF4098F" w14:textId="77777777" w:rsidR="00284861" w:rsidRPr="00490C53" w:rsidRDefault="00284861">
            <w:pPr>
              <w:pStyle w:val="Tabletext"/>
              <w:rPr>
                <w:lang w:eastAsia="en-GB"/>
              </w:rPr>
            </w:pPr>
          </w:p>
        </w:tc>
        <w:tc>
          <w:tcPr>
            <w:tcW w:w="1746" w:type="pct"/>
            <w:noWrap/>
            <w:vAlign w:val="top"/>
          </w:tcPr>
          <w:p w14:paraId="5C1FB1CD" w14:textId="77777777" w:rsidR="00284861" w:rsidRPr="00490C53" w:rsidRDefault="00284861">
            <w:pPr>
              <w:pStyle w:val="Tabletext"/>
              <w:rPr>
                <w:lang w:eastAsia="en-GB"/>
              </w:rPr>
            </w:pPr>
            <w:r w:rsidRPr="00490C53">
              <w:t>11-15 Years</w:t>
            </w:r>
          </w:p>
        </w:tc>
        <w:tc>
          <w:tcPr>
            <w:tcW w:w="1117" w:type="pct"/>
            <w:noWrap/>
            <w:vAlign w:val="center"/>
          </w:tcPr>
          <w:p w14:paraId="46F4F33E" w14:textId="77777777" w:rsidR="00284861" w:rsidRPr="00490C53" w:rsidRDefault="00284861">
            <w:pPr>
              <w:pStyle w:val="Tabletext"/>
              <w:jc w:val="right"/>
              <w:rPr>
                <w:lang w:eastAsia="en-GB"/>
              </w:rPr>
            </w:pPr>
            <w:r w:rsidRPr="00490C53">
              <w:rPr>
                <w:rFonts w:cstheme="minorHAnsi"/>
                <w:szCs w:val="24"/>
              </w:rPr>
              <w:t>4.1%</w:t>
            </w:r>
          </w:p>
        </w:tc>
        <w:tc>
          <w:tcPr>
            <w:tcW w:w="1160" w:type="pct"/>
            <w:noWrap/>
            <w:vAlign w:val="center"/>
          </w:tcPr>
          <w:p w14:paraId="3E246F56" w14:textId="77777777" w:rsidR="00284861" w:rsidRPr="00490C53" w:rsidRDefault="00284861">
            <w:pPr>
              <w:pStyle w:val="Tabletext"/>
              <w:jc w:val="right"/>
              <w:rPr>
                <w:lang w:eastAsia="en-GB"/>
              </w:rPr>
            </w:pPr>
            <w:r w:rsidRPr="00490C53">
              <w:rPr>
                <w:rFonts w:cstheme="minorHAnsi"/>
                <w:szCs w:val="24"/>
              </w:rPr>
              <w:t>0.6%</w:t>
            </w:r>
          </w:p>
        </w:tc>
      </w:tr>
      <w:tr w:rsidR="00284861" w:rsidRPr="00490C53" w14:paraId="3339DC8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3A76E19" w14:textId="77777777" w:rsidR="00284861" w:rsidRPr="00490C53" w:rsidRDefault="00284861">
            <w:pPr>
              <w:pStyle w:val="Tabletext"/>
              <w:rPr>
                <w:lang w:eastAsia="en-GB"/>
              </w:rPr>
            </w:pPr>
          </w:p>
        </w:tc>
        <w:tc>
          <w:tcPr>
            <w:tcW w:w="1746" w:type="pct"/>
            <w:noWrap/>
            <w:vAlign w:val="top"/>
          </w:tcPr>
          <w:p w14:paraId="0937972B" w14:textId="77777777" w:rsidR="00284861" w:rsidRPr="00490C53" w:rsidRDefault="00284861">
            <w:pPr>
              <w:pStyle w:val="Tabletext"/>
              <w:rPr>
                <w:lang w:eastAsia="en-GB"/>
              </w:rPr>
            </w:pPr>
            <w:r w:rsidRPr="00490C53">
              <w:t>16-20 Years</w:t>
            </w:r>
          </w:p>
        </w:tc>
        <w:tc>
          <w:tcPr>
            <w:tcW w:w="1117" w:type="pct"/>
            <w:noWrap/>
            <w:vAlign w:val="center"/>
          </w:tcPr>
          <w:p w14:paraId="34AEF72E" w14:textId="77777777" w:rsidR="00284861" w:rsidRPr="00490C53" w:rsidRDefault="00284861">
            <w:pPr>
              <w:pStyle w:val="Tabletext"/>
              <w:jc w:val="right"/>
              <w:rPr>
                <w:lang w:eastAsia="en-GB"/>
              </w:rPr>
            </w:pPr>
            <w:r w:rsidRPr="00490C53">
              <w:rPr>
                <w:rFonts w:cstheme="minorHAnsi"/>
                <w:szCs w:val="24"/>
              </w:rPr>
              <w:t>4.9%</w:t>
            </w:r>
          </w:p>
        </w:tc>
        <w:tc>
          <w:tcPr>
            <w:tcW w:w="1160" w:type="pct"/>
            <w:noWrap/>
            <w:vAlign w:val="center"/>
          </w:tcPr>
          <w:p w14:paraId="374D8025" w14:textId="77777777" w:rsidR="00284861" w:rsidRPr="00490C53" w:rsidRDefault="00284861">
            <w:pPr>
              <w:pStyle w:val="Tabletext"/>
              <w:jc w:val="right"/>
              <w:rPr>
                <w:lang w:eastAsia="en-GB"/>
              </w:rPr>
            </w:pPr>
            <w:r w:rsidRPr="00490C53">
              <w:rPr>
                <w:rFonts w:cstheme="minorHAnsi"/>
                <w:szCs w:val="24"/>
              </w:rPr>
              <w:t>0.1%</w:t>
            </w:r>
          </w:p>
        </w:tc>
      </w:tr>
      <w:tr w:rsidR="00284861" w:rsidRPr="00490C53" w14:paraId="5689849B" w14:textId="77777777">
        <w:tblPrEx>
          <w:tblCellMar>
            <w:left w:w="108" w:type="dxa"/>
            <w:right w:w="108" w:type="dxa"/>
          </w:tblCellMar>
        </w:tblPrEx>
        <w:trPr>
          <w:trHeight w:val="290"/>
        </w:trPr>
        <w:tc>
          <w:tcPr>
            <w:tcW w:w="977" w:type="pct"/>
            <w:noWrap/>
            <w:vAlign w:val="top"/>
          </w:tcPr>
          <w:p w14:paraId="4DCD7BF5" w14:textId="77777777" w:rsidR="00284861" w:rsidRPr="00490C53" w:rsidRDefault="00284861">
            <w:pPr>
              <w:pStyle w:val="Tabletext"/>
              <w:rPr>
                <w:lang w:eastAsia="en-GB"/>
              </w:rPr>
            </w:pPr>
          </w:p>
        </w:tc>
        <w:tc>
          <w:tcPr>
            <w:tcW w:w="1746" w:type="pct"/>
            <w:noWrap/>
            <w:vAlign w:val="top"/>
          </w:tcPr>
          <w:p w14:paraId="5F195532" w14:textId="77777777" w:rsidR="00284861" w:rsidRPr="00490C53" w:rsidRDefault="00284861">
            <w:pPr>
              <w:pStyle w:val="Tabletext"/>
              <w:rPr>
                <w:lang w:eastAsia="en-GB"/>
              </w:rPr>
            </w:pPr>
            <w:r w:rsidRPr="00490C53">
              <w:t>21-40 Years</w:t>
            </w:r>
          </w:p>
        </w:tc>
        <w:tc>
          <w:tcPr>
            <w:tcW w:w="1117" w:type="pct"/>
            <w:noWrap/>
            <w:vAlign w:val="center"/>
          </w:tcPr>
          <w:p w14:paraId="69E64E48" w14:textId="77777777" w:rsidR="00284861" w:rsidRPr="00490C53" w:rsidRDefault="00284861">
            <w:pPr>
              <w:pStyle w:val="Tabletext"/>
              <w:jc w:val="right"/>
              <w:rPr>
                <w:lang w:eastAsia="en-GB"/>
              </w:rPr>
            </w:pPr>
            <w:r w:rsidRPr="00490C53">
              <w:rPr>
                <w:rFonts w:cstheme="minorHAnsi"/>
                <w:szCs w:val="24"/>
              </w:rPr>
              <w:t>13.7%</w:t>
            </w:r>
          </w:p>
        </w:tc>
        <w:tc>
          <w:tcPr>
            <w:tcW w:w="1160" w:type="pct"/>
            <w:noWrap/>
            <w:vAlign w:val="center"/>
          </w:tcPr>
          <w:p w14:paraId="4356084F" w14:textId="77777777" w:rsidR="00284861" w:rsidRPr="00490C53" w:rsidRDefault="00284861">
            <w:pPr>
              <w:pStyle w:val="Tabletext"/>
              <w:jc w:val="right"/>
              <w:rPr>
                <w:lang w:eastAsia="en-GB"/>
              </w:rPr>
            </w:pPr>
            <w:r w:rsidRPr="00490C53">
              <w:rPr>
                <w:rFonts w:cstheme="minorHAnsi"/>
                <w:szCs w:val="24"/>
              </w:rPr>
              <w:t>0.9%</w:t>
            </w:r>
          </w:p>
        </w:tc>
      </w:tr>
      <w:tr w:rsidR="00284861" w:rsidRPr="00490C53" w14:paraId="7294698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4B11A34" w14:textId="77777777" w:rsidR="00284861" w:rsidRPr="00490C53" w:rsidRDefault="00284861">
            <w:pPr>
              <w:pStyle w:val="Tabletext"/>
              <w:rPr>
                <w:lang w:eastAsia="en-GB"/>
              </w:rPr>
            </w:pPr>
          </w:p>
        </w:tc>
        <w:tc>
          <w:tcPr>
            <w:tcW w:w="1746" w:type="pct"/>
            <w:noWrap/>
            <w:vAlign w:val="top"/>
          </w:tcPr>
          <w:p w14:paraId="49472C4F" w14:textId="77777777" w:rsidR="00284861" w:rsidRPr="00490C53" w:rsidRDefault="00284861">
            <w:pPr>
              <w:pStyle w:val="Tabletext"/>
              <w:rPr>
                <w:lang w:eastAsia="en-GB"/>
              </w:rPr>
            </w:pPr>
            <w:r w:rsidRPr="00490C53">
              <w:t>More than 40 Years</w:t>
            </w:r>
          </w:p>
        </w:tc>
        <w:tc>
          <w:tcPr>
            <w:tcW w:w="1117" w:type="pct"/>
            <w:noWrap/>
            <w:vAlign w:val="center"/>
          </w:tcPr>
          <w:p w14:paraId="4A7BB06F" w14:textId="77777777" w:rsidR="00284861" w:rsidRPr="00490C53" w:rsidRDefault="00284861">
            <w:pPr>
              <w:pStyle w:val="Tabletext"/>
              <w:jc w:val="right"/>
              <w:rPr>
                <w:lang w:eastAsia="en-GB"/>
              </w:rPr>
            </w:pPr>
            <w:r w:rsidRPr="00490C53">
              <w:rPr>
                <w:rFonts w:cstheme="minorHAnsi"/>
                <w:szCs w:val="24"/>
              </w:rPr>
              <w:t>7.3%</w:t>
            </w:r>
          </w:p>
        </w:tc>
        <w:tc>
          <w:tcPr>
            <w:tcW w:w="1160" w:type="pct"/>
            <w:noWrap/>
            <w:vAlign w:val="center"/>
          </w:tcPr>
          <w:p w14:paraId="062C7515" w14:textId="77777777" w:rsidR="00284861" w:rsidRPr="00490C53" w:rsidRDefault="00284861">
            <w:pPr>
              <w:pStyle w:val="Tabletext"/>
              <w:jc w:val="right"/>
              <w:rPr>
                <w:lang w:eastAsia="en-GB"/>
              </w:rPr>
            </w:pPr>
            <w:r w:rsidRPr="00490C53">
              <w:rPr>
                <w:rFonts w:cstheme="minorHAnsi"/>
                <w:szCs w:val="24"/>
              </w:rPr>
              <w:t>0.3%</w:t>
            </w:r>
          </w:p>
        </w:tc>
      </w:tr>
      <w:tr w:rsidR="00284861" w:rsidRPr="00490C53" w14:paraId="3E830ABA" w14:textId="77777777">
        <w:tblPrEx>
          <w:tblCellMar>
            <w:left w:w="108" w:type="dxa"/>
            <w:right w:w="108" w:type="dxa"/>
          </w:tblCellMar>
        </w:tblPrEx>
        <w:trPr>
          <w:trHeight w:val="290"/>
        </w:trPr>
        <w:tc>
          <w:tcPr>
            <w:tcW w:w="977" w:type="pct"/>
            <w:tcBorders>
              <w:bottom w:val="single" w:sz="4" w:space="0" w:color="0054BA" w:themeColor="accent2"/>
            </w:tcBorders>
            <w:noWrap/>
            <w:vAlign w:val="top"/>
          </w:tcPr>
          <w:p w14:paraId="42A1B4D7" w14:textId="77777777" w:rsidR="00284861" w:rsidRPr="00490C53" w:rsidRDefault="00284861">
            <w:pPr>
              <w:pStyle w:val="Tabletext"/>
              <w:rPr>
                <w:lang w:eastAsia="en-GB"/>
              </w:rPr>
            </w:pPr>
            <w:r w:rsidRPr="00490C53">
              <w:rPr>
                <w:b/>
                <w:bCs/>
              </w:rPr>
              <w:t>Average</w:t>
            </w:r>
          </w:p>
        </w:tc>
        <w:tc>
          <w:tcPr>
            <w:tcW w:w="1746" w:type="pct"/>
            <w:tcBorders>
              <w:bottom w:val="single" w:sz="4" w:space="0" w:color="0054BA" w:themeColor="accent2"/>
            </w:tcBorders>
            <w:noWrap/>
            <w:vAlign w:val="top"/>
          </w:tcPr>
          <w:p w14:paraId="50A3708D" w14:textId="77777777" w:rsidR="00284861" w:rsidRPr="00490C53" w:rsidRDefault="00284861">
            <w:pPr>
              <w:pStyle w:val="Tabletext"/>
              <w:rPr>
                <w:lang w:eastAsia="en-GB"/>
              </w:rPr>
            </w:pPr>
          </w:p>
        </w:tc>
        <w:tc>
          <w:tcPr>
            <w:tcW w:w="1117" w:type="pct"/>
            <w:tcBorders>
              <w:bottom w:val="single" w:sz="4" w:space="0" w:color="0054BA" w:themeColor="accent2"/>
            </w:tcBorders>
            <w:noWrap/>
            <w:vAlign w:val="center"/>
          </w:tcPr>
          <w:p w14:paraId="29219FE6" w14:textId="77777777" w:rsidR="00284861" w:rsidRPr="00490C53" w:rsidRDefault="00284861">
            <w:pPr>
              <w:pStyle w:val="Tabletext"/>
              <w:jc w:val="right"/>
              <w:rPr>
                <w:lang w:eastAsia="en-GB"/>
              </w:rPr>
            </w:pPr>
            <w:r w:rsidRPr="00490C53">
              <w:rPr>
                <w:rFonts w:cstheme="minorHAnsi"/>
                <w:b/>
                <w:bCs/>
                <w:szCs w:val="24"/>
              </w:rPr>
              <w:t>8.3%</w:t>
            </w:r>
          </w:p>
        </w:tc>
        <w:tc>
          <w:tcPr>
            <w:tcW w:w="1160" w:type="pct"/>
            <w:tcBorders>
              <w:bottom w:val="single" w:sz="4" w:space="0" w:color="0054BA" w:themeColor="accent2"/>
            </w:tcBorders>
            <w:noWrap/>
            <w:vAlign w:val="center"/>
          </w:tcPr>
          <w:p w14:paraId="0A0009C2" w14:textId="77777777" w:rsidR="00284861" w:rsidRPr="00490C53" w:rsidRDefault="00284861">
            <w:pPr>
              <w:pStyle w:val="Tabletext"/>
              <w:jc w:val="right"/>
              <w:rPr>
                <w:lang w:eastAsia="en-GB"/>
              </w:rPr>
            </w:pPr>
            <w:r w:rsidRPr="00490C53">
              <w:rPr>
                <w:rFonts w:cstheme="minorHAnsi"/>
                <w:b/>
                <w:bCs/>
                <w:szCs w:val="24"/>
              </w:rPr>
              <w:t>0.3%</w:t>
            </w:r>
          </w:p>
        </w:tc>
      </w:tr>
    </w:tbl>
    <w:p w14:paraId="443F64B3" w14:textId="54A50A18" w:rsidR="00284861" w:rsidRPr="00490C53" w:rsidRDefault="00284861" w:rsidP="00284861">
      <w:pPr>
        <w:pStyle w:val="Caption"/>
      </w:pPr>
      <w:r w:rsidRPr="00490C53">
        <w:t>Source: London Economics’ analysis of IDBR data</w:t>
      </w:r>
      <w:r w:rsidR="00975FAD">
        <w:t xml:space="preserve"> and BBB Portal Data. </w:t>
      </w:r>
    </w:p>
    <w:p w14:paraId="2E2B4897" w14:textId="6DB3EB0A" w:rsidR="00610C60" w:rsidRPr="005D5D23" w:rsidRDefault="00610C60" w:rsidP="00236B73">
      <w:r w:rsidRPr="00236B73">
        <w:rPr>
          <w:color w:val="142855" w:themeColor="text2"/>
        </w:rPr>
        <w:t xml:space="preserve">Calculating the weighted average </w:t>
      </w:r>
      <w:r w:rsidR="004550ED" w:rsidRPr="00236B73">
        <w:rPr>
          <w:color w:val="142855" w:themeColor="text2"/>
        </w:rPr>
        <w:t xml:space="preserve">closure </w:t>
      </w:r>
      <w:r w:rsidRPr="00236B73">
        <w:rPr>
          <w:color w:val="142855" w:themeColor="text2"/>
        </w:rPr>
        <w:t>rates</w:t>
      </w:r>
    </w:p>
    <w:p w14:paraId="4D8C92A9" w14:textId="324515B8" w:rsidR="00610C60" w:rsidRPr="00490C53" w:rsidRDefault="002B4797" w:rsidP="00610C60">
      <w:r w:rsidRPr="00490C53">
        <w:t xml:space="preserve">The </w:t>
      </w:r>
      <w:r w:rsidR="004513D7" w:rsidRPr="00490C53">
        <w:t xml:space="preserve">impact of the BBLS </w:t>
      </w:r>
      <w:r w:rsidR="00F925FE" w:rsidRPr="00490C53">
        <w:t>or</w:t>
      </w:r>
      <w:r w:rsidR="004513D7" w:rsidRPr="00490C53">
        <w:t xml:space="preserve"> CBILS/CLBILS </w:t>
      </w:r>
      <w:r w:rsidR="002A041A" w:rsidRPr="00490C53">
        <w:t xml:space="preserve">on business survival </w:t>
      </w:r>
      <w:r w:rsidR="004513D7" w:rsidRPr="00490C53">
        <w:t>is e</w:t>
      </w:r>
      <w:r w:rsidR="006413F3" w:rsidRPr="00490C53">
        <w:t>s</w:t>
      </w:r>
      <w:r w:rsidR="005E0309" w:rsidRPr="00490C53">
        <w:t xml:space="preserve">timated as the </w:t>
      </w:r>
      <w:r w:rsidRPr="00490C53">
        <w:t xml:space="preserve">difference between the </w:t>
      </w:r>
      <w:r w:rsidR="004550ED">
        <w:t>closure</w:t>
      </w:r>
      <w:r w:rsidR="004550ED" w:rsidRPr="00490C53">
        <w:t xml:space="preserve"> </w:t>
      </w:r>
      <w:r w:rsidRPr="00490C53">
        <w:t xml:space="preserve">rate in the </w:t>
      </w:r>
      <w:r w:rsidR="004513D7" w:rsidRPr="00490C53">
        <w:t>borrower</w:t>
      </w:r>
      <w:r w:rsidRPr="00490C53">
        <w:t xml:space="preserve"> sample and the </w:t>
      </w:r>
      <w:r w:rsidR="004550ED">
        <w:t>closure</w:t>
      </w:r>
      <w:r w:rsidR="004550ED" w:rsidRPr="00490C53">
        <w:t xml:space="preserve"> </w:t>
      </w:r>
      <w:r w:rsidRPr="00490C53">
        <w:t xml:space="preserve">rate in the matched </w:t>
      </w:r>
      <w:r w:rsidR="004513D7" w:rsidRPr="00490C53">
        <w:t xml:space="preserve">non-borrower </w:t>
      </w:r>
      <w:r w:rsidRPr="00490C53">
        <w:t xml:space="preserve">sample. </w:t>
      </w:r>
      <w:r w:rsidR="004550ED">
        <w:t>Closure</w:t>
      </w:r>
      <w:r w:rsidR="004550ED" w:rsidRPr="00490C53">
        <w:t xml:space="preserve"> </w:t>
      </w:r>
      <w:r w:rsidR="00AF69FA" w:rsidRPr="00490C53">
        <w:t xml:space="preserve">rates </w:t>
      </w:r>
      <w:r w:rsidR="00CC287E" w:rsidRPr="00490C53">
        <w:t>are</w:t>
      </w:r>
      <w:r w:rsidR="00AF69FA" w:rsidRPr="00490C53">
        <w:t xml:space="preserve"> calculated based on </w:t>
      </w:r>
      <w:r w:rsidR="004550ED">
        <w:t>closure</w:t>
      </w:r>
      <w:r w:rsidR="004550ED" w:rsidRPr="00490C53">
        <w:t xml:space="preserve">s </w:t>
      </w:r>
      <w:r w:rsidR="00AF69FA" w:rsidRPr="00490C53">
        <w:t>recorded in the IDBR between 1</w:t>
      </w:r>
      <w:r w:rsidR="00AF69FA" w:rsidRPr="00490C53">
        <w:rPr>
          <w:vertAlign w:val="superscript"/>
        </w:rPr>
        <w:t>st</w:t>
      </w:r>
      <w:r w:rsidR="00AF69FA" w:rsidRPr="00490C53">
        <w:t xml:space="preserve"> April 2020 and 31</w:t>
      </w:r>
      <w:r w:rsidR="00AF69FA" w:rsidRPr="00490C53">
        <w:rPr>
          <w:vertAlign w:val="superscript"/>
        </w:rPr>
        <w:t>st</w:t>
      </w:r>
      <w:r w:rsidR="00AF69FA" w:rsidRPr="00490C53">
        <w:t xml:space="preserve"> March 2021 among firms that were active in 2020. </w:t>
      </w:r>
    </w:p>
    <w:p w14:paraId="24E33403" w14:textId="7E1EDC1C" w:rsidR="00610C60" w:rsidRPr="00490C53" w:rsidRDefault="000655A1" w:rsidP="00610C60">
      <w:r w:rsidRPr="00490C53">
        <w:t xml:space="preserve">The sample of borrowers was matched to the IDBR </w:t>
      </w:r>
      <w:r w:rsidR="00F35804" w:rsidRPr="00490C53">
        <w:t xml:space="preserve">using their company registration number (CRN). </w:t>
      </w:r>
      <w:r w:rsidR="00E226BC" w:rsidRPr="00490C53">
        <w:t xml:space="preserve">Therefore, </w:t>
      </w:r>
      <w:r w:rsidR="006432D8" w:rsidRPr="00490C53">
        <w:t>ordinary partnerships and sole proprietors</w:t>
      </w:r>
      <w:r w:rsidR="0045175F" w:rsidRPr="00490C53">
        <w:t xml:space="preserve"> </w:t>
      </w:r>
      <w:r w:rsidR="00197335" w:rsidRPr="00490C53">
        <w:t xml:space="preserve">– which </w:t>
      </w:r>
      <w:r w:rsidR="00934BD2" w:rsidRPr="00490C53">
        <w:t xml:space="preserve">do not have CRNs and </w:t>
      </w:r>
      <w:r w:rsidR="002B5DA5" w:rsidRPr="00490C53">
        <w:t>are smaller on average</w:t>
      </w:r>
      <w:r w:rsidR="005D274B" w:rsidRPr="00490C53">
        <w:rPr>
          <w:rStyle w:val="FootnoteReference"/>
        </w:rPr>
        <w:footnoteReference w:id="158"/>
      </w:r>
      <w:r w:rsidR="002B5DA5" w:rsidRPr="00490C53">
        <w:t xml:space="preserve"> – </w:t>
      </w:r>
      <w:r w:rsidR="0045175F" w:rsidRPr="00490C53">
        <w:t>are not included in th</w:t>
      </w:r>
      <w:r w:rsidR="001F5B00" w:rsidRPr="00490C53">
        <w:t>at</w:t>
      </w:r>
      <w:r w:rsidR="0045175F" w:rsidRPr="00490C53">
        <w:t xml:space="preserve"> sample</w:t>
      </w:r>
      <w:r w:rsidR="00F8439C" w:rsidRPr="00490C53">
        <w:t xml:space="preserve">. </w:t>
      </w:r>
      <w:proofErr w:type="gramStart"/>
      <w:r w:rsidR="00DA2078" w:rsidRPr="00490C53">
        <w:t>In order for</w:t>
      </w:r>
      <w:proofErr w:type="gramEnd"/>
      <w:r w:rsidR="00DA2078" w:rsidRPr="00490C53">
        <w:t xml:space="preserve"> the overall </w:t>
      </w:r>
      <w:r w:rsidR="008A44A5" w:rsidRPr="00490C53">
        <w:t xml:space="preserve">impact estimates </w:t>
      </w:r>
      <w:r w:rsidR="005D143A" w:rsidRPr="00490C53">
        <w:t xml:space="preserve">to be </w:t>
      </w:r>
      <w:r w:rsidR="00E570C8" w:rsidRPr="00490C53">
        <w:t xml:space="preserve">as representative as possible of these smaller businesses, </w:t>
      </w:r>
      <w:r w:rsidR="004550ED">
        <w:t>closure</w:t>
      </w:r>
      <w:r w:rsidR="004550ED" w:rsidRPr="00490C53">
        <w:t xml:space="preserve"> </w:t>
      </w:r>
      <w:r w:rsidR="00313CDA" w:rsidRPr="00490C53">
        <w:t xml:space="preserve">rates are </w:t>
      </w:r>
      <w:r w:rsidR="00313CDA" w:rsidRPr="00490C53">
        <w:lastRenderedPageBreak/>
        <w:t xml:space="preserve">computed </w:t>
      </w:r>
      <w:r w:rsidR="00C21EDE" w:rsidRPr="00490C53">
        <w:t xml:space="preserve">in two steps. First, </w:t>
      </w:r>
      <w:r w:rsidR="004550ED">
        <w:t>closure</w:t>
      </w:r>
      <w:r w:rsidR="004550ED" w:rsidRPr="00490C53">
        <w:t xml:space="preserve"> </w:t>
      </w:r>
      <w:r w:rsidR="00610C60" w:rsidRPr="00490C53">
        <w:t xml:space="preserve">rates </w:t>
      </w:r>
      <w:r w:rsidR="0053256D" w:rsidRPr="00490C53">
        <w:t xml:space="preserve">are </w:t>
      </w:r>
      <w:r w:rsidR="00610C60" w:rsidRPr="00490C53">
        <w:t xml:space="preserve">calculated </w:t>
      </w:r>
      <w:r w:rsidR="00BA03FE" w:rsidRPr="00490C53">
        <w:t xml:space="preserve">separately </w:t>
      </w:r>
      <w:r w:rsidR="00610C60" w:rsidRPr="00490C53">
        <w:t xml:space="preserve">within each turnover band </w:t>
      </w:r>
      <w:r w:rsidR="00BA03FE" w:rsidRPr="00490C53">
        <w:t>(a proxy for size)</w:t>
      </w:r>
      <w:r w:rsidR="00610C60" w:rsidRPr="00490C53">
        <w:t xml:space="preserve">, based on the weighting assigned to each business by the </w:t>
      </w:r>
      <w:r w:rsidR="00C86145" w:rsidRPr="00490C53">
        <w:t>PSM</w:t>
      </w:r>
      <w:r w:rsidR="00610C60" w:rsidRPr="00490C53">
        <w:t xml:space="preserve">. </w:t>
      </w:r>
      <w:r w:rsidR="003A23FD" w:rsidRPr="00490C53">
        <w:t>Second, t</w:t>
      </w:r>
      <w:r w:rsidR="00610C60" w:rsidRPr="00490C53">
        <w:t xml:space="preserve">he </w:t>
      </w:r>
      <w:r w:rsidR="00B7557A" w:rsidRPr="00490C53">
        <w:t xml:space="preserve">overall </w:t>
      </w:r>
      <w:r w:rsidR="00610C60" w:rsidRPr="00490C53">
        <w:t xml:space="preserve">weighted average </w:t>
      </w:r>
      <w:r w:rsidR="004550ED">
        <w:t>closure</w:t>
      </w:r>
      <w:r w:rsidR="004550ED" w:rsidRPr="00490C53">
        <w:t xml:space="preserve"> </w:t>
      </w:r>
      <w:r w:rsidR="00610C60" w:rsidRPr="00490C53">
        <w:t xml:space="preserve">rate </w:t>
      </w:r>
      <w:r w:rsidR="001A4FE2" w:rsidRPr="00490C53">
        <w:t xml:space="preserve">is </w:t>
      </w:r>
      <w:r w:rsidR="00610C60" w:rsidRPr="00490C53">
        <w:t xml:space="preserve">calculated by weighting the </w:t>
      </w:r>
      <w:r w:rsidR="004550ED">
        <w:t>closure</w:t>
      </w:r>
      <w:r w:rsidR="004550ED" w:rsidRPr="00490C53">
        <w:t xml:space="preserve"> </w:t>
      </w:r>
      <w:r w:rsidR="00610C60" w:rsidRPr="00490C53">
        <w:t xml:space="preserve">rates </w:t>
      </w:r>
      <w:r w:rsidR="000827BF" w:rsidRPr="00490C53">
        <w:t xml:space="preserve">within </w:t>
      </w:r>
      <w:r w:rsidR="00610C60" w:rsidRPr="00490C53">
        <w:t xml:space="preserve">each turnover band according to the </w:t>
      </w:r>
      <w:r w:rsidR="001A4FE2" w:rsidRPr="00490C53">
        <w:t xml:space="preserve">share </w:t>
      </w:r>
      <w:r w:rsidR="00610C60" w:rsidRPr="00490C53">
        <w:t xml:space="preserve">of businesses </w:t>
      </w:r>
      <w:r w:rsidR="00CE7DEC" w:rsidRPr="00490C53">
        <w:t xml:space="preserve">in </w:t>
      </w:r>
      <w:r w:rsidR="00610C60" w:rsidRPr="00490C53">
        <w:t xml:space="preserve">each turnover band </w:t>
      </w:r>
      <w:r w:rsidR="00250052" w:rsidRPr="00490C53">
        <w:t>among</w:t>
      </w:r>
      <w:r w:rsidR="00610C60" w:rsidRPr="00490C53">
        <w:t xml:space="preserve"> the population of borrowers.</w:t>
      </w:r>
      <w:r w:rsidR="00610C60" w:rsidRPr="00490C53">
        <w:rPr>
          <w:rStyle w:val="FootnoteReference"/>
        </w:rPr>
        <w:footnoteReference w:id="159"/>
      </w:r>
      <w:r w:rsidR="00250052" w:rsidRPr="00490C53">
        <w:t xml:space="preserve"> </w:t>
      </w:r>
      <w:r w:rsidR="00A6257A" w:rsidRPr="00490C53">
        <w:t xml:space="preserve">Thus, the contribution of </w:t>
      </w:r>
      <w:r w:rsidR="00C4393F" w:rsidRPr="00490C53">
        <w:t xml:space="preserve">smaller businesses to the estimated </w:t>
      </w:r>
      <w:r w:rsidR="004550ED">
        <w:t>closure</w:t>
      </w:r>
      <w:r w:rsidR="004550ED" w:rsidRPr="00490C53">
        <w:t xml:space="preserve"> </w:t>
      </w:r>
      <w:r w:rsidR="00C4393F" w:rsidRPr="00490C53">
        <w:t xml:space="preserve">rates is </w:t>
      </w:r>
      <w:r w:rsidR="005731AB" w:rsidRPr="00490C53">
        <w:t xml:space="preserve">based on </w:t>
      </w:r>
      <w:r w:rsidR="00535C93" w:rsidRPr="00490C53">
        <w:t xml:space="preserve">their weight within the population rather than </w:t>
      </w:r>
      <w:r w:rsidR="00665F1B" w:rsidRPr="00490C53">
        <w:t>the sample.</w:t>
      </w:r>
    </w:p>
    <w:p w14:paraId="794D18F1" w14:textId="5A01F2D3" w:rsidR="00E2185A" w:rsidRPr="00490C53" w:rsidRDefault="00E2185A" w:rsidP="00E2185A">
      <w:pPr>
        <w:pStyle w:val="Heading5"/>
      </w:pPr>
      <w:r w:rsidRPr="00490C53">
        <w:t xml:space="preserve">Table </w:t>
      </w:r>
      <w:r w:rsidR="00B6604F" w:rsidRPr="00846F78">
        <w:fldChar w:fldCharType="begin"/>
      </w:r>
      <w:r w:rsidR="00B6604F" w:rsidRPr="00490C53">
        <w:instrText xml:space="preserve"> SEQ Table \* ARABIC </w:instrText>
      </w:r>
      <w:r w:rsidR="00B6604F" w:rsidRPr="00846F78">
        <w:fldChar w:fldCharType="separate"/>
      </w:r>
      <w:r w:rsidR="00397D49">
        <w:rPr>
          <w:noProof/>
        </w:rPr>
        <w:t>39</w:t>
      </w:r>
      <w:r w:rsidR="00B6604F" w:rsidRPr="00846F78">
        <w:fldChar w:fldCharType="end"/>
      </w:r>
      <w:r w:rsidRPr="00490C53">
        <w:t xml:space="preserve"> : </w:t>
      </w:r>
      <w:r w:rsidR="004550ED">
        <w:t>Closure</w:t>
      </w:r>
      <w:r w:rsidR="004550ED" w:rsidRPr="00490C53">
        <w:t xml:space="preserve"> </w:t>
      </w:r>
      <w:r w:rsidRPr="00490C53">
        <w:t>rates among BBLS borrowers and non-borrowers, by turnover band</w:t>
      </w:r>
    </w:p>
    <w:tbl>
      <w:tblPr>
        <w:tblStyle w:val="TableGrid"/>
        <w:tblW w:w="5000" w:type="pct"/>
        <w:tblLook w:val="04A0" w:firstRow="1" w:lastRow="0" w:firstColumn="1" w:lastColumn="0" w:noHBand="0" w:noVBand="1"/>
      </w:tblPr>
      <w:tblGrid>
        <w:gridCol w:w="4679"/>
        <w:gridCol w:w="1844"/>
        <w:gridCol w:w="1702"/>
        <w:gridCol w:w="1929"/>
      </w:tblGrid>
      <w:tr w:rsidR="00E2185A" w:rsidRPr="00490C53" w14:paraId="55182D1C" w14:textId="77777777" w:rsidTr="00846F78">
        <w:trPr>
          <w:cnfStyle w:val="100000000000" w:firstRow="1" w:lastRow="0" w:firstColumn="0" w:lastColumn="0" w:oddVBand="0" w:evenVBand="0" w:oddHBand="0" w:evenHBand="0" w:firstRowFirstColumn="0" w:firstRowLastColumn="0" w:lastRowFirstColumn="0" w:lastRowLastColumn="0"/>
          <w:tblHeader/>
        </w:trPr>
        <w:tc>
          <w:tcPr>
            <w:tcW w:w="2304" w:type="pct"/>
          </w:tcPr>
          <w:p w14:paraId="1DC2D814" w14:textId="77777777" w:rsidR="00E2185A" w:rsidRPr="00490C53" w:rsidRDefault="00E2185A">
            <w:pPr>
              <w:pStyle w:val="Tablecolumnheading-inkblue"/>
              <w:rPr>
                <w:b w:val="0"/>
                <w:color w:val="FFFFFF" w:themeColor="background1"/>
                <w:sz w:val="22"/>
                <w:szCs w:val="20"/>
              </w:rPr>
            </w:pPr>
            <w:r w:rsidRPr="00490C53">
              <w:rPr>
                <w:rFonts w:cs="Calibri"/>
                <w:color w:val="FFFFFF" w:themeColor="background1"/>
                <w:sz w:val="22"/>
              </w:rPr>
              <w:t>Turnover Band</w:t>
            </w:r>
          </w:p>
        </w:tc>
        <w:tc>
          <w:tcPr>
            <w:tcW w:w="908" w:type="pct"/>
          </w:tcPr>
          <w:p w14:paraId="56E83AED" w14:textId="706A3AD3" w:rsidR="00E2185A" w:rsidRPr="00490C53" w:rsidRDefault="004550ED">
            <w:pPr>
              <w:pStyle w:val="Tablecolumnheading-inkblue"/>
              <w:rPr>
                <w:b w:val="0"/>
                <w:color w:val="FFFFFF" w:themeColor="background1"/>
                <w:sz w:val="22"/>
                <w:szCs w:val="20"/>
              </w:rPr>
            </w:pPr>
            <w:r>
              <w:rPr>
                <w:rFonts w:cs="Calibri"/>
                <w:color w:val="FFFFFF" w:themeColor="background1"/>
                <w:sz w:val="22"/>
              </w:rPr>
              <w:t>Closure</w:t>
            </w:r>
            <w:r w:rsidRPr="00490C53">
              <w:rPr>
                <w:rFonts w:cs="Calibri"/>
                <w:color w:val="FFFFFF" w:themeColor="background1"/>
                <w:sz w:val="22"/>
              </w:rPr>
              <w:t xml:space="preserve"> </w:t>
            </w:r>
            <w:r w:rsidR="00E2185A" w:rsidRPr="00490C53">
              <w:rPr>
                <w:rFonts w:cs="Calibri"/>
                <w:color w:val="FFFFFF" w:themeColor="background1"/>
                <w:sz w:val="22"/>
              </w:rPr>
              <w:t>rate among BBLS non-borrowers</w:t>
            </w:r>
          </w:p>
        </w:tc>
        <w:tc>
          <w:tcPr>
            <w:tcW w:w="838" w:type="pct"/>
          </w:tcPr>
          <w:p w14:paraId="262970C3" w14:textId="365F9C1A" w:rsidR="00E2185A" w:rsidRPr="00490C53" w:rsidRDefault="004550ED">
            <w:pPr>
              <w:pStyle w:val="Tablecolumnheading-inkblue"/>
              <w:rPr>
                <w:bCs/>
                <w:color w:val="FFFFFF" w:themeColor="background1"/>
                <w:sz w:val="22"/>
                <w:szCs w:val="20"/>
              </w:rPr>
            </w:pPr>
            <w:r>
              <w:rPr>
                <w:rFonts w:cs="Calibri"/>
                <w:color w:val="FFFFFF" w:themeColor="background1"/>
                <w:sz w:val="22"/>
              </w:rPr>
              <w:t>Closure</w:t>
            </w:r>
            <w:r w:rsidRPr="00490C53">
              <w:rPr>
                <w:rFonts w:cs="Calibri"/>
                <w:color w:val="FFFFFF" w:themeColor="background1"/>
                <w:sz w:val="22"/>
              </w:rPr>
              <w:t xml:space="preserve"> </w:t>
            </w:r>
            <w:r w:rsidR="00E2185A" w:rsidRPr="00490C53">
              <w:rPr>
                <w:rFonts w:cs="Calibri"/>
                <w:color w:val="FFFFFF" w:themeColor="background1"/>
                <w:sz w:val="22"/>
              </w:rPr>
              <w:t>rate among BBLS borrowers</w:t>
            </w:r>
          </w:p>
        </w:tc>
        <w:tc>
          <w:tcPr>
            <w:tcW w:w="951" w:type="pct"/>
            <w:vAlign w:val="center"/>
          </w:tcPr>
          <w:p w14:paraId="1ED7BA70" w14:textId="77777777" w:rsidR="00E2185A" w:rsidRPr="00490C53" w:rsidRDefault="00E2185A">
            <w:pPr>
              <w:pStyle w:val="Tablecolumnheading-inkblue"/>
              <w:rPr>
                <w:bCs/>
                <w:color w:val="FFFFFF" w:themeColor="background1"/>
                <w:sz w:val="22"/>
                <w:szCs w:val="20"/>
              </w:rPr>
            </w:pPr>
            <w:r w:rsidRPr="00490C53">
              <w:rPr>
                <w:color w:val="FFFFFF" w:themeColor="background1"/>
                <w:sz w:val="22"/>
              </w:rPr>
              <w:t>Difference between borrowers and non-borrowers</w:t>
            </w:r>
          </w:p>
        </w:tc>
      </w:tr>
      <w:tr w:rsidR="00E2185A" w:rsidRPr="00490C53" w14:paraId="668DDA3F"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304" w:type="pct"/>
          </w:tcPr>
          <w:p w14:paraId="1B875D85" w14:textId="77777777" w:rsidR="00E2185A" w:rsidRPr="00490C53" w:rsidDel="000A1204" w:rsidRDefault="00E2185A" w:rsidP="00183388">
            <w:pPr>
              <w:pStyle w:val="Tabletext"/>
            </w:pPr>
            <w:r w:rsidRPr="00846F78">
              <w:t>Less than 50K</w:t>
            </w:r>
          </w:p>
        </w:tc>
        <w:tc>
          <w:tcPr>
            <w:tcW w:w="908" w:type="pct"/>
          </w:tcPr>
          <w:p w14:paraId="331B82B2" w14:textId="77777777" w:rsidR="00E2185A" w:rsidRPr="00490C53" w:rsidDel="000A1204" w:rsidRDefault="00E2185A" w:rsidP="00183388">
            <w:pPr>
              <w:pStyle w:val="Tabletext"/>
            </w:pPr>
            <w:r w:rsidRPr="00846F78">
              <w:t>13.2%</w:t>
            </w:r>
          </w:p>
        </w:tc>
        <w:tc>
          <w:tcPr>
            <w:tcW w:w="838" w:type="pct"/>
          </w:tcPr>
          <w:p w14:paraId="4171B62A" w14:textId="77777777" w:rsidR="00E2185A" w:rsidRPr="00490C53" w:rsidRDefault="00E2185A" w:rsidP="00846F78">
            <w:pPr>
              <w:pStyle w:val="Tabletext"/>
              <w:rPr>
                <w:rStyle w:val="Bold"/>
                <w:b w:val="0"/>
              </w:rPr>
            </w:pPr>
            <w:r w:rsidRPr="00846F78">
              <w:t>6.1%</w:t>
            </w:r>
          </w:p>
        </w:tc>
        <w:tc>
          <w:tcPr>
            <w:tcW w:w="951" w:type="pct"/>
          </w:tcPr>
          <w:p w14:paraId="42663862" w14:textId="77777777" w:rsidR="00E2185A" w:rsidRPr="00490C53" w:rsidRDefault="00E2185A" w:rsidP="00846F78">
            <w:pPr>
              <w:pStyle w:val="Tabletext"/>
              <w:rPr>
                <w:rStyle w:val="Bold"/>
                <w:b w:val="0"/>
              </w:rPr>
            </w:pPr>
            <w:r w:rsidRPr="00846F78">
              <w:t>7.1%</w:t>
            </w:r>
          </w:p>
        </w:tc>
      </w:tr>
      <w:tr w:rsidR="00E2185A" w:rsidRPr="00490C53" w14:paraId="33FFF97E" w14:textId="77777777" w:rsidTr="00846F78">
        <w:tblPrEx>
          <w:tblCellMar>
            <w:left w:w="108" w:type="dxa"/>
            <w:right w:w="108" w:type="dxa"/>
          </w:tblCellMar>
        </w:tblPrEx>
        <w:tc>
          <w:tcPr>
            <w:tcW w:w="2304" w:type="pct"/>
          </w:tcPr>
          <w:p w14:paraId="6AFA8A23" w14:textId="77777777" w:rsidR="00E2185A" w:rsidRPr="00490C53" w:rsidDel="000A1204" w:rsidRDefault="00E2185A" w:rsidP="00183388">
            <w:pPr>
              <w:pStyle w:val="Tabletext"/>
            </w:pPr>
            <w:r w:rsidRPr="00846F78">
              <w:t>50,001 to 100K</w:t>
            </w:r>
          </w:p>
        </w:tc>
        <w:tc>
          <w:tcPr>
            <w:tcW w:w="908" w:type="pct"/>
          </w:tcPr>
          <w:p w14:paraId="28924618" w14:textId="77777777" w:rsidR="00E2185A" w:rsidRPr="00490C53" w:rsidDel="000A1204" w:rsidRDefault="00E2185A" w:rsidP="00183388">
            <w:pPr>
              <w:pStyle w:val="Tabletext"/>
            </w:pPr>
            <w:r w:rsidRPr="00846F78">
              <w:t>11.4%</w:t>
            </w:r>
          </w:p>
        </w:tc>
        <w:tc>
          <w:tcPr>
            <w:tcW w:w="838" w:type="pct"/>
          </w:tcPr>
          <w:p w14:paraId="0E97D76B" w14:textId="77777777" w:rsidR="00E2185A" w:rsidRPr="00490C53" w:rsidRDefault="00E2185A" w:rsidP="00846F78">
            <w:pPr>
              <w:pStyle w:val="Tabletext"/>
              <w:rPr>
                <w:rStyle w:val="Bold"/>
                <w:b w:val="0"/>
              </w:rPr>
            </w:pPr>
            <w:r w:rsidRPr="00846F78">
              <w:t>6.0%</w:t>
            </w:r>
          </w:p>
        </w:tc>
        <w:tc>
          <w:tcPr>
            <w:tcW w:w="951" w:type="pct"/>
          </w:tcPr>
          <w:p w14:paraId="722FEF65" w14:textId="77777777" w:rsidR="00E2185A" w:rsidRPr="00490C53" w:rsidRDefault="00E2185A" w:rsidP="00846F78">
            <w:pPr>
              <w:pStyle w:val="Tabletext"/>
              <w:rPr>
                <w:rStyle w:val="Bold"/>
                <w:b w:val="0"/>
              </w:rPr>
            </w:pPr>
            <w:r w:rsidRPr="00846F78">
              <w:t>5.4%</w:t>
            </w:r>
          </w:p>
        </w:tc>
      </w:tr>
      <w:tr w:rsidR="00E2185A" w:rsidRPr="00490C53" w14:paraId="36E6FCAB"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304" w:type="pct"/>
          </w:tcPr>
          <w:p w14:paraId="7E131DBA" w14:textId="77777777" w:rsidR="00E2185A" w:rsidRPr="00490C53" w:rsidDel="000A1204" w:rsidRDefault="00E2185A" w:rsidP="00183388">
            <w:pPr>
              <w:pStyle w:val="Tabletext"/>
            </w:pPr>
            <w:r w:rsidRPr="00846F78">
              <w:t>100,001 to 250K</w:t>
            </w:r>
          </w:p>
        </w:tc>
        <w:tc>
          <w:tcPr>
            <w:tcW w:w="908" w:type="pct"/>
          </w:tcPr>
          <w:p w14:paraId="3E68694C" w14:textId="77777777" w:rsidR="00E2185A" w:rsidRPr="00490C53" w:rsidDel="000A1204" w:rsidRDefault="00E2185A" w:rsidP="00183388">
            <w:pPr>
              <w:pStyle w:val="Tabletext"/>
            </w:pPr>
            <w:r w:rsidRPr="00846F78">
              <w:t>9.5%</w:t>
            </w:r>
          </w:p>
        </w:tc>
        <w:tc>
          <w:tcPr>
            <w:tcW w:w="838" w:type="pct"/>
          </w:tcPr>
          <w:p w14:paraId="469C64D9" w14:textId="77777777" w:rsidR="00E2185A" w:rsidRPr="00490C53" w:rsidRDefault="00E2185A" w:rsidP="00846F78">
            <w:pPr>
              <w:pStyle w:val="Tabletext"/>
              <w:rPr>
                <w:rStyle w:val="Bold"/>
                <w:b w:val="0"/>
              </w:rPr>
            </w:pPr>
            <w:r w:rsidRPr="00846F78">
              <w:t>3.9%</w:t>
            </w:r>
          </w:p>
        </w:tc>
        <w:tc>
          <w:tcPr>
            <w:tcW w:w="951" w:type="pct"/>
          </w:tcPr>
          <w:p w14:paraId="78D5A34F" w14:textId="77777777" w:rsidR="00E2185A" w:rsidRPr="00490C53" w:rsidRDefault="00E2185A" w:rsidP="00846F78">
            <w:pPr>
              <w:pStyle w:val="Tabletext"/>
              <w:rPr>
                <w:rStyle w:val="Bold"/>
                <w:b w:val="0"/>
              </w:rPr>
            </w:pPr>
            <w:r w:rsidRPr="00846F78">
              <w:t>5.6%</w:t>
            </w:r>
          </w:p>
        </w:tc>
      </w:tr>
      <w:tr w:rsidR="00E2185A" w:rsidRPr="00490C53" w14:paraId="743C32BF" w14:textId="77777777" w:rsidTr="00846F78">
        <w:tblPrEx>
          <w:tblCellMar>
            <w:left w:w="108" w:type="dxa"/>
            <w:right w:w="108" w:type="dxa"/>
          </w:tblCellMar>
        </w:tblPrEx>
        <w:tc>
          <w:tcPr>
            <w:tcW w:w="2304" w:type="pct"/>
          </w:tcPr>
          <w:p w14:paraId="56780669" w14:textId="77777777" w:rsidR="00E2185A" w:rsidRPr="00490C53" w:rsidDel="000A1204" w:rsidRDefault="00E2185A" w:rsidP="00183388">
            <w:pPr>
              <w:pStyle w:val="Tabletext"/>
            </w:pPr>
            <w:r w:rsidRPr="00846F78">
              <w:t>250,001 to 500K</w:t>
            </w:r>
          </w:p>
        </w:tc>
        <w:tc>
          <w:tcPr>
            <w:tcW w:w="908" w:type="pct"/>
          </w:tcPr>
          <w:p w14:paraId="559ABF43" w14:textId="77777777" w:rsidR="00E2185A" w:rsidRPr="00490C53" w:rsidDel="000A1204" w:rsidRDefault="00E2185A" w:rsidP="00183388">
            <w:pPr>
              <w:pStyle w:val="Tabletext"/>
            </w:pPr>
            <w:r w:rsidRPr="00846F78">
              <w:t>7.3%</w:t>
            </w:r>
          </w:p>
        </w:tc>
        <w:tc>
          <w:tcPr>
            <w:tcW w:w="838" w:type="pct"/>
          </w:tcPr>
          <w:p w14:paraId="2CA8545E" w14:textId="77777777" w:rsidR="00E2185A" w:rsidRPr="00490C53" w:rsidRDefault="00E2185A" w:rsidP="00846F78">
            <w:pPr>
              <w:pStyle w:val="Tabletext"/>
              <w:rPr>
                <w:rStyle w:val="Bold"/>
                <w:b w:val="0"/>
              </w:rPr>
            </w:pPr>
            <w:r w:rsidRPr="00846F78">
              <w:t>1.5%</w:t>
            </w:r>
          </w:p>
        </w:tc>
        <w:tc>
          <w:tcPr>
            <w:tcW w:w="951" w:type="pct"/>
          </w:tcPr>
          <w:p w14:paraId="50B96A9F" w14:textId="77777777" w:rsidR="00E2185A" w:rsidRPr="00490C53" w:rsidRDefault="00E2185A" w:rsidP="00846F78">
            <w:pPr>
              <w:pStyle w:val="Tabletext"/>
              <w:rPr>
                <w:rStyle w:val="Bold"/>
                <w:b w:val="0"/>
              </w:rPr>
            </w:pPr>
            <w:r w:rsidRPr="00846F78">
              <w:t>5.8%</w:t>
            </w:r>
          </w:p>
        </w:tc>
      </w:tr>
      <w:tr w:rsidR="00E2185A" w:rsidRPr="00490C53" w14:paraId="017C18A6"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304" w:type="pct"/>
          </w:tcPr>
          <w:p w14:paraId="4473B32F" w14:textId="77777777" w:rsidR="00E2185A" w:rsidRPr="00490C53" w:rsidDel="000A1204" w:rsidRDefault="00E2185A" w:rsidP="00183388">
            <w:pPr>
              <w:pStyle w:val="Tabletext"/>
            </w:pPr>
            <w:r w:rsidRPr="00846F78">
              <w:t>500,001 to 1m</w:t>
            </w:r>
          </w:p>
        </w:tc>
        <w:tc>
          <w:tcPr>
            <w:tcW w:w="908" w:type="pct"/>
          </w:tcPr>
          <w:p w14:paraId="25ADFE33" w14:textId="77777777" w:rsidR="00E2185A" w:rsidRPr="00490C53" w:rsidDel="000A1204" w:rsidRDefault="00E2185A" w:rsidP="00183388">
            <w:pPr>
              <w:pStyle w:val="Tabletext"/>
            </w:pPr>
            <w:r w:rsidRPr="00846F78">
              <w:t>6.0%</w:t>
            </w:r>
          </w:p>
        </w:tc>
        <w:tc>
          <w:tcPr>
            <w:tcW w:w="838" w:type="pct"/>
          </w:tcPr>
          <w:p w14:paraId="1EFDA220" w14:textId="77777777" w:rsidR="00E2185A" w:rsidRPr="00490C53" w:rsidRDefault="00E2185A" w:rsidP="00846F78">
            <w:pPr>
              <w:pStyle w:val="Tabletext"/>
              <w:rPr>
                <w:rStyle w:val="Bold"/>
                <w:b w:val="0"/>
              </w:rPr>
            </w:pPr>
            <w:r w:rsidRPr="00846F78">
              <w:t>1.1%</w:t>
            </w:r>
          </w:p>
        </w:tc>
        <w:tc>
          <w:tcPr>
            <w:tcW w:w="951" w:type="pct"/>
          </w:tcPr>
          <w:p w14:paraId="034176ED" w14:textId="77777777" w:rsidR="00E2185A" w:rsidRPr="00490C53" w:rsidRDefault="00E2185A" w:rsidP="00846F78">
            <w:pPr>
              <w:pStyle w:val="Tabletext"/>
              <w:rPr>
                <w:rStyle w:val="Bold"/>
                <w:b w:val="0"/>
              </w:rPr>
            </w:pPr>
            <w:r w:rsidRPr="00846F78">
              <w:t>4.8%</w:t>
            </w:r>
          </w:p>
        </w:tc>
      </w:tr>
      <w:tr w:rsidR="00E2185A" w:rsidRPr="00490C53" w14:paraId="665AA2DD" w14:textId="77777777" w:rsidTr="00846F78">
        <w:tblPrEx>
          <w:tblCellMar>
            <w:left w:w="108" w:type="dxa"/>
            <w:right w:w="108" w:type="dxa"/>
          </w:tblCellMar>
        </w:tblPrEx>
        <w:tc>
          <w:tcPr>
            <w:tcW w:w="2304" w:type="pct"/>
          </w:tcPr>
          <w:p w14:paraId="10CA54C7" w14:textId="77777777" w:rsidR="00E2185A" w:rsidRPr="00490C53" w:rsidDel="000A1204" w:rsidRDefault="00E2185A" w:rsidP="00183388">
            <w:pPr>
              <w:pStyle w:val="Tabletext"/>
            </w:pPr>
            <w:r w:rsidRPr="00846F78">
              <w:t>1m to 5m</w:t>
            </w:r>
          </w:p>
        </w:tc>
        <w:tc>
          <w:tcPr>
            <w:tcW w:w="908" w:type="pct"/>
          </w:tcPr>
          <w:p w14:paraId="3D2310CE" w14:textId="77777777" w:rsidR="00E2185A" w:rsidRPr="00490C53" w:rsidDel="000A1204" w:rsidRDefault="00E2185A" w:rsidP="00183388">
            <w:pPr>
              <w:pStyle w:val="Tabletext"/>
            </w:pPr>
            <w:r w:rsidRPr="00846F78">
              <w:t>4.4%</w:t>
            </w:r>
          </w:p>
        </w:tc>
        <w:tc>
          <w:tcPr>
            <w:tcW w:w="838" w:type="pct"/>
          </w:tcPr>
          <w:p w14:paraId="05489699" w14:textId="77777777" w:rsidR="00E2185A" w:rsidRPr="00490C53" w:rsidRDefault="00E2185A" w:rsidP="00846F78">
            <w:pPr>
              <w:pStyle w:val="Tabletext"/>
              <w:rPr>
                <w:rStyle w:val="Bold"/>
                <w:b w:val="0"/>
              </w:rPr>
            </w:pPr>
            <w:r w:rsidRPr="00846F78">
              <w:t>1.2%</w:t>
            </w:r>
          </w:p>
        </w:tc>
        <w:tc>
          <w:tcPr>
            <w:tcW w:w="951" w:type="pct"/>
          </w:tcPr>
          <w:p w14:paraId="4CC61684" w14:textId="77777777" w:rsidR="00E2185A" w:rsidRPr="00490C53" w:rsidRDefault="00E2185A" w:rsidP="00846F78">
            <w:pPr>
              <w:pStyle w:val="Tabletext"/>
              <w:rPr>
                <w:rStyle w:val="Bold"/>
                <w:b w:val="0"/>
              </w:rPr>
            </w:pPr>
            <w:r w:rsidRPr="00846F78">
              <w:t>3.2%</w:t>
            </w:r>
          </w:p>
        </w:tc>
      </w:tr>
      <w:tr w:rsidR="00E2185A" w:rsidRPr="00490C53" w14:paraId="6BF88EF8"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304" w:type="pct"/>
          </w:tcPr>
          <w:p w14:paraId="3E26DB1E" w14:textId="77777777" w:rsidR="00E2185A" w:rsidRPr="00846F78" w:rsidDel="000A1204" w:rsidRDefault="00E2185A" w:rsidP="00183388">
            <w:pPr>
              <w:pStyle w:val="Tabletext"/>
              <w:rPr>
                <w:b/>
                <w:bCs/>
              </w:rPr>
            </w:pPr>
            <w:r w:rsidRPr="00490C53">
              <w:rPr>
                <w:b/>
                <w:bCs/>
              </w:rPr>
              <w:t>Weighted average</w:t>
            </w:r>
          </w:p>
        </w:tc>
        <w:tc>
          <w:tcPr>
            <w:tcW w:w="908" w:type="pct"/>
          </w:tcPr>
          <w:p w14:paraId="73B0D7C6" w14:textId="3948F00E" w:rsidR="00E2185A" w:rsidRPr="00846F78" w:rsidDel="000A1204" w:rsidRDefault="00E2185A" w:rsidP="00183388">
            <w:pPr>
              <w:pStyle w:val="Tabletext"/>
              <w:rPr>
                <w:b/>
                <w:bCs/>
              </w:rPr>
            </w:pPr>
            <w:r w:rsidRPr="00846F78">
              <w:rPr>
                <w:b/>
                <w:bCs/>
              </w:rPr>
              <w:t>9.</w:t>
            </w:r>
            <w:r w:rsidR="00F955BC">
              <w:rPr>
                <w:b/>
                <w:bCs/>
              </w:rPr>
              <w:t>9</w:t>
            </w:r>
            <w:r w:rsidRPr="00846F78">
              <w:rPr>
                <w:b/>
                <w:bCs/>
              </w:rPr>
              <w:t>%</w:t>
            </w:r>
          </w:p>
        </w:tc>
        <w:tc>
          <w:tcPr>
            <w:tcW w:w="838" w:type="pct"/>
          </w:tcPr>
          <w:p w14:paraId="6252CAE0" w14:textId="77777777" w:rsidR="00E2185A" w:rsidRPr="00846F78" w:rsidRDefault="00E2185A" w:rsidP="00846F78">
            <w:pPr>
              <w:pStyle w:val="Tabletext"/>
              <w:rPr>
                <w:rStyle w:val="Bold"/>
                <w:bCs/>
              </w:rPr>
            </w:pPr>
            <w:r w:rsidRPr="00846F78">
              <w:rPr>
                <w:b/>
                <w:bCs/>
              </w:rPr>
              <w:t>4.2%</w:t>
            </w:r>
          </w:p>
        </w:tc>
        <w:tc>
          <w:tcPr>
            <w:tcW w:w="951" w:type="pct"/>
          </w:tcPr>
          <w:p w14:paraId="1D3DEEA2" w14:textId="774A21A0" w:rsidR="00E2185A" w:rsidRPr="00846F78" w:rsidRDefault="00E2185A" w:rsidP="00846F78">
            <w:pPr>
              <w:pStyle w:val="Tabletext"/>
              <w:rPr>
                <w:rStyle w:val="Bold"/>
                <w:bCs/>
              </w:rPr>
            </w:pPr>
            <w:r w:rsidRPr="00846F78">
              <w:rPr>
                <w:b/>
                <w:bCs/>
              </w:rPr>
              <w:t>5.7%</w:t>
            </w:r>
            <w:r w:rsidR="00C3114B">
              <w:rPr>
                <w:rStyle w:val="FootnoteReference"/>
                <w:b/>
                <w:bCs/>
              </w:rPr>
              <w:footnoteReference w:id="160"/>
            </w:r>
          </w:p>
        </w:tc>
      </w:tr>
    </w:tbl>
    <w:p w14:paraId="27F4002A" w14:textId="1683CCC0" w:rsidR="00750F0B" w:rsidRPr="00490C53" w:rsidRDefault="00750F0B" w:rsidP="00750F0B">
      <w:pPr>
        <w:pStyle w:val="Caption"/>
      </w:pPr>
      <w:r w:rsidRPr="00490C53">
        <w:t>Source: London Economics’ analysis of IDBR data</w:t>
      </w:r>
      <w:r w:rsidR="00975FAD">
        <w:t xml:space="preserve">, BBB Management Information and BBB Portal Data. </w:t>
      </w:r>
    </w:p>
    <w:p w14:paraId="127BD6C0" w14:textId="2E5CF53E" w:rsidR="000140C3" w:rsidRPr="00490C53" w:rsidRDefault="000140C3" w:rsidP="000140C3">
      <w:pPr>
        <w:pStyle w:val="Heading5"/>
      </w:pPr>
      <w:r w:rsidRPr="00490C53">
        <w:t xml:space="preserve">Table </w:t>
      </w:r>
      <w:r w:rsidR="00B6604F" w:rsidRPr="00846F78">
        <w:fldChar w:fldCharType="begin"/>
      </w:r>
      <w:r w:rsidR="00B6604F" w:rsidRPr="00490C53">
        <w:instrText xml:space="preserve"> SEQ Table \* ARABIC </w:instrText>
      </w:r>
      <w:r w:rsidR="00B6604F" w:rsidRPr="00846F78">
        <w:fldChar w:fldCharType="separate"/>
      </w:r>
      <w:r w:rsidR="00397D49">
        <w:rPr>
          <w:noProof/>
        </w:rPr>
        <w:t>40</w:t>
      </w:r>
      <w:r w:rsidR="00B6604F" w:rsidRPr="00846F78">
        <w:fldChar w:fldCharType="end"/>
      </w:r>
      <w:r w:rsidRPr="00490C53">
        <w:t xml:space="preserve"> : </w:t>
      </w:r>
      <w:r w:rsidR="004550ED">
        <w:t>Closure</w:t>
      </w:r>
      <w:r w:rsidR="004550ED" w:rsidRPr="00490C53">
        <w:t xml:space="preserve"> </w:t>
      </w:r>
      <w:r w:rsidRPr="00490C53">
        <w:t>rates among CBILS/CLBILS borrowers and non-borrowers, by turnover band</w:t>
      </w:r>
    </w:p>
    <w:tbl>
      <w:tblPr>
        <w:tblStyle w:val="TableGrid"/>
        <w:tblW w:w="5000" w:type="pct"/>
        <w:tblLook w:val="04A0" w:firstRow="1" w:lastRow="0" w:firstColumn="1" w:lastColumn="0" w:noHBand="0" w:noVBand="1"/>
      </w:tblPr>
      <w:tblGrid>
        <w:gridCol w:w="2554"/>
        <w:gridCol w:w="2551"/>
        <w:gridCol w:w="2409"/>
        <w:gridCol w:w="2640"/>
      </w:tblGrid>
      <w:tr w:rsidR="000140C3" w:rsidRPr="00490C53" w14:paraId="7BA025B9" w14:textId="77777777">
        <w:trPr>
          <w:cnfStyle w:val="100000000000" w:firstRow="1" w:lastRow="0" w:firstColumn="0" w:lastColumn="0" w:oddVBand="0" w:evenVBand="0" w:oddHBand="0" w:evenHBand="0" w:firstRowFirstColumn="0" w:firstRowLastColumn="0" w:lastRowFirstColumn="0" w:lastRowLastColumn="0"/>
          <w:tblHeader/>
        </w:trPr>
        <w:tc>
          <w:tcPr>
            <w:tcW w:w="1258" w:type="pct"/>
          </w:tcPr>
          <w:p w14:paraId="33EA4ADC" w14:textId="77777777" w:rsidR="000140C3" w:rsidRPr="00490C53" w:rsidRDefault="000140C3">
            <w:pPr>
              <w:pStyle w:val="Tablecolumnheading-inkblue"/>
              <w:rPr>
                <w:b w:val="0"/>
                <w:color w:val="FFFFFF" w:themeColor="background1"/>
                <w:sz w:val="22"/>
                <w:szCs w:val="20"/>
              </w:rPr>
            </w:pPr>
            <w:r w:rsidRPr="00490C53">
              <w:rPr>
                <w:rFonts w:cs="Calibri"/>
                <w:color w:val="FFFFFF" w:themeColor="background1"/>
                <w:sz w:val="22"/>
              </w:rPr>
              <w:t>Turnover Band</w:t>
            </w:r>
          </w:p>
        </w:tc>
        <w:tc>
          <w:tcPr>
            <w:tcW w:w="1256" w:type="pct"/>
          </w:tcPr>
          <w:p w14:paraId="3E469BDC" w14:textId="16773032" w:rsidR="000140C3" w:rsidRPr="00490C53" w:rsidRDefault="004550ED">
            <w:pPr>
              <w:pStyle w:val="Tablecolumnheading-inkblue"/>
              <w:rPr>
                <w:b w:val="0"/>
                <w:color w:val="FFFFFF" w:themeColor="background1"/>
                <w:sz w:val="22"/>
                <w:szCs w:val="20"/>
              </w:rPr>
            </w:pPr>
            <w:r>
              <w:rPr>
                <w:rFonts w:cs="Calibri"/>
                <w:color w:val="FFFFFF" w:themeColor="background1"/>
                <w:sz w:val="22"/>
              </w:rPr>
              <w:t>Closure</w:t>
            </w:r>
            <w:r w:rsidRPr="00490C53">
              <w:rPr>
                <w:rFonts w:cs="Calibri"/>
                <w:color w:val="FFFFFF" w:themeColor="background1"/>
                <w:sz w:val="22"/>
              </w:rPr>
              <w:t xml:space="preserve"> </w:t>
            </w:r>
            <w:r w:rsidR="000140C3" w:rsidRPr="00490C53">
              <w:rPr>
                <w:rFonts w:cs="Calibri"/>
                <w:color w:val="FFFFFF" w:themeColor="background1"/>
                <w:sz w:val="22"/>
              </w:rPr>
              <w:t>rate among CBILS/CLBILS non-borrowers</w:t>
            </w:r>
          </w:p>
        </w:tc>
        <w:tc>
          <w:tcPr>
            <w:tcW w:w="1186" w:type="pct"/>
          </w:tcPr>
          <w:p w14:paraId="35D61AC5" w14:textId="7580B2DF" w:rsidR="000140C3" w:rsidRPr="00490C53" w:rsidRDefault="004550ED">
            <w:pPr>
              <w:pStyle w:val="Tablecolumnheading-inkblue"/>
              <w:rPr>
                <w:bCs/>
                <w:color w:val="FFFFFF" w:themeColor="background1"/>
                <w:sz w:val="22"/>
                <w:szCs w:val="20"/>
              </w:rPr>
            </w:pPr>
            <w:r>
              <w:rPr>
                <w:rFonts w:cs="Calibri"/>
                <w:color w:val="FFFFFF" w:themeColor="background1"/>
                <w:sz w:val="22"/>
              </w:rPr>
              <w:t>Closure</w:t>
            </w:r>
            <w:r w:rsidRPr="00490C53">
              <w:rPr>
                <w:rFonts w:cs="Calibri"/>
                <w:color w:val="FFFFFF" w:themeColor="background1"/>
                <w:sz w:val="22"/>
              </w:rPr>
              <w:t xml:space="preserve"> </w:t>
            </w:r>
            <w:r w:rsidR="000140C3" w:rsidRPr="00490C53">
              <w:rPr>
                <w:rFonts w:cs="Calibri"/>
                <w:color w:val="FFFFFF" w:themeColor="background1"/>
                <w:sz w:val="22"/>
              </w:rPr>
              <w:t>rate among CBILS/CLBILS borrowers</w:t>
            </w:r>
          </w:p>
        </w:tc>
        <w:tc>
          <w:tcPr>
            <w:tcW w:w="1300" w:type="pct"/>
            <w:vAlign w:val="center"/>
          </w:tcPr>
          <w:p w14:paraId="71CDB4DB" w14:textId="77777777" w:rsidR="000140C3" w:rsidRPr="00490C53" w:rsidRDefault="000140C3">
            <w:pPr>
              <w:pStyle w:val="Tablecolumnheading-inkblue"/>
              <w:rPr>
                <w:bCs/>
                <w:color w:val="FFFFFF" w:themeColor="background1"/>
                <w:sz w:val="22"/>
                <w:szCs w:val="20"/>
              </w:rPr>
            </w:pPr>
            <w:r w:rsidRPr="00490C53">
              <w:rPr>
                <w:color w:val="FFFFFF" w:themeColor="background1"/>
                <w:sz w:val="22"/>
              </w:rPr>
              <w:t>Difference between borrowers and non-borrowers</w:t>
            </w:r>
          </w:p>
        </w:tc>
      </w:tr>
      <w:tr w:rsidR="000140C3" w:rsidRPr="00490C53" w14:paraId="0A24282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258" w:type="pct"/>
          </w:tcPr>
          <w:p w14:paraId="49D42743" w14:textId="77777777" w:rsidR="000140C3" w:rsidRPr="00490C53" w:rsidDel="000A1204" w:rsidRDefault="000140C3" w:rsidP="00183388">
            <w:pPr>
              <w:pStyle w:val="Tabletext"/>
            </w:pPr>
            <w:r w:rsidRPr="00846F78">
              <w:t>Less than 50K</w:t>
            </w:r>
          </w:p>
        </w:tc>
        <w:tc>
          <w:tcPr>
            <w:tcW w:w="1256" w:type="pct"/>
          </w:tcPr>
          <w:p w14:paraId="6AF31552" w14:textId="77777777" w:rsidR="000140C3" w:rsidRPr="00490C53" w:rsidDel="000A1204" w:rsidRDefault="000140C3" w:rsidP="00183388">
            <w:pPr>
              <w:pStyle w:val="Tabletext"/>
            </w:pPr>
            <w:r w:rsidRPr="00846F78">
              <w:t>12.8%</w:t>
            </w:r>
          </w:p>
        </w:tc>
        <w:tc>
          <w:tcPr>
            <w:tcW w:w="1186" w:type="pct"/>
          </w:tcPr>
          <w:p w14:paraId="0A85DEC8" w14:textId="77777777" w:rsidR="000140C3" w:rsidRPr="00490C53" w:rsidRDefault="000140C3" w:rsidP="00846F78">
            <w:pPr>
              <w:pStyle w:val="Tabletext"/>
              <w:rPr>
                <w:rStyle w:val="Bold"/>
                <w:b w:val="0"/>
              </w:rPr>
            </w:pPr>
            <w:r w:rsidRPr="00846F78">
              <w:t>3.7%</w:t>
            </w:r>
          </w:p>
        </w:tc>
        <w:tc>
          <w:tcPr>
            <w:tcW w:w="1300" w:type="pct"/>
          </w:tcPr>
          <w:p w14:paraId="4CC05906" w14:textId="77777777" w:rsidR="000140C3" w:rsidRPr="00490C53" w:rsidRDefault="000140C3" w:rsidP="00846F78">
            <w:pPr>
              <w:pStyle w:val="Tabletext"/>
              <w:rPr>
                <w:rStyle w:val="Bold"/>
                <w:b w:val="0"/>
              </w:rPr>
            </w:pPr>
            <w:r w:rsidRPr="00846F78">
              <w:t>9.1%</w:t>
            </w:r>
          </w:p>
        </w:tc>
      </w:tr>
      <w:tr w:rsidR="000140C3" w:rsidRPr="00490C53" w14:paraId="6C75BBC6" w14:textId="77777777">
        <w:tblPrEx>
          <w:tblCellMar>
            <w:left w:w="108" w:type="dxa"/>
            <w:right w:w="108" w:type="dxa"/>
          </w:tblCellMar>
        </w:tblPrEx>
        <w:tc>
          <w:tcPr>
            <w:tcW w:w="1258" w:type="pct"/>
          </w:tcPr>
          <w:p w14:paraId="28243183" w14:textId="77777777" w:rsidR="000140C3" w:rsidRPr="00490C53" w:rsidDel="000A1204" w:rsidRDefault="000140C3" w:rsidP="00183388">
            <w:pPr>
              <w:pStyle w:val="Tabletext"/>
            </w:pPr>
            <w:r w:rsidRPr="00846F78">
              <w:lastRenderedPageBreak/>
              <w:t>50,001 to 100K</w:t>
            </w:r>
          </w:p>
        </w:tc>
        <w:tc>
          <w:tcPr>
            <w:tcW w:w="1256" w:type="pct"/>
          </w:tcPr>
          <w:p w14:paraId="0F8C38EC" w14:textId="77777777" w:rsidR="000140C3" w:rsidRPr="00490C53" w:rsidDel="000A1204" w:rsidRDefault="000140C3" w:rsidP="00183388">
            <w:pPr>
              <w:pStyle w:val="Tabletext"/>
            </w:pPr>
            <w:r w:rsidRPr="00846F78">
              <w:t>12.8%</w:t>
            </w:r>
          </w:p>
        </w:tc>
        <w:tc>
          <w:tcPr>
            <w:tcW w:w="1186" w:type="pct"/>
          </w:tcPr>
          <w:p w14:paraId="11707068" w14:textId="77777777" w:rsidR="000140C3" w:rsidRPr="00490C53" w:rsidRDefault="000140C3" w:rsidP="00846F78">
            <w:pPr>
              <w:pStyle w:val="Tabletext"/>
              <w:rPr>
                <w:rStyle w:val="Bold"/>
                <w:b w:val="0"/>
              </w:rPr>
            </w:pPr>
            <w:r w:rsidRPr="00846F78">
              <w:t>2.7%</w:t>
            </w:r>
          </w:p>
        </w:tc>
        <w:tc>
          <w:tcPr>
            <w:tcW w:w="1300" w:type="pct"/>
          </w:tcPr>
          <w:p w14:paraId="219501E0" w14:textId="77777777" w:rsidR="000140C3" w:rsidRPr="00490C53" w:rsidRDefault="000140C3" w:rsidP="00846F78">
            <w:pPr>
              <w:pStyle w:val="Tabletext"/>
              <w:rPr>
                <w:rStyle w:val="Bold"/>
                <w:b w:val="0"/>
              </w:rPr>
            </w:pPr>
            <w:r w:rsidRPr="00846F78">
              <w:t>10.2%</w:t>
            </w:r>
          </w:p>
        </w:tc>
      </w:tr>
      <w:tr w:rsidR="000140C3" w:rsidRPr="00490C53" w14:paraId="4DC7BB7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258" w:type="pct"/>
          </w:tcPr>
          <w:p w14:paraId="7BB18D1E" w14:textId="77777777" w:rsidR="000140C3" w:rsidRPr="00490C53" w:rsidDel="000A1204" w:rsidRDefault="000140C3" w:rsidP="00183388">
            <w:pPr>
              <w:pStyle w:val="Tabletext"/>
            </w:pPr>
            <w:r w:rsidRPr="00846F78">
              <w:t>100,001 to 250K</w:t>
            </w:r>
          </w:p>
        </w:tc>
        <w:tc>
          <w:tcPr>
            <w:tcW w:w="1256" w:type="pct"/>
          </w:tcPr>
          <w:p w14:paraId="657FB135" w14:textId="77777777" w:rsidR="000140C3" w:rsidRPr="00490C53" w:rsidDel="000A1204" w:rsidRDefault="000140C3" w:rsidP="00183388">
            <w:pPr>
              <w:pStyle w:val="Tabletext"/>
            </w:pPr>
            <w:r w:rsidRPr="00846F78">
              <w:t>7.9%</w:t>
            </w:r>
          </w:p>
        </w:tc>
        <w:tc>
          <w:tcPr>
            <w:tcW w:w="1186" w:type="pct"/>
          </w:tcPr>
          <w:p w14:paraId="6EBE1B16" w14:textId="77777777" w:rsidR="000140C3" w:rsidRPr="00490C53" w:rsidRDefault="000140C3" w:rsidP="00846F78">
            <w:pPr>
              <w:pStyle w:val="Tabletext"/>
              <w:rPr>
                <w:rStyle w:val="Bold"/>
                <w:b w:val="0"/>
              </w:rPr>
            </w:pPr>
            <w:r w:rsidRPr="00846F78">
              <w:t>2.1%</w:t>
            </w:r>
          </w:p>
        </w:tc>
        <w:tc>
          <w:tcPr>
            <w:tcW w:w="1300" w:type="pct"/>
          </w:tcPr>
          <w:p w14:paraId="0E221D39" w14:textId="77777777" w:rsidR="000140C3" w:rsidRPr="00490C53" w:rsidRDefault="000140C3" w:rsidP="00846F78">
            <w:pPr>
              <w:pStyle w:val="Tabletext"/>
              <w:rPr>
                <w:rStyle w:val="Bold"/>
                <w:b w:val="0"/>
              </w:rPr>
            </w:pPr>
            <w:r w:rsidRPr="00846F78">
              <w:t>5.8%</w:t>
            </w:r>
          </w:p>
        </w:tc>
      </w:tr>
      <w:tr w:rsidR="000140C3" w:rsidRPr="00490C53" w14:paraId="4BA99268" w14:textId="77777777">
        <w:tblPrEx>
          <w:tblCellMar>
            <w:left w:w="108" w:type="dxa"/>
            <w:right w:w="108" w:type="dxa"/>
          </w:tblCellMar>
        </w:tblPrEx>
        <w:tc>
          <w:tcPr>
            <w:tcW w:w="1258" w:type="pct"/>
          </w:tcPr>
          <w:p w14:paraId="0270BBED" w14:textId="77777777" w:rsidR="000140C3" w:rsidRPr="00490C53" w:rsidDel="000A1204" w:rsidRDefault="000140C3" w:rsidP="00183388">
            <w:pPr>
              <w:pStyle w:val="Tabletext"/>
            </w:pPr>
            <w:r w:rsidRPr="00846F78">
              <w:t>250,001 to 500K</w:t>
            </w:r>
          </w:p>
        </w:tc>
        <w:tc>
          <w:tcPr>
            <w:tcW w:w="1256" w:type="pct"/>
          </w:tcPr>
          <w:p w14:paraId="39E61CD5" w14:textId="77777777" w:rsidR="000140C3" w:rsidRPr="00490C53" w:rsidDel="000A1204" w:rsidRDefault="000140C3" w:rsidP="00183388">
            <w:pPr>
              <w:pStyle w:val="Tabletext"/>
            </w:pPr>
            <w:r w:rsidRPr="00846F78">
              <w:t>6.7%</w:t>
            </w:r>
          </w:p>
        </w:tc>
        <w:tc>
          <w:tcPr>
            <w:tcW w:w="1186" w:type="pct"/>
          </w:tcPr>
          <w:p w14:paraId="4BECF7E3" w14:textId="77777777" w:rsidR="000140C3" w:rsidRPr="00490C53" w:rsidRDefault="000140C3" w:rsidP="00846F78">
            <w:pPr>
              <w:pStyle w:val="Tabletext"/>
              <w:rPr>
                <w:rStyle w:val="Bold"/>
                <w:b w:val="0"/>
              </w:rPr>
            </w:pPr>
            <w:r w:rsidRPr="00846F78">
              <w:t>0.4%</w:t>
            </w:r>
          </w:p>
        </w:tc>
        <w:tc>
          <w:tcPr>
            <w:tcW w:w="1300" w:type="pct"/>
          </w:tcPr>
          <w:p w14:paraId="5CEEAE82" w14:textId="77777777" w:rsidR="000140C3" w:rsidRPr="00490C53" w:rsidRDefault="000140C3" w:rsidP="00846F78">
            <w:pPr>
              <w:pStyle w:val="Tabletext"/>
              <w:rPr>
                <w:rStyle w:val="Bold"/>
                <w:b w:val="0"/>
              </w:rPr>
            </w:pPr>
            <w:r w:rsidRPr="00846F78">
              <w:t>6.2%</w:t>
            </w:r>
          </w:p>
        </w:tc>
      </w:tr>
      <w:tr w:rsidR="000140C3" w:rsidRPr="00490C53" w14:paraId="7925CCA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258" w:type="pct"/>
          </w:tcPr>
          <w:p w14:paraId="4362902C" w14:textId="77777777" w:rsidR="000140C3" w:rsidRPr="00490C53" w:rsidDel="000A1204" w:rsidRDefault="000140C3" w:rsidP="00183388">
            <w:pPr>
              <w:pStyle w:val="Tabletext"/>
            </w:pPr>
            <w:r w:rsidRPr="00846F78">
              <w:t>500,001 to 1m</w:t>
            </w:r>
          </w:p>
        </w:tc>
        <w:tc>
          <w:tcPr>
            <w:tcW w:w="1256" w:type="pct"/>
          </w:tcPr>
          <w:p w14:paraId="3741D382" w14:textId="77777777" w:rsidR="000140C3" w:rsidRPr="00490C53" w:rsidDel="000A1204" w:rsidRDefault="000140C3" w:rsidP="00183388">
            <w:pPr>
              <w:pStyle w:val="Tabletext"/>
            </w:pPr>
            <w:r w:rsidRPr="00846F78">
              <w:t>5.3%</w:t>
            </w:r>
          </w:p>
        </w:tc>
        <w:tc>
          <w:tcPr>
            <w:tcW w:w="1186" w:type="pct"/>
          </w:tcPr>
          <w:p w14:paraId="735BEECD" w14:textId="77777777" w:rsidR="000140C3" w:rsidRPr="00490C53" w:rsidRDefault="000140C3" w:rsidP="00846F78">
            <w:pPr>
              <w:pStyle w:val="Tabletext"/>
              <w:rPr>
                <w:rStyle w:val="Bold"/>
                <w:b w:val="0"/>
              </w:rPr>
            </w:pPr>
            <w:r w:rsidRPr="00846F78">
              <w:t>0.5%</w:t>
            </w:r>
          </w:p>
        </w:tc>
        <w:tc>
          <w:tcPr>
            <w:tcW w:w="1300" w:type="pct"/>
          </w:tcPr>
          <w:p w14:paraId="28E520BD" w14:textId="77777777" w:rsidR="000140C3" w:rsidRPr="00490C53" w:rsidRDefault="000140C3" w:rsidP="00846F78">
            <w:pPr>
              <w:pStyle w:val="Tabletext"/>
              <w:rPr>
                <w:rStyle w:val="Bold"/>
                <w:b w:val="0"/>
              </w:rPr>
            </w:pPr>
            <w:r w:rsidRPr="00846F78">
              <w:t>4.8%</w:t>
            </w:r>
          </w:p>
        </w:tc>
      </w:tr>
      <w:tr w:rsidR="000140C3" w:rsidRPr="00490C53" w14:paraId="5754CD51" w14:textId="77777777">
        <w:tblPrEx>
          <w:tblCellMar>
            <w:left w:w="108" w:type="dxa"/>
            <w:right w:w="108" w:type="dxa"/>
          </w:tblCellMar>
        </w:tblPrEx>
        <w:tc>
          <w:tcPr>
            <w:tcW w:w="1258" w:type="pct"/>
          </w:tcPr>
          <w:p w14:paraId="3A28DBEA" w14:textId="77777777" w:rsidR="000140C3" w:rsidRPr="00490C53" w:rsidDel="000A1204" w:rsidRDefault="000140C3" w:rsidP="00183388">
            <w:pPr>
              <w:pStyle w:val="Tabletext"/>
            </w:pPr>
            <w:r w:rsidRPr="00846F78">
              <w:t>1m to 5m</w:t>
            </w:r>
          </w:p>
        </w:tc>
        <w:tc>
          <w:tcPr>
            <w:tcW w:w="1256" w:type="pct"/>
          </w:tcPr>
          <w:p w14:paraId="4C897128" w14:textId="77777777" w:rsidR="000140C3" w:rsidRPr="00490C53" w:rsidDel="000A1204" w:rsidRDefault="000140C3" w:rsidP="00183388">
            <w:pPr>
              <w:pStyle w:val="Tabletext"/>
            </w:pPr>
            <w:r w:rsidRPr="00846F78">
              <w:t>4.4%</w:t>
            </w:r>
          </w:p>
        </w:tc>
        <w:tc>
          <w:tcPr>
            <w:tcW w:w="1186" w:type="pct"/>
          </w:tcPr>
          <w:p w14:paraId="4FC6DA81" w14:textId="77777777" w:rsidR="000140C3" w:rsidRPr="00490C53" w:rsidRDefault="000140C3" w:rsidP="00846F78">
            <w:pPr>
              <w:pStyle w:val="Tabletext"/>
              <w:rPr>
                <w:rStyle w:val="Bold"/>
                <w:b w:val="0"/>
              </w:rPr>
            </w:pPr>
            <w:r w:rsidRPr="00846F78">
              <w:t>0.3%</w:t>
            </w:r>
          </w:p>
        </w:tc>
        <w:tc>
          <w:tcPr>
            <w:tcW w:w="1300" w:type="pct"/>
          </w:tcPr>
          <w:p w14:paraId="1AB971F0" w14:textId="77777777" w:rsidR="000140C3" w:rsidRPr="00490C53" w:rsidRDefault="000140C3" w:rsidP="00846F78">
            <w:pPr>
              <w:pStyle w:val="Tabletext"/>
              <w:rPr>
                <w:rStyle w:val="Bold"/>
                <w:b w:val="0"/>
              </w:rPr>
            </w:pPr>
            <w:r w:rsidRPr="00846F78">
              <w:t>4.1%</w:t>
            </w:r>
          </w:p>
        </w:tc>
      </w:tr>
      <w:tr w:rsidR="000140C3" w:rsidRPr="00490C53" w14:paraId="0535312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258" w:type="pct"/>
          </w:tcPr>
          <w:p w14:paraId="6B55810D" w14:textId="77777777" w:rsidR="000140C3" w:rsidRPr="00846F78" w:rsidRDefault="000140C3" w:rsidP="00183388">
            <w:pPr>
              <w:pStyle w:val="Tabletext"/>
            </w:pPr>
            <w:r w:rsidRPr="00846F78">
              <w:t>5m to 25m</w:t>
            </w:r>
          </w:p>
        </w:tc>
        <w:tc>
          <w:tcPr>
            <w:tcW w:w="1256" w:type="pct"/>
          </w:tcPr>
          <w:p w14:paraId="4A44CDC0" w14:textId="77777777" w:rsidR="000140C3" w:rsidRPr="00846F78" w:rsidRDefault="000140C3" w:rsidP="00183388">
            <w:pPr>
              <w:pStyle w:val="Tabletext"/>
            </w:pPr>
            <w:r w:rsidRPr="00846F78">
              <w:t>2.1%</w:t>
            </w:r>
          </w:p>
        </w:tc>
        <w:tc>
          <w:tcPr>
            <w:tcW w:w="1186" w:type="pct"/>
          </w:tcPr>
          <w:p w14:paraId="4C962CAB" w14:textId="77777777" w:rsidR="000140C3" w:rsidRPr="00846F78" w:rsidRDefault="000140C3" w:rsidP="00846F78">
            <w:pPr>
              <w:pStyle w:val="Tabletext"/>
            </w:pPr>
            <w:r w:rsidRPr="00846F78">
              <w:t>0.4%</w:t>
            </w:r>
          </w:p>
        </w:tc>
        <w:tc>
          <w:tcPr>
            <w:tcW w:w="1300" w:type="pct"/>
          </w:tcPr>
          <w:p w14:paraId="383C87DE" w14:textId="77777777" w:rsidR="000140C3" w:rsidRPr="00846F78" w:rsidRDefault="000140C3" w:rsidP="00846F78">
            <w:pPr>
              <w:pStyle w:val="Tabletext"/>
            </w:pPr>
            <w:r w:rsidRPr="00846F78">
              <w:t>1.7%</w:t>
            </w:r>
          </w:p>
        </w:tc>
      </w:tr>
      <w:tr w:rsidR="000140C3" w:rsidRPr="00490C53" w14:paraId="02BFDDA7" w14:textId="77777777">
        <w:tblPrEx>
          <w:tblCellMar>
            <w:left w:w="108" w:type="dxa"/>
            <w:right w:w="108" w:type="dxa"/>
          </w:tblCellMar>
        </w:tblPrEx>
        <w:tc>
          <w:tcPr>
            <w:tcW w:w="1258" w:type="pct"/>
          </w:tcPr>
          <w:p w14:paraId="64AAA4E4" w14:textId="77777777" w:rsidR="000140C3" w:rsidRPr="00846F78" w:rsidRDefault="000140C3" w:rsidP="00183388">
            <w:pPr>
              <w:pStyle w:val="Tabletext"/>
            </w:pPr>
            <w:r w:rsidRPr="00846F78">
              <w:t>25m to 50m</w:t>
            </w:r>
          </w:p>
        </w:tc>
        <w:tc>
          <w:tcPr>
            <w:tcW w:w="1256" w:type="pct"/>
          </w:tcPr>
          <w:p w14:paraId="018499DF" w14:textId="77777777" w:rsidR="000140C3" w:rsidRPr="00846F78" w:rsidRDefault="000140C3" w:rsidP="00183388">
            <w:pPr>
              <w:pStyle w:val="Tabletext"/>
            </w:pPr>
            <w:r w:rsidRPr="00846F78">
              <w:t>1.4%</w:t>
            </w:r>
          </w:p>
        </w:tc>
        <w:tc>
          <w:tcPr>
            <w:tcW w:w="1186" w:type="pct"/>
          </w:tcPr>
          <w:p w14:paraId="570FA7B9" w14:textId="77777777" w:rsidR="000140C3" w:rsidRPr="00846F78" w:rsidRDefault="000140C3" w:rsidP="00846F78">
            <w:pPr>
              <w:pStyle w:val="Tabletext"/>
            </w:pPr>
            <w:r w:rsidRPr="00846F78">
              <w:t>0.3%</w:t>
            </w:r>
          </w:p>
        </w:tc>
        <w:tc>
          <w:tcPr>
            <w:tcW w:w="1300" w:type="pct"/>
          </w:tcPr>
          <w:p w14:paraId="0EA24864" w14:textId="77777777" w:rsidR="000140C3" w:rsidRPr="00846F78" w:rsidRDefault="000140C3" w:rsidP="00846F78">
            <w:pPr>
              <w:pStyle w:val="Tabletext"/>
            </w:pPr>
            <w:r w:rsidRPr="00846F78">
              <w:t>1.2%</w:t>
            </w:r>
          </w:p>
        </w:tc>
      </w:tr>
      <w:tr w:rsidR="000140C3" w:rsidRPr="00490C53" w14:paraId="150F65D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258" w:type="pct"/>
          </w:tcPr>
          <w:p w14:paraId="15A7016C" w14:textId="77777777" w:rsidR="000140C3" w:rsidRPr="00846F78" w:rsidRDefault="000140C3" w:rsidP="00183388">
            <w:pPr>
              <w:pStyle w:val="Tabletext"/>
            </w:pPr>
            <w:r w:rsidRPr="00846F78">
              <w:t>50m to 200m</w:t>
            </w:r>
          </w:p>
        </w:tc>
        <w:tc>
          <w:tcPr>
            <w:tcW w:w="1256" w:type="pct"/>
          </w:tcPr>
          <w:p w14:paraId="42EE5717" w14:textId="77777777" w:rsidR="000140C3" w:rsidRPr="00846F78" w:rsidRDefault="000140C3" w:rsidP="00183388">
            <w:pPr>
              <w:pStyle w:val="Tabletext"/>
            </w:pPr>
            <w:r w:rsidRPr="00846F78">
              <w:t>0.8%</w:t>
            </w:r>
          </w:p>
        </w:tc>
        <w:tc>
          <w:tcPr>
            <w:tcW w:w="1186" w:type="pct"/>
          </w:tcPr>
          <w:p w14:paraId="4C8FE971" w14:textId="77777777" w:rsidR="000140C3" w:rsidRPr="00846F78" w:rsidRDefault="000140C3" w:rsidP="00846F78">
            <w:pPr>
              <w:pStyle w:val="Tabletext"/>
            </w:pPr>
            <w:r w:rsidRPr="00846F78">
              <w:t>0.0%</w:t>
            </w:r>
          </w:p>
        </w:tc>
        <w:tc>
          <w:tcPr>
            <w:tcW w:w="1300" w:type="pct"/>
          </w:tcPr>
          <w:p w14:paraId="47FB76F5" w14:textId="77777777" w:rsidR="000140C3" w:rsidRPr="00846F78" w:rsidRDefault="000140C3" w:rsidP="00846F78">
            <w:pPr>
              <w:pStyle w:val="Tabletext"/>
            </w:pPr>
            <w:r w:rsidRPr="00846F78">
              <w:t>0.8%</w:t>
            </w:r>
          </w:p>
        </w:tc>
      </w:tr>
      <w:tr w:rsidR="000140C3" w:rsidRPr="00490C53" w14:paraId="70ECD633" w14:textId="77777777">
        <w:tblPrEx>
          <w:tblCellMar>
            <w:left w:w="108" w:type="dxa"/>
            <w:right w:w="108" w:type="dxa"/>
          </w:tblCellMar>
        </w:tblPrEx>
        <w:tc>
          <w:tcPr>
            <w:tcW w:w="1258" w:type="pct"/>
          </w:tcPr>
          <w:p w14:paraId="0AC335AA" w14:textId="77777777" w:rsidR="000140C3" w:rsidRPr="00846F78" w:rsidRDefault="000140C3" w:rsidP="00183388">
            <w:pPr>
              <w:pStyle w:val="Tabletext"/>
            </w:pPr>
            <w:r w:rsidRPr="00846F78">
              <w:t>&gt;200m</w:t>
            </w:r>
          </w:p>
        </w:tc>
        <w:tc>
          <w:tcPr>
            <w:tcW w:w="1256" w:type="pct"/>
          </w:tcPr>
          <w:p w14:paraId="7DEE6996" w14:textId="77777777" w:rsidR="000140C3" w:rsidRPr="00846F78" w:rsidRDefault="000140C3" w:rsidP="00183388">
            <w:pPr>
              <w:pStyle w:val="Tabletext"/>
            </w:pPr>
            <w:r w:rsidRPr="00846F78">
              <w:t>0.0%</w:t>
            </w:r>
          </w:p>
        </w:tc>
        <w:tc>
          <w:tcPr>
            <w:tcW w:w="1186" w:type="pct"/>
          </w:tcPr>
          <w:p w14:paraId="3E558D7D" w14:textId="77777777" w:rsidR="000140C3" w:rsidRPr="00846F78" w:rsidRDefault="000140C3" w:rsidP="00846F78">
            <w:pPr>
              <w:pStyle w:val="Tabletext"/>
            </w:pPr>
            <w:r w:rsidRPr="00846F78">
              <w:t>0.0%</w:t>
            </w:r>
          </w:p>
        </w:tc>
        <w:tc>
          <w:tcPr>
            <w:tcW w:w="1300" w:type="pct"/>
          </w:tcPr>
          <w:p w14:paraId="7321C0C2" w14:textId="77777777" w:rsidR="000140C3" w:rsidRPr="00846F78" w:rsidRDefault="000140C3" w:rsidP="00846F78">
            <w:pPr>
              <w:pStyle w:val="Tabletext"/>
            </w:pPr>
            <w:r w:rsidRPr="00846F78">
              <w:t>0.0%</w:t>
            </w:r>
          </w:p>
        </w:tc>
      </w:tr>
      <w:tr w:rsidR="000140C3" w:rsidRPr="00490C53" w14:paraId="0EEB0FA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258" w:type="pct"/>
            <w:vAlign w:val="center"/>
          </w:tcPr>
          <w:p w14:paraId="48E248F4" w14:textId="77777777" w:rsidR="000140C3" w:rsidRPr="00846F78" w:rsidDel="000A1204" w:rsidRDefault="000140C3" w:rsidP="00183388">
            <w:pPr>
              <w:pStyle w:val="Tabletext"/>
              <w:rPr>
                <w:b/>
                <w:bCs/>
              </w:rPr>
            </w:pPr>
            <w:r w:rsidRPr="00490C53">
              <w:rPr>
                <w:b/>
                <w:bCs/>
              </w:rPr>
              <w:t>Weighted average</w:t>
            </w:r>
          </w:p>
        </w:tc>
        <w:tc>
          <w:tcPr>
            <w:tcW w:w="1256" w:type="pct"/>
          </w:tcPr>
          <w:p w14:paraId="2C159E2C" w14:textId="77777777" w:rsidR="000140C3" w:rsidRPr="00846F78" w:rsidDel="000A1204" w:rsidRDefault="000140C3" w:rsidP="00183388">
            <w:pPr>
              <w:pStyle w:val="Tabletext"/>
              <w:rPr>
                <w:b/>
                <w:bCs/>
              </w:rPr>
            </w:pPr>
            <w:r w:rsidRPr="00846F78">
              <w:rPr>
                <w:b/>
                <w:bCs/>
              </w:rPr>
              <w:t>4.9%</w:t>
            </w:r>
          </w:p>
        </w:tc>
        <w:tc>
          <w:tcPr>
            <w:tcW w:w="1186" w:type="pct"/>
          </w:tcPr>
          <w:p w14:paraId="5461B62E" w14:textId="77777777" w:rsidR="000140C3" w:rsidRPr="00846F78" w:rsidRDefault="000140C3" w:rsidP="00846F78">
            <w:pPr>
              <w:pStyle w:val="Tabletext"/>
              <w:rPr>
                <w:rStyle w:val="Bold"/>
                <w:bCs/>
              </w:rPr>
            </w:pPr>
            <w:r w:rsidRPr="00846F78">
              <w:rPr>
                <w:b/>
                <w:bCs/>
              </w:rPr>
              <w:t>0.6%</w:t>
            </w:r>
          </w:p>
        </w:tc>
        <w:tc>
          <w:tcPr>
            <w:tcW w:w="1300" w:type="pct"/>
            <w:vAlign w:val="center"/>
          </w:tcPr>
          <w:p w14:paraId="4396E564" w14:textId="320742E6" w:rsidR="000140C3" w:rsidRPr="00846F78" w:rsidRDefault="000140C3" w:rsidP="00846F78">
            <w:pPr>
              <w:pStyle w:val="Tabletext"/>
              <w:rPr>
                <w:b/>
                <w:bCs/>
              </w:rPr>
            </w:pPr>
            <w:r w:rsidRPr="00490C53">
              <w:rPr>
                <w:b/>
                <w:bCs/>
              </w:rPr>
              <w:t>4.4%</w:t>
            </w:r>
            <w:r w:rsidR="00C3114B">
              <w:rPr>
                <w:rStyle w:val="FootnoteReference"/>
                <w:b/>
                <w:bCs/>
              </w:rPr>
              <w:footnoteReference w:id="161"/>
            </w:r>
          </w:p>
        </w:tc>
      </w:tr>
    </w:tbl>
    <w:p w14:paraId="528AF6F9" w14:textId="763957B1" w:rsidR="00750F0B" w:rsidRPr="00490C53" w:rsidRDefault="00750F0B" w:rsidP="00750F0B">
      <w:pPr>
        <w:pStyle w:val="Caption"/>
      </w:pPr>
      <w:r w:rsidRPr="00490C53">
        <w:t>Source: London Economics’ analysis of IDBR data</w:t>
      </w:r>
      <w:r w:rsidR="00975FAD">
        <w:t xml:space="preserve">, BBB Management Information and BBB Portal Data. </w:t>
      </w:r>
    </w:p>
    <w:p w14:paraId="41250A44" w14:textId="6FC8AD7D" w:rsidR="00610C60" w:rsidRPr="005D5D23" w:rsidRDefault="00725598" w:rsidP="00236B73">
      <w:r w:rsidRPr="00236B73">
        <w:rPr>
          <w:color w:val="142855" w:themeColor="text2"/>
        </w:rPr>
        <w:t>E</w:t>
      </w:r>
      <w:r w:rsidR="00610C60" w:rsidRPr="00236B73">
        <w:rPr>
          <w:color w:val="142855" w:themeColor="text2"/>
        </w:rPr>
        <w:t>stimat</w:t>
      </w:r>
      <w:r w:rsidRPr="00236B73">
        <w:rPr>
          <w:color w:val="142855" w:themeColor="text2"/>
        </w:rPr>
        <w:t>ing</w:t>
      </w:r>
      <w:r w:rsidR="00610C60" w:rsidRPr="00236B73">
        <w:rPr>
          <w:color w:val="142855" w:themeColor="text2"/>
        </w:rPr>
        <w:t xml:space="preserve"> </w:t>
      </w:r>
      <w:r w:rsidR="00D310C4" w:rsidRPr="00236B73">
        <w:rPr>
          <w:color w:val="142855" w:themeColor="text2"/>
        </w:rPr>
        <w:t xml:space="preserve">the </w:t>
      </w:r>
      <w:r w:rsidR="00B94D79" w:rsidRPr="00236B73">
        <w:rPr>
          <w:color w:val="142855" w:themeColor="text2"/>
        </w:rPr>
        <w:t xml:space="preserve">number of </w:t>
      </w:r>
      <w:r w:rsidR="00277FF6" w:rsidRPr="00236B73">
        <w:rPr>
          <w:color w:val="142855" w:themeColor="text2"/>
        </w:rPr>
        <w:t>pre-pandemic jobs among borr</w:t>
      </w:r>
      <w:r w:rsidR="00701BE1" w:rsidRPr="00236B73">
        <w:rPr>
          <w:color w:val="142855" w:themeColor="text2"/>
        </w:rPr>
        <w:t>o</w:t>
      </w:r>
      <w:r w:rsidR="00277FF6" w:rsidRPr="00236B73">
        <w:rPr>
          <w:color w:val="142855" w:themeColor="text2"/>
        </w:rPr>
        <w:t xml:space="preserve">wers that would have </w:t>
      </w:r>
      <w:r w:rsidR="004550ED" w:rsidRPr="00236B73">
        <w:rPr>
          <w:color w:val="142855" w:themeColor="text2"/>
        </w:rPr>
        <w:t xml:space="preserve">permanently closed </w:t>
      </w:r>
      <w:r w:rsidR="00B94D79" w:rsidRPr="00236B73">
        <w:rPr>
          <w:color w:val="142855" w:themeColor="text2"/>
        </w:rPr>
        <w:t>in the absence of the Covid-19 Loan Guarantee Schemes</w:t>
      </w:r>
    </w:p>
    <w:p w14:paraId="7895175E" w14:textId="00B49272" w:rsidR="00277FF6" w:rsidRPr="00490C53" w:rsidRDefault="00D35983" w:rsidP="00610C60">
      <w:r w:rsidRPr="00490C53">
        <w:t>T</w:t>
      </w:r>
      <w:r w:rsidR="003575E1" w:rsidRPr="00490C53">
        <w:t>h</w:t>
      </w:r>
      <w:r w:rsidR="00277FF6" w:rsidRPr="00490C53">
        <w:t xml:space="preserve">is </w:t>
      </w:r>
      <w:r w:rsidR="000B5EA9">
        <w:t>sub-</w:t>
      </w:r>
      <w:r w:rsidR="00277FF6" w:rsidRPr="00490C53">
        <w:t>section outlines the</w:t>
      </w:r>
      <w:r w:rsidR="003575E1" w:rsidRPr="00490C53">
        <w:t xml:space="preserve"> approach used to estimate the </w:t>
      </w:r>
      <w:r w:rsidR="00277FF6" w:rsidRPr="00490C53">
        <w:t xml:space="preserve">number of pre-pandemic jobs among borrowers that would have </w:t>
      </w:r>
      <w:r w:rsidR="004550ED">
        <w:t>permanently closed</w:t>
      </w:r>
      <w:r w:rsidR="004550ED" w:rsidRPr="00490C53">
        <w:t xml:space="preserve"> </w:t>
      </w:r>
      <w:r w:rsidR="00083C2A">
        <w:t>between April 2020 and March 2021</w:t>
      </w:r>
      <w:r w:rsidR="00277FF6" w:rsidRPr="00490C53">
        <w:t xml:space="preserve"> in the absence of the Covid-19 Loan Guarantee Schemes.</w:t>
      </w:r>
    </w:p>
    <w:p w14:paraId="13C5A184" w14:textId="4319B286" w:rsidR="004E3CD1" w:rsidRPr="00490C53" w:rsidRDefault="002770EF" w:rsidP="00610C60">
      <w:r w:rsidRPr="00490C53">
        <w:t xml:space="preserve">First, </w:t>
      </w:r>
      <w:r w:rsidR="003F3574" w:rsidRPr="00490C53">
        <w:t xml:space="preserve">the </w:t>
      </w:r>
      <w:r w:rsidR="00C42B52">
        <w:t>proportion</w:t>
      </w:r>
      <w:r w:rsidR="00C42B52" w:rsidRPr="00490C53">
        <w:t xml:space="preserve"> </w:t>
      </w:r>
      <w:r w:rsidR="00C42B52">
        <w:t xml:space="preserve">of </w:t>
      </w:r>
      <w:r w:rsidR="00262027" w:rsidRPr="00490C53">
        <w:t xml:space="preserve">pre-pandemic jobs among borrowers that would have </w:t>
      </w:r>
      <w:r w:rsidR="004550ED">
        <w:t>permanently closed</w:t>
      </w:r>
      <w:r w:rsidR="004550ED" w:rsidRPr="00490C53">
        <w:t xml:space="preserve"> </w:t>
      </w:r>
      <w:r w:rsidR="00262027" w:rsidRPr="00490C53">
        <w:t xml:space="preserve">in the absence of the schemes </w:t>
      </w:r>
      <w:r w:rsidR="00D67C03" w:rsidRPr="00490C53">
        <w:t xml:space="preserve">is </w:t>
      </w:r>
      <w:r w:rsidR="0007122C" w:rsidRPr="00490C53">
        <w:t xml:space="preserve">estimated </w:t>
      </w:r>
      <w:r w:rsidR="00DA00C6">
        <w:t xml:space="preserve">by calculating the difference </w:t>
      </w:r>
      <w:r w:rsidR="00AD4609">
        <w:t xml:space="preserve">between the share of total </w:t>
      </w:r>
      <w:r w:rsidR="00D748F4">
        <w:t xml:space="preserve">pre-pandemic </w:t>
      </w:r>
      <w:r w:rsidR="00A56D6C">
        <w:t xml:space="preserve">non-borrower </w:t>
      </w:r>
      <w:r w:rsidR="00AD4609">
        <w:t xml:space="preserve">employment among non-borrowers that </w:t>
      </w:r>
      <w:r w:rsidR="004550ED">
        <w:t xml:space="preserve">permanently closed </w:t>
      </w:r>
      <w:r w:rsidR="00AD4609">
        <w:t xml:space="preserve">and the corresponding share among borrowers that </w:t>
      </w:r>
      <w:r w:rsidR="004550ED">
        <w:t>permanently closed</w:t>
      </w:r>
      <w:r w:rsidR="00AD4609">
        <w:t xml:space="preserve">. </w:t>
      </w:r>
      <w:r w:rsidR="00DA00C6">
        <w:t xml:space="preserve">This is </w:t>
      </w:r>
      <w:proofErr w:type="gramStart"/>
      <w:r w:rsidR="0007122C" w:rsidRPr="00490C53">
        <w:t>similar to</w:t>
      </w:r>
      <w:proofErr w:type="gramEnd"/>
      <w:r w:rsidR="0007122C" w:rsidRPr="00490C53">
        <w:t xml:space="preserve"> </w:t>
      </w:r>
      <w:r w:rsidR="00156865" w:rsidRPr="00490C53">
        <w:t xml:space="preserve">the </w:t>
      </w:r>
      <w:r w:rsidR="00DA00C6">
        <w:t xml:space="preserve">method used to </w:t>
      </w:r>
      <w:r w:rsidR="00AD4609">
        <w:t>estimate the</w:t>
      </w:r>
      <w:r w:rsidR="00DA00C6">
        <w:t xml:space="preserve"> </w:t>
      </w:r>
      <w:r w:rsidR="00156865" w:rsidRPr="00490C53">
        <w:t xml:space="preserve">impact </w:t>
      </w:r>
      <w:r w:rsidR="003D200F" w:rsidRPr="00490C53">
        <w:t xml:space="preserve">of the </w:t>
      </w:r>
      <w:r w:rsidR="00EA2408" w:rsidRPr="00490C53">
        <w:t xml:space="preserve">BBLS and CBILS/CLBILS </w:t>
      </w:r>
      <w:r w:rsidR="00156865" w:rsidRPr="00490C53">
        <w:t xml:space="preserve">on business </w:t>
      </w:r>
      <w:r w:rsidR="004550ED">
        <w:t>closure</w:t>
      </w:r>
      <w:r w:rsidR="004550ED" w:rsidRPr="00490C53">
        <w:t xml:space="preserve"> </w:t>
      </w:r>
      <w:r w:rsidR="00156865" w:rsidRPr="00490C53">
        <w:t xml:space="preserve">rates (discussed above), except that </w:t>
      </w:r>
      <w:r w:rsidR="004550ED">
        <w:t>closure</w:t>
      </w:r>
      <w:r w:rsidR="004550ED" w:rsidRPr="00490C53">
        <w:t xml:space="preserve"> </w:t>
      </w:r>
      <w:r w:rsidR="00FF41BE" w:rsidRPr="00490C53">
        <w:t xml:space="preserve">rates are replaced with </w:t>
      </w:r>
      <w:r w:rsidR="00746C8E" w:rsidRPr="00490C53">
        <w:t xml:space="preserve">the share of </w:t>
      </w:r>
      <w:r w:rsidR="00D748F4">
        <w:t>pre-pandemic</w:t>
      </w:r>
      <w:r w:rsidR="00D748F4" w:rsidRPr="00490C53">
        <w:t xml:space="preserve"> </w:t>
      </w:r>
      <w:r w:rsidR="00746C8E" w:rsidRPr="00490C53">
        <w:lastRenderedPageBreak/>
        <w:t>employment</w:t>
      </w:r>
      <w:r w:rsidR="00D45C8D" w:rsidRPr="00490C53">
        <w:t xml:space="preserve"> within firms that </w:t>
      </w:r>
      <w:r w:rsidR="004550ED">
        <w:t>permanently closed</w:t>
      </w:r>
      <w:r w:rsidR="004550ED" w:rsidRPr="00490C53">
        <w:t xml:space="preserve"> </w:t>
      </w:r>
      <w:r w:rsidR="00D45C8D" w:rsidRPr="00490C53">
        <w:t>between 1</w:t>
      </w:r>
      <w:r w:rsidR="00D45C8D" w:rsidRPr="00490C53">
        <w:rPr>
          <w:vertAlign w:val="superscript"/>
        </w:rPr>
        <w:t>st</w:t>
      </w:r>
      <w:r w:rsidR="00D45C8D" w:rsidRPr="00490C53">
        <w:t xml:space="preserve"> April 2020 and 31</w:t>
      </w:r>
      <w:r w:rsidR="00D45C8D" w:rsidRPr="00490C53">
        <w:rPr>
          <w:vertAlign w:val="superscript"/>
        </w:rPr>
        <w:t>st</w:t>
      </w:r>
      <w:r w:rsidR="00D45C8D" w:rsidRPr="00490C53">
        <w:t xml:space="preserve"> March 2021</w:t>
      </w:r>
      <w:r w:rsidR="00AD0F43" w:rsidRPr="00490C53">
        <w:t xml:space="preserve">, as a proportion of </w:t>
      </w:r>
      <w:r w:rsidR="00272906" w:rsidRPr="00490C53">
        <w:t xml:space="preserve">total </w:t>
      </w:r>
      <w:r w:rsidR="00D748F4">
        <w:t>pre-pandemic</w:t>
      </w:r>
      <w:r w:rsidR="00D748F4" w:rsidRPr="00490C53">
        <w:t xml:space="preserve"> </w:t>
      </w:r>
      <w:r w:rsidR="00602654" w:rsidRPr="00490C53">
        <w:t>employment.</w:t>
      </w:r>
    </w:p>
    <w:p w14:paraId="3B24D218" w14:textId="4BE294C6" w:rsidR="009E5B90" w:rsidRDefault="009E5B90" w:rsidP="00610C60">
      <w:r w:rsidRPr="00490C53">
        <w:t xml:space="preserve">Second, this proportion is scaled by an estimate of total </w:t>
      </w:r>
      <w:r w:rsidR="00D748F4">
        <w:t>pre-pandemic</w:t>
      </w:r>
      <w:r w:rsidR="00D748F4" w:rsidRPr="00490C53">
        <w:t xml:space="preserve"> </w:t>
      </w:r>
      <w:r w:rsidR="00694D50" w:rsidRPr="00490C53">
        <w:t xml:space="preserve">employment among borrowers. This is estimated as </w:t>
      </w:r>
      <w:r w:rsidR="006845D7" w:rsidRPr="00490C53">
        <w:t xml:space="preserve">the average employment </w:t>
      </w:r>
      <w:r w:rsidR="00C42B52">
        <w:t xml:space="preserve">of borrowers </w:t>
      </w:r>
      <w:r w:rsidR="006845D7" w:rsidRPr="00490C53">
        <w:t>within the sample</w:t>
      </w:r>
      <w:r w:rsidR="00694D50" w:rsidRPr="00490C53">
        <w:t xml:space="preserve"> multiplied by the </w:t>
      </w:r>
      <w:r w:rsidR="006845D7" w:rsidRPr="00490C53">
        <w:t>total number of borrowers, based on BBB Management Information.</w:t>
      </w:r>
    </w:p>
    <w:p w14:paraId="1F3339EB" w14:textId="3755062E" w:rsidR="00DA00C6" w:rsidRPr="00490C53" w:rsidRDefault="00DA00C6" w:rsidP="00610C60">
      <w:r>
        <w:t xml:space="preserve">As a hypothetical example, if there </w:t>
      </w:r>
      <w:r w:rsidR="00181E0E">
        <w:t>were</w:t>
      </w:r>
      <w:r>
        <w:t xml:space="preserve"> 100,000 borrowers </w:t>
      </w:r>
      <w:r w:rsidR="00181E0E">
        <w:t>with</w:t>
      </w:r>
      <w:r>
        <w:t xml:space="preserve"> an average of 10 employees each, then total </w:t>
      </w:r>
      <w:r w:rsidR="00D748F4">
        <w:t>pre-pandemic</w:t>
      </w:r>
      <w:r w:rsidR="00D748F4" w:rsidRPr="00490C53">
        <w:t xml:space="preserve"> </w:t>
      </w:r>
      <w:r>
        <w:t xml:space="preserve">employment among borrowers would be 1,000,000. Then, if </w:t>
      </w:r>
      <w:r w:rsidR="00181E0E">
        <w:t>20</w:t>
      </w:r>
      <w:r>
        <w:t xml:space="preserve">% of total </w:t>
      </w:r>
      <w:r w:rsidR="00D748F4">
        <w:t>pre-pandemic</w:t>
      </w:r>
      <w:r w:rsidR="00D748F4" w:rsidRPr="00490C53">
        <w:t xml:space="preserve"> </w:t>
      </w:r>
      <w:r>
        <w:t xml:space="preserve">non-borrower employment was among non-borrowers that </w:t>
      </w:r>
      <w:r w:rsidR="004550ED">
        <w:t xml:space="preserve">permanently closed </w:t>
      </w:r>
      <w:r>
        <w:t xml:space="preserve">and </w:t>
      </w:r>
      <w:r w:rsidR="00E94D4D">
        <w:t>1</w:t>
      </w:r>
      <w:r>
        <w:t xml:space="preserve">0% of total </w:t>
      </w:r>
      <w:r w:rsidR="00D748F4">
        <w:t>pre-pandemic</w:t>
      </w:r>
      <w:r w:rsidR="00D748F4" w:rsidRPr="00490C53">
        <w:t xml:space="preserve"> </w:t>
      </w:r>
      <w:r>
        <w:t xml:space="preserve">borrower employment was among borrowers that </w:t>
      </w:r>
      <w:r w:rsidR="004550ED">
        <w:t>permanently closed</w:t>
      </w:r>
      <w:r>
        <w:t xml:space="preserve">, then it is assumed that </w:t>
      </w:r>
      <w:r w:rsidR="007F711A">
        <w:t>additional</w:t>
      </w:r>
      <w:r>
        <w:t xml:space="preserve"> </w:t>
      </w:r>
      <w:r w:rsidR="007F711A">
        <w:t xml:space="preserve">borrowers that would have closed in the absence of the schemes accounted for </w:t>
      </w:r>
      <w:r w:rsidR="00181E0E">
        <w:t>1</w:t>
      </w:r>
      <w:r>
        <w:t xml:space="preserve">0% </w:t>
      </w:r>
      <w:r w:rsidR="00181E0E">
        <w:t>(2</w:t>
      </w:r>
      <w:r>
        <w:t xml:space="preserve">0% minus </w:t>
      </w:r>
      <w:r w:rsidR="00E94D4D">
        <w:t>1</w:t>
      </w:r>
      <w:r>
        <w:t xml:space="preserve">0%) of total </w:t>
      </w:r>
      <w:r w:rsidR="00D748F4">
        <w:t>pre-pandemic</w:t>
      </w:r>
      <w:r w:rsidR="00D748F4" w:rsidRPr="00490C53">
        <w:t xml:space="preserve"> </w:t>
      </w:r>
      <w:r>
        <w:t xml:space="preserve">borrower employment. Therefore, the number of pre-pandemic jobs among borrowers that would have </w:t>
      </w:r>
      <w:r w:rsidR="004550ED">
        <w:t xml:space="preserve">permanently closed </w:t>
      </w:r>
      <w:r>
        <w:t xml:space="preserve">is calculated as 1,000,000 multiplied by </w:t>
      </w:r>
      <w:r w:rsidR="00181E0E">
        <w:t>1</w:t>
      </w:r>
      <w:r>
        <w:t xml:space="preserve">0%, which is </w:t>
      </w:r>
      <w:r w:rsidR="00181E0E">
        <w:t>1</w:t>
      </w:r>
      <w:r>
        <w:t>00,000.</w:t>
      </w:r>
    </w:p>
    <w:p w14:paraId="4507B875" w14:textId="7FE32872" w:rsidR="00610C60" w:rsidRPr="00490C53" w:rsidRDefault="00570595" w:rsidP="00610C60">
      <w:r w:rsidRPr="00490C53">
        <w:t xml:space="preserve">As </w:t>
      </w:r>
      <w:r w:rsidR="00753040" w:rsidRPr="00490C53">
        <w:t xml:space="preserve">with the estimation of business </w:t>
      </w:r>
      <w:r w:rsidR="004550ED">
        <w:t>closure</w:t>
      </w:r>
      <w:r w:rsidR="004550ED" w:rsidRPr="00490C53">
        <w:t xml:space="preserve"> </w:t>
      </w:r>
      <w:r w:rsidR="00753040" w:rsidRPr="00490C53">
        <w:t xml:space="preserve">rates, </w:t>
      </w:r>
      <w:r w:rsidR="00471E04" w:rsidRPr="00490C53">
        <w:t xml:space="preserve">this calculation </w:t>
      </w:r>
      <w:r w:rsidR="00C42B52">
        <w:t xml:space="preserve">was </w:t>
      </w:r>
      <w:r w:rsidR="00471E04" w:rsidRPr="00490C53">
        <w:t xml:space="preserve">undertaken separately within </w:t>
      </w:r>
      <w:r w:rsidR="00ED53C5" w:rsidRPr="00490C53">
        <w:t>individual</w:t>
      </w:r>
      <w:r w:rsidR="00471E04" w:rsidRPr="00490C53">
        <w:t xml:space="preserve"> turnover bands</w:t>
      </w:r>
      <w:r w:rsidR="00ED53C5" w:rsidRPr="00490C53">
        <w:t xml:space="preserve"> </w:t>
      </w:r>
      <m:oMath>
        <m:r>
          <w:rPr>
            <w:rFonts w:ascii="Cambria Math" w:hAnsi="Cambria Math"/>
          </w:rPr>
          <m:t>b</m:t>
        </m:r>
      </m:oMath>
      <w:r w:rsidR="00471E04" w:rsidRPr="00490C53">
        <w:t xml:space="preserve">, </w:t>
      </w:r>
      <w:r w:rsidR="007F40CE" w:rsidRPr="00490C53">
        <w:t>before being aggregated across</w:t>
      </w:r>
      <w:r w:rsidR="00ED53C5" w:rsidRPr="00490C53">
        <w:t xml:space="preserve"> all </w:t>
      </w:r>
      <m:oMath>
        <m:r>
          <w:rPr>
            <w:rFonts w:ascii="Cambria Math" w:hAnsi="Cambria Math"/>
          </w:rPr>
          <m:t>B</m:t>
        </m:r>
      </m:oMath>
      <w:r w:rsidR="007F40CE" w:rsidRPr="00490C53">
        <w:t xml:space="preserve"> turnover bands. </w:t>
      </w:r>
      <w:r w:rsidR="004C732B" w:rsidRPr="00490C53">
        <w:t>T</w:t>
      </w:r>
      <w:r w:rsidR="00610C60" w:rsidRPr="00490C53">
        <w:t xml:space="preserve">he </w:t>
      </w:r>
      <w:r w:rsidR="00D91856" w:rsidRPr="00490C53">
        <w:t xml:space="preserve">calculation – undertaken separately for BBLS and CBILS/CLBILS – </w:t>
      </w:r>
      <w:r w:rsidR="00610C60" w:rsidRPr="00490C53">
        <w:t>is as follows:</w:t>
      </w:r>
    </w:p>
    <w:p w14:paraId="543C2D9B" w14:textId="50184337" w:rsidR="00610C60" w:rsidRPr="00846F78" w:rsidRDefault="00610C60" w:rsidP="00610C60">
      <w:pPr>
        <w:rPr>
          <w:rFonts w:eastAsiaTheme="minorEastAsia"/>
        </w:rPr>
      </w:pPr>
      <m:oMathPara>
        <m:oMath>
          <m:r>
            <w:rPr>
              <w:rFonts w:ascii="Cambria Math" w:hAnsi="Cambria Math"/>
            </w:rPr>
            <m:t xml:space="preserve">number of pre-pandemic jobs among borrowers that would have died by March 2021= </m:t>
          </m:r>
          <m:nary>
            <m:naryPr>
              <m:chr m:val="∑"/>
              <m:limLoc m:val="undOvr"/>
              <m:ctrlPr>
                <w:rPr>
                  <w:rFonts w:ascii="Cambria Math" w:hAnsi="Cambria Math"/>
                  <w:i/>
                </w:rPr>
              </m:ctrlPr>
            </m:naryPr>
            <m:sub>
              <m:r>
                <w:rPr>
                  <w:rFonts w:ascii="Cambria Math" w:hAnsi="Cambria Math"/>
                </w:rPr>
                <m:t>b=1</m:t>
              </m:r>
            </m:sub>
            <m:sup>
              <m:r>
                <w:rPr>
                  <w:rFonts w:ascii="Cambria Math" w:hAnsi="Cambria Math"/>
                </w:rPr>
                <m:t>B</m:t>
              </m:r>
            </m:sup>
            <m:e>
              <m:sSub>
                <m:sSubPr>
                  <m:ctrlPr>
                    <w:rPr>
                      <w:rFonts w:ascii="Cambria Math" w:hAnsi="Cambria Math"/>
                      <w:i/>
                    </w:rPr>
                  </m:ctrlPr>
                </m:sSubPr>
                <m:e>
                  <m:r>
                    <w:rPr>
                      <w:rFonts w:ascii="Cambria Math" w:hAnsi="Cambria Math"/>
                    </w:rPr>
                    <m:t>average pre-pandemic employment</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number of businesses</m:t>
                  </m:r>
                </m:e>
                <m:sub>
                  <m:r>
                    <w:rPr>
                      <w:rFonts w:ascii="Cambria Math" w:hAnsi="Cambria Math"/>
                    </w:rPr>
                    <m:t>b</m:t>
                  </m:r>
                </m:sub>
              </m:sSub>
              <m:r>
                <w:rPr>
                  <w:rFonts w:ascii="Cambria Math" w:hAnsi="Cambria Math"/>
                </w:rPr>
                <m:t>*(</m:t>
              </m:r>
              <m:sSubSup>
                <m:sSubSupPr>
                  <m:ctrlPr>
                    <w:rPr>
                      <w:rFonts w:ascii="Cambria Math" w:hAnsi="Cambria Math"/>
                      <w:i/>
                    </w:rPr>
                  </m:ctrlPr>
                </m:sSubSupPr>
                <m:e>
                  <m:r>
                    <w:rPr>
                      <w:rFonts w:ascii="Cambria Math" w:hAnsi="Cambria Math"/>
                    </w:rPr>
                    <m:t>share of pre-pandemic employment among firms that died</m:t>
                  </m:r>
                </m:e>
                <m:sub>
                  <m:r>
                    <w:rPr>
                      <w:rFonts w:ascii="Cambria Math" w:hAnsi="Cambria Math"/>
                    </w:rPr>
                    <m:t>b</m:t>
                  </m:r>
                </m:sub>
                <m:sup>
                  <m:r>
                    <w:rPr>
                      <w:rFonts w:ascii="Cambria Math" w:hAnsi="Cambria Math"/>
                    </w:rPr>
                    <m:t>non-borrowers</m:t>
                  </m:r>
                </m:sup>
              </m:sSubSup>
              <m:r>
                <w:rPr>
                  <w:rFonts w:ascii="Cambria Math" w:hAnsi="Cambria Math"/>
                </w:rPr>
                <m:t>-</m:t>
              </m:r>
              <m:sSubSup>
                <m:sSubSupPr>
                  <m:ctrlPr>
                    <w:rPr>
                      <w:rFonts w:ascii="Cambria Math" w:hAnsi="Cambria Math"/>
                      <w:i/>
                    </w:rPr>
                  </m:ctrlPr>
                </m:sSubSupPr>
                <m:e>
                  <m:r>
                    <w:rPr>
                      <w:rFonts w:ascii="Cambria Math" w:hAnsi="Cambria Math"/>
                    </w:rPr>
                    <m:t>share of pre-pandemic employment among firms that died</m:t>
                  </m:r>
                </m:e>
                <m:sub>
                  <m:r>
                    <w:rPr>
                      <w:rFonts w:ascii="Cambria Math" w:hAnsi="Cambria Math"/>
                    </w:rPr>
                    <m:t>b</m:t>
                  </m:r>
                </m:sub>
                <m:sup>
                  <m:r>
                    <w:rPr>
                      <w:rFonts w:ascii="Cambria Math" w:hAnsi="Cambria Math"/>
                    </w:rPr>
                    <m:t>borrowers</m:t>
                  </m:r>
                </m:sup>
              </m:sSubSup>
              <m:r>
                <w:rPr>
                  <w:rFonts w:ascii="Cambria Math" w:hAnsi="Cambria Math"/>
                </w:rPr>
                <m:t>)</m:t>
              </m:r>
            </m:e>
          </m:nary>
        </m:oMath>
      </m:oMathPara>
    </w:p>
    <w:p w14:paraId="23AE69A1" w14:textId="241F897A" w:rsidR="00610C60" w:rsidRPr="00846F78" w:rsidRDefault="0000288C" w:rsidP="00610C60">
      <w:pPr>
        <w:pStyle w:val="ListBullet"/>
        <w:rPr>
          <w:rFonts w:cstheme="minorHAnsi"/>
        </w:rPr>
      </w:pPr>
      <m:oMath>
        <m:r>
          <w:rPr>
            <w:rFonts w:ascii="Cambria Math" w:hAnsi="Cambria Math"/>
          </w:rPr>
          <m:t>average pre-pandemic employment</m:t>
        </m:r>
      </m:oMath>
      <w:r w:rsidR="00610C60" w:rsidRPr="00846F78">
        <w:rPr>
          <w:rFonts w:cstheme="minorHAnsi"/>
        </w:rPr>
        <w:t xml:space="preserve"> refers to </w:t>
      </w:r>
      <w:r w:rsidR="00DA00C6">
        <w:rPr>
          <w:rFonts w:cstheme="minorHAnsi"/>
        </w:rPr>
        <w:t xml:space="preserve">the </w:t>
      </w:r>
      <w:r w:rsidR="00610C60" w:rsidRPr="00846F78">
        <w:rPr>
          <w:rFonts w:cstheme="minorHAnsi"/>
        </w:rPr>
        <w:t xml:space="preserve">average employment of </w:t>
      </w:r>
      <w:r w:rsidR="00CA0B43" w:rsidRPr="00846F78">
        <w:rPr>
          <w:rFonts w:cstheme="minorHAnsi"/>
        </w:rPr>
        <w:t xml:space="preserve">borrowers </w:t>
      </w:r>
      <w:r w:rsidR="00610C60" w:rsidRPr="00846F78">
        <w:rPr>
          <w:rFonts w:cstheme="minorHAnsi"/>
        </w:rPr>
        <w:t>within each turnover band</w:t>
      </w:r>
      <w:r w:rsidR="002372BE" w:rsidRPr="00846F78">
        <w:rPr>
          <w:rFonts w:cstheme="minorHAnsi"/>
        </w:rPr>
        <w:t xml:space="preserve"> </w:t>
      </w:r>
      <m:oMath>
        <m:r>
          <w:rPr>
            <w:rFonts w:ascii="Cambria Math" w:hAnsi="Cambria Math"/>
          </w:rPr>
          <m:t>b</m:t>
        </m:r>
      </m:oMath>
      <w:r w:rsidR="00610C60" w:rsidRPr="00846F78">
        <w:rPr>
          <w:rFonts w:cstheme="minorHAnsi"/>
        </w:rPr>
        <w:t xml:space="preserve">, calculated using the </w:t>
      </w:r>
      <w:proofErr w:type="gramStart"/>
      <w:r w:rsidR="00610C60" w:rsidRPr="00846F78">
        <w:rPr>
          <w:rFonts w:cstheme="minorHAnsi"/>
        </w:rPr>
        <w:t>IDBR</w:t>
      </w:r>
      <w:r w:rsidR="008D627E" w:rsidRPr="00846F78">
        <w:rPr>
          <w:rFonts w:cstheme="minorHAnsi"/>
        </w:rPr>
        <w:t>;</w:t>
      </w:r>
      <w:proofErr w:type="gramEnd"/>
    </w:p>
    <w:p w14:paraId="7517028D" w14:textId="31C6B4AB" w:rsidR="00610C60" w:rsidRPr="00846F78" w:rsidRDefault="0000288C" w:rsidP="00610C60">
      <w:pPr>
        <w:pStyle w:val="ListBullet"/>
        <w:rPr>
          <w:rFonts w:cstheme="minorHAnsi"/>
        </w:rPr>
      </w:pPr>
      <m:oMath>
        <m:r>
          <w:rPr>
            <w:rFonts w:ascii="Cambria Math" w:hAnsi="Cambria Math"/>
          </w:rPr>
          <m:t>number of businesses</m:t>
        </m:r>
      </m:oMath>
      <w:r w:rsidR="00610C60" w:rsidRPr="00846F78">
        <w:rPr>
          <w:rFonts w:cstheme="minorHAnsi"/>
        </w:rPr>
        <w:t xml:space="preserve"> refers to the number of businesses within each turnover band </w:t>
      </w:r>
      <m:oMath>
        <m:r>
          <w:rPr>
            <w:rFonts w:ascii="Cambria Math" w:hAnsi="Cambria Math"/>
          </w:rPr>
          <m:t>b</m:t>
        </m:r>
      </m:oMath>
      <w:r w:rsidR="002372BE" w:rsidRPr="00846F78">
        <w:rPr>
          <w:rFonts w:eastAsiaTheme="minorEastAsia" w:cstheme="minorHAnsi"/>
        </w:rPr>
        <w:t xml:space="preserve"> </w:t>
      </w:r>
      <w:r w:rsidR="00610C60" w:rsidRPr="00846F78">
        <w:rPr>
          <w:rFonts w:cstheme="minorHAnsi"/>
        </w:rPr>
        <w:t xml:space="preserve">as provided in BBB Management </w:t>
      </w:r>
      <w:proofErr w:type="gramStart"/>
      <w:r w:rsidR="00610C60" w:rsidRPr="00846F78">
        <w:rPr>
          <w:rFonts w:cstheme="minorHAnsi"/>
        </w:rPr>
        <w:t>Information</w:t>
      </w:r>
      <w:r w:rsidR="008D627E" w:rsidRPr="00846F78">
        <w:rPr>
          <w:rFonts w:cstheme="minorHAnsi"/>
        </w:rPr>
        <w:t>;</w:t>
      </w:r>
      <w:proofErr w:type="gramEnd"/>
    </w:p>
    <w:p w14:paraId="0EC9DCDA" w14:textId="7E0F42C2" w:rsidR="00610C60" w:rsidRPr="00846F78" w:rsidRDefault="0000288C" w:rsidP="00610C60">
      <w:pPr>
        <w:pStyle w:val="ListBullet"/>
        <w:rPr>
          <w:rFonts w:cstheme="minorHAnsi"/>
        </w:rPr>
      </w:pPr>
      <m:oMath>
        <m:r>
          <w:rPr>
            <w:rFonts w:ascii="Cambria Math" w:hAnsi="Cambria Math"/>
          </w:rPr>
          <m:t>share of pre-pandemic employment among firms that died</m:t>
        </m:r>
      </m:oMath>
      <w:r w:rsidR="00C87327" w:rsidRPr="00846F78">
        <w:rPr>
          <w:rFonts w:eastAsiaTheme="minorEastAsia" w:cstheme="minorHAnsi"/>
        </w:rPr>
        <w:t xml:space="preserve"> </w:t>
      </w:r>
      <w:r w:rsidR="009D2EE9" w:rsidRPr="00846F78">
        <w:rPr>
          <w:rFonts w:eastAsiaTheme="minorEastAsia" w:cstheme="minorHAnsi"/>
        </w:rPr>
        <w:t xml:space="preserve">refers to </w:t>
      </w:r>
      <w:r w:rsidR="00CF0950" w:rsidRPr="00846F78">
        <w:rPr>
          <w:rFonts w:eastAsiaTheme="minorEastAsia" w:cstheme="minorHAnsi"/>
        </w:rPr>
        <w:t xml:space="preserve">the </w:t>
      </w:r>
      <w:r w:rsidR="00B41F57" w:rsidRPr="00846F78">
        <w:rPr>
          <w:rFonts w:eastAsiaTheme="minorEastAsia" w:cstheme="minorHAnsi"/>
        </w:rPr>
        <w:t>share</w:t>
      </w:r>
      <w:r w:rsidR="00CF0950" w:rsidRPr="00846F78">
        <w:rPr>
          <w:rFonts w:eastAsiaTheme="minorEastAsia" w:cstheme="minorHAnsi"/>
        </w:rPr>
        <w:t xml:space="preserve"> of </w:t>
      </w:r>
      <w:r w:rsidR="00D748F4">
        <w:t>pre-pandemic</w:t>
      </w:r>
      <w:r w:rsidR="00D748F4" w:rsidRPr="00490C53">
        <w:t xml:space="preserve"> </w:t>
      </w:r>
      <w:r w:rsidR="00CF0950" w:rsidRPr="00846F78">
        <w:rPr>
          <w:rFonts w:eastAsiaTheme="minorEastAsia" w:cstheme="minorHAnsi"/>
        </w:rPr>
        <w:t xml:space="preserve">employment </w:t>
      </w:r>
      <w:r w:rsidR="00884A1D" w:rsidRPr="00846F78">
        <w:rPr>
          <w:rFonts w:eastAsiaTheme="minorEastAsia" w:cstheme="minorHAnsi"/>
        </w:rPr>
        <w:t xml:space="preserve">in firms that </w:t>
      </w:r>
      <w:r w:rsidR="004550ED">
        <w:rPr>
          <w:rFonts w:eastAsiaTheme="minorEastAsia" w:cstheme="minorHAnsi"/>
        </w:rPr>
        <w:t>permanently closed</w:t>
      </w:r>
      <w:r w:rsidR="004550ED" w:rsidRPr="00846F78">
        <w:rPr>
          <w:rFonts w:eastAsiaTheme="minorEastAsia" w:cstheme="minorHAnsi"/>
        </w:rPr>
        <w:t xml:space="preserve"> </w:t>
      </w:r>
      <w:r w:rsidR="00884A1D" w:rsidRPr="00490C53">
        <w:t>between 1</w:t>
      </w:r>
      <w:r w:rsidR="00884A1D" w:rsidRPr="00490C53">
        <w:rPr>
          <w:vertAlign w:val="superscript"/>
        </w:rPr>
        <w:t>st</w:t>
      </w:r>
      <w:r w:rsidR="00884A1D" w:rsidRPr="00490C53">
        <w:t xml:space="preserve"> April 2020 and 31</w:t>
      </w:r>
      <w:r w:rsidR="00884A1D" w:rsidRPr="00490C53">
        <w:rPr>
          <w:vertAlign w:val="superscript"/>
        </w:rPr>
        <w:t>st</w:t>
      </w:r>
      <w:r w:rsidR="00884A1D" w:rsidRPr="00490C53">
        <w:t xml:space="preserve"> March 2021</w:t>
      </w:r>
      <w:r w:rsidR="00AB4C0C" w:rsidRPr="00490C53">
        <w:t xml:space="preserve">, as a proportion of total employment of firms active in </w:t>
      </w:r>
      <w:r w:rsidR="00D748F4">
        <w:t>the first year of the pandemic</w:t>
      </w:r>
      <w:r w:rsidR="00AB4C0C" w:rsidRPr="00490C53">
        <w:t xml:space="preserve">. </w:t>
      </w:r>
      <w:r w:rsidR="00B9647D" w:rsidRPr="00490C53">
        <w:t>This is also calculated</w:t>
      </w:r>
      <w:r w:rsidR="00610C60" w:rsidRPr="00846F78">
        <w:rPr>
          <w:rFonts w:cstheme="minorHAnsi"/>
        </w:rPr>
        <w:t xml:space="preserve"> within each turnover band</w:t>
      </w:r>
      <w:r w:rsidR="002372BE" w:rsidRPr="00846F78">
        <w:rPr>
          <w:rFonts w:cstheme="minorHAnsi"/>
        </w:rPr>
        <w:t xml:space="preserve"> </w:t>
      </w:r>
      <m:oMath>
        <m:r>
          <w:rPr>
            <w:rFonts w:ascii="Cambria Math" w:hAnsi="Cambria Math"/>
          </w:rPr>
          <m:t>b</m:t>
        </m:r>
      </m:oMath>
      <w:r w:rsidR="00610C60" w:rsidRPr="00846F78">
        <w:rPr>
          <w:rFonts w:cstheme="minorHAnsi"/>
        </w:rPr>
        <w:t>,</w:t>
      </w:r>
      <w:r w:rsidR="00B9647D" w:rsidRPr="00846F78">
        <w:rPr>
          <w:rFonts w:cstheme="minorHAnsi"/>
        </w:rPr>
        <w:t xml:space="preserve"> </w:t>
      </w:r>
      <w:r w:rsidR="00610C60" w:rsidRPr="00846F78">
        <w:rPr>
          <w:rFonts w:cstheme="minorHAnsi"/>
        </w:rPr>
        <w:t>using the IDBR</w:t>
      </w:r>
      <w:r w:rsidR="008D627E" w:rsidRPr="00846F78">
        <w:rPr>
          <w:rFonts w:cstheme="minorHAnsi"/>
        </w:rPr>
        <w:t>.</w:t>
      </w:r>
      <w:r w:rsidR="00DA00C6">
        <w:rPr>
          <w:rFonts w:cstheme="minorHAnsi"/>
        </w:rPr>
        <w:t xml:space="preserve"> </w:t>
      </w:r>
      <w:r w:rsidR="009C7313">
        <w:rPr>
          <w:rFonts w:cstheme="minorHAnsi"/>
        </w:rPr>
        <w:t xml:space="preserve">The </w:t>
      </w:r>
      <w:r w:rsidR="009C7313">
        <w:rPr>
          <w:rFonts w:cstheme="minorHAnsi"/>
        </w:rPr>
        <w:lastRenderedPageBreak/>
        <w:t xml:space="preserve">proportion of total </w:t>
      </w:r>
      <w:r w:rsidR="00D748F4">
        <w:t>pre-pandemic</w:t>
      </w:r>
      <w:r w:rsidR="00D748F4" w:rsidRPr="00490C53">
        <w:t xml:space="preserve"> </w:t>
      </w:r>
      <w:r w:rsidR="009C7313">
        <w:rPr>
          <w:rFonts w:cstheme="minorHAnsi"/>
        </w:rPr>
        <w:t xml:space="preserve">borrower employment </w:t>
      </w:r>
      <w:r w:rsidR="007F711A">
        <w:rPr>
          <w:rFonts w:cstheme="minorHAnsi"/>
        </w:rPr>
        <w:t>among borrowers that would have closed</w:t>
      </w:r>
      <w:r w:rsidR="009C7313">
        <w:rPr>
          <w:rFonts w:cstheme="minorHAnsi"/>
        </w:rPr>
        <w:t xml:space="preserve"> in absence of the Covid-19 Loan Guarantee Schemes is estimated by </w:t>
      </w:r>
      <w:r w:rsidR="00391026">
        <w:rPr>
          <w:rFonts w:cstheme="minorHAnsi"/>
        </w:rPr>
        <w:t>subtracting the</w:t>
      </w:r>
      <w:r w:rsidR="00DA00C6">
        <w:rPr>
          <w:rFonts w:cstheme="minorHAnsi"/>
        </w:rPr>
        <w:t xml:space="preserve"> share of total </w:t>
      </w:r>
      <w:r w:rsidR="00D748F4">
        <w:t>pre-pandemic</w:t>
      </w:r>
      <w:r w:rsidR="00D748F4" w:rsidRPr="00490C53">
        <w:t xml:space="preserve"> </w:t>
      </w:r>
      <w:r w:rsidR="00DA00C6">
        <w:rPr>
          <w:rFonts w:cstheme="minorHAnsi"/>
        </w:rPr>
        <w:t xml:space="preserve">borrower employment among firms that </w:t>
      </w:r>
      <w:r w:rsidR="004550ED">
        <w:rPr>
          <w:rFonts w:cstheme="minorHAnsi"/>
        </w:rPr>
        <w:t xml:space="preserve">permanently closed </w:t>
      </w:r>
      <w:r w:rsidR="00855260">
        <w:rPr>
          <w:rFonts w:cstheme="minorHAnsi"/>
        </w:rPr>
        <w:t>from</w:t>
      </w:r>
      <w:r w:rsidR="00DA00C6">
        <w:rPr>
          <w:rFonts w:cstheme="minorHAnsi"/>
        </w:rPr>
        <w:t xml:space="preserve"> the corresponding share </w:t>
      </w:r>
      <w:r w:rsidR="00855260">
        <w:rPr>
          <w:rFonts w:cstheme="minorHAnsi"/>
        </w:rPr>
        <w:t>for</w:t>
      </w:r>
      <w:r w:rsidR="00DA00C6">
        <w:rPr>
          <w:rFonts w:cstheme="minorHAnsi"/>
        </w:rPr>
        <w:t xml:space="preserve"> </w:t>
      </w:r>
      <w:r w:rsidR="009C7313">
        <w:rPr>
          <w:rFonts w:cstheme="minorHAnsi"/>
        </w:rPr>
        <w:t xml:space="preserve">matched </w:t>
      </w:r>
      <w:r w:rsidR="00855260">
        <w:rPr>
          <w:rFonts w:cstheme="minorHAnsi"/>
        </w:rPr>
        <w:t>non-</w:t>
      </w:r>
      <w:r w:rsidR="00DA00C6">
        <w:rPr>
          <w:rFonts w:cstheme="minorHAnsi"/>
        </w:rPr>
        <w:t>borrowers</w:t>
      </w:r>
      <w:r w:rsidR="00855260">
        <w:rPr>
          <w:rFonts w:cstheme="minorHAnsi"/>
        </w:rPr>
        <w:t>.</w:t>
      </w:r>
    </w:p>
    <w:p w14:paraId="4D148967" w14:textId="1995F5BF" w:rsidR="00995AFD" w:rsidRPr="00995AFD" w:rsidRDefault="00610C60" w:rsidP="002D323B">
      <w:r w:rsidRPr="00995AFD">
        <w:t>The total number of</w:t>
      </w:r>
      <w:r w:rsidR="001A08A8" w:rsidRPr="00995AFD">
        <w:t xml:space="preserve"> </w:t>
      </w:r>
      <w:r w:rsidR="00354E86" w:rsidRPr="00995AFD">
        <w:t xml:space="preserve">pre-pandemic </w:t>
      </w:r>
      <w:r w:rsidR="001A08A8" w:rsidRPr="00995AFD">
        <w:t xml:space="preserve">jobs </w:t>
      </w:r>
      <w:r w:rsidR="00354E86" w:rsidRPr="00995AFD">
        <w:t xml:space="preserve">among borrowers that would have </w:t>
      </w:r>
      <w:r w:rsidR="004550ED">
        <w:t>permanently closed</w:t>
      </w:r>
      <w:r w:rsidR="004550ED" w:rsidRPr="00995AFD">
        <w:t xml:space="preserve"> </w:t>
      </w:r>
      <w:r w:rsidR="001A08A8" w:rsidRPr="00995AFD">
        <w:t>in the absence of the Covid-19 Loan Guarantee Schemes</w:t>
      </w:r>
      <w:r w:rsidR="000E3445" w:rsidRPr="00995AFD">
        <w:t xml:space="preserve"> is estimated at</w:t>
      </w:r>
      <w:r w:rsidRPr="00995AFD">
        <w:t xml:space="preserve"> </w:t>
      </w:r>
      <w:r w:rsidR="00293B86">
        <w:t>197,000-256,000</w:t>
      </w:r>
      <w:r w:rsidR="00293B86">
        <w:rPr>
          <w:rStyle w:val="FootnoteReference"/>
        </w:rPr>
        <w:footnoteReference w:id="162"/>
      </w:r>
      <w:r w:rsidRPr="00995AFD">
        <w:t xml:space="preserve"> jobs </w:t>
      </w:r>
      <w:r w:rsidR="000E3445" w:rsidRPr="00995AFD">
        <w:t>in the case of</w:t>
      </w:r>
      <w:r w:rsidRPr="00995AFD">
        <w:t xml:space="preserve"> BBLS; </w:t>
      </w:r>
      <w:r w:rsidR="000E3445" w:rsidRPr="00995AFD">
        <w:t xml:space="preserve">and </w:t>
      </w:r>
      <w:r w:rsidR="00293B86">
        <w:t>59,000-69,000</w:t>
      </w:r>
      <w:r w:rsidR="00293B86">
        <w:rPr>
          <w:rStyle w:val="FootnoteReference"/>
        </w:rPr>
        <w:footnoteReference w:id="163"/>
      </w:r>
      <w:r w:rsidR="0013063F" w:rsidRPr="00995AFD">
        <w:t xml:space="preserve"> </w:t>
      </w:r>
      <w:r w:rsidR="000E3445" w:rsidRPr="00995AFD">
        <w:t xml:space="preserve">in the case of </w:t>
      </w:r>
      <w:r w:rsidRPr="00995AFD">
        <w:t>CBILS/CLBILS.</w:t>
      </w:r>
    </w:p>
    <w:p w14:paraId="56D27790" w14:textId="58B5AF57" w:rsidR="00244FE8" w:rsidRPr="005D5D23" w:rsidRDefault="00244FE8" w:rsidP="00236B73">
      <w:r w:rsidRPr="00236B73">
        <w:rPr>
          <w:color w:val="142855" w:themeColor="text2"/>
        </w:rPr>
        <w:t>Additional tables</w:t>
      </w:r>
    </w:p>
    <w:p w14:paraId="183B34DC" w14:textId="2B290BBF" w:rsidR="0033642C" w:rsidRPr="00490C53" w:rsidRDefault="0033642C" w:rsidP="0033642C">
      <w:pPr>
        <w:pStyle w:val="Heading5"/>
      </w:pPr>
      <w:r w:rsidRPr="00490C53">
        <w:t xml:space="preserve">Table </w:t>
      </w:r>
      <w:r w:rsidRPr="00846F78">
        <w:fldChar w:fldCharType="begin"/>
      </w:r>
      <w:r w:rsidRPr="00490C53">
        <w:instrText xml:space="preserve"> SEQ Table \* ARABIC </w:instrText>
      </w:r>
      <w:r w:rsidRPr="00846F78">
        <w:fldChar w:fldCharType="separate"/>
      </w:r>
      <w:r w:rsidR="00397D49">
        <w:rPr>
          <w:noProof/>
        </w:rPr>
        <w:t>41</w:t>
      </w:r>
      <w:r w:rsidRPr="00846F78">
        <w:fldChar w:fldCharType="end"/>
      </w:r>
      <w:r w:rsidRPr="00490C53">
        <w:t xml:space="preserve">: Difference in </w:t>
      </w:r>
      <w:r w:rsidR="004550ED">
        <w:t>closure</w:t>
      </w:r>
      <w:r w:rsidR="004550ED" w:rsidRPr="00490C53">
        <w:t xml:space="preserve"> </w:t>
      </w:r>
      <w:r w:rsidRPr="00490C53">
        <w:t>rates by sector and turnover band</w:t>
      </w:r>
    </w:p>
    <w:tbl>
      <w:tblPr>
        <w:tblStyle w:val="TableGrid"/>
        <w:tblW w:w="0" w:type="auto"/>
        <w:tblLayout w:type="fixed"/>
        <w:tblLook w:val="04A0" w:firstRow="1" w:lastRow="0" w:firstColumn="1" w:lastColumn="0" w:noHBand="0" w:noVBand="1"/>
      </w:tblPr>
      <w:tblGrid>
        <w:gridCol w:w="2268"/>
        <w:gridCol w:w="2268"/>
        <w:gridCol w:w="2809"/>
        <w:gridCol w:w="2809"/>
      </w:tblGrid>
      <w:tr w:rsidR="0033642C" w:rsidRPr="00490C53" w14:paraId="73107C8E" w14:textId="77777777">
        <w:trPr>
          <w:cnfStyle w:val="100000000000" w:firstRow="1" w:lastRow="0" w:firstColumn="0" w:lastColumn="0" w:oddVBand="0" w:evenVBand="0" w:oddHBand="0" w:evenHBand="0" w:firstRowFirstColumn="0" w:firstRowLastColumn="0" w:lastRowFirstColumn="0" w:lastRowLastColumn="0"/>
          <w:trHeight w:val="1926"/>
          <w:tblHeader/>
        </w:trPr>
        <w:tc>
          <w:tcPr>
            <w:tcW w:w="2268" w:type="dxa"/>
            <w:noWrap/>
            <w:vAlign w:val="center"/>
            <w:hideMark/>
          </w:tcPr>
          <w:p w14:paraId="3267A607" w14:textId="77777777" w:rsidR="0033642C" w:rsidRPr="00490C53" w:rsidRDefault="0033642C">
            <w:pPr>
              <w:pStyle w:val="Tablecolumnheading-white"/>
              <w:rPr>
                <w:lang w:eastAsia="en-GB"/>
              </w:rPr>
            </w:pPr>
            <w:r w:rsidRPr="00490C53">
              <w:rPr>
                <w:lang w:eastAsia="en-GB"/>
              </w:rPr>
              <w:t>Sector</w:t>
            </w:r>
          </w:p>
        </w:tc>
        <w:tc>
          <w:tcPr>
            <w:tcW w:w="2268" w:type="dxa"/>
            <w:noWrap/>
            <w:vAlign w:val="center"/>
            <w:hideMark/>
          </w:tcPr>
          <w:p w14:paraId="4D5926AB" w14:textId="77777777" w:rsidR="0033642C" w:rsidRPr="00490C53" w:rsidRDefault="0033642C">
            <w:pPr>
              <w:pStyle w:val="Tablecolumnheading-white"/>
              <w:rPr>
                <w:lang w:eastAsia="en-GB"/>
              </w:rPr>
            </w:pPr>
            <w:r w:rsidRPr="00490C53">
              <w:rPr>
                <w:lang w:eastAsia="en-GB"/>
              </w:rPr>
              <w:t>Turnover band</w:t>
            </w:r>
          </w:p>
        </w:tc>
        <w:tc>
          <w:tcPr>
            <w:tcW w:w="2809" w:type="dxa"/>
            <w:noWrap/>
            <w:vAlign w:val="center"/>
            <w:hideMark/>
          </w:tcPr>
          <w:p w14:paraId="702D5CF0" w14:textId="33C16E09" w:rsidR="0033642C" w:rsidRPr="00490C53" w:rsidRDefault="0033642C">
            <w:pPr>
              <w:pStyle w:val="Tablecolumnheading-white"/>
              <w:jc w:val="right"/>
              <w:rPr>
                <w:lang w:eastAsia="en-GB"/>
              </w:rPr>
            </w:pPr>
            <w:r w:rsidRPr="00490C53">
              <w:rPr>
                <w:lang w:eastAsia="en-GB"/>
              </w:rPr>
              <w:t xml:space="preserve">Difference in </w:t>
            </w:r>
            <w:r w:rsidR="004550ED">
              <w:rPr>
                <w:lang w:eastAsia="en-GB"/>
              </w:rPr>
              <w:t>closure</w:t>
            </w:r>
            <w:r w:rsidR="004550ED" w:rsidRPr="00490C53">
              <w:rPr>
                <w:lang w:eastAsia="en-GB"/>
              </w:rPr>
              <w:t xml:space="preserve"> </w:t>
            </w:r>
            <w:r w:rsidRPr="00490C53">
              <w:rPr>
                <w:lang w:eastAsia="en-GB"/>
              </w:rPr>
              <w:t xml:space="preserve">rate between BBLS </w:t>
            </w:r>
            <w:r w:rsidR="00585D0C">
              <w:rPr>
                <w:lang w:eastAsia="en-GB"/>
              </w:rPr>
              <w:t>borrower</w:t>
            </w:r>
            <w:r w:rsidR="00585D0C" w:rsidRPr="00490C53">
              <w:rPr>
                <w:lang w:eastAsia="en-GB"/>
              </w:rPr>
              <w:t xml:space="preserve"> </w:t>
            </w:r>
            <w:r w:rsidRPr="00490C53">
              <w:rPr>
                <w:lang w:eastAsia="en-GB"/>
              </w:rPr>
              <w:t xml:space="preserve">and </w:t>
            </w:r>
            <w:r w:rsidR="00585D0C">
              <w:rPr>
                <w:lang w:eastAsia="en-GB"/>
              </w:rPr>
              <w:t xml:space="preserve">non-borrower </w:t>
            </w:r>
            <w:r w:rsidRPr="00490C53">
              <w:rPr>
                <w:lang w:eastAsia="en-GB"/>
              </w:rPr>
              <w:t>businesses</w:t>
            </w:r>
          </w:p>
        </w:tc>
        <w:tc>
          <w:tcPr>
            <w:tcW w:w="2809" w:type="dxa"/>
            <w:noWrap/>
            <w:vAlign w:val="center"/>
            <w:hideMark/>
          </w:tcPr>
          <w:p w14:paraId="175355D5" w14:textId="1EA718DA" w:rsidR="0033642C" w:rsidRPr="00490C53" w:rsidRDefault="0033642C">
            <w:pPr>
              <w:pStyle w:val="Tablecolumnheading-white"/>
              <w:jc w:val="right"/>
              <w:rPr>
                <w:lang w:eastAsia="en-GB"/>
              </w:rPr>
            </w:pPr>
            <w:r w:rsidRPr="00490C53">
              <w:rPr>
                <w:lang w:eastAsia="en-GB"/>
              </w:rPr>
              <w:t xml:space="preserve">Difference in </w:t>
            </w:r>
            <w:r w:rsidR="004550ED">
              <w:rPr>
                <w:lang w:eastAsia="en-GB"/>
              </w:rPr>
              <w:t>closure</w:t>
            </w:r>
            <w:r w:rsidR="004550ED" w:rsidRPr="00490C53">
              <w:rPr>
                <w:lang w:eastAsia="en-GB"/>
              </w:rPr>
              <w:t xml:space="preserve"> </w:t>
            </w:r>
            <w:r w:rsidRPr="00490C53">
              <w:rPr>
                <w:lang w:eastAsia="en-GB"/>
              </w:rPr>
              <w:t xml:space="preserve">rate between CBILS/CLBILS </w:t>
            </w:r>
            <w:r w:rsidR="00585D0C">
              <w:rPr>
                <w:lang w:eastAsia="en-GB"/>
              </w:rPr>
              <w:t>borrower</w:t>
            </w:r>
            <w:r w:rsidR="00585D0C" w:rsidRPr="00490C53">
              <w:rPr>
                <w:lang w:eastAsia="en-GB"/>
              </w:rPr>
              <w:t xml:space="preserve"> </w:t>
            </w:r>
            <w:r w:rsidRPr="00490C53">
              <w:rPr>
                <w:lang w:eastAsia="en-GB"/>
              </w:rPr>
              <w:t xml:space="preserve">and </w:t>
            </w:r>
            <w:r w:rsidR="00585D0C">
              <w:rPr>
                <w:lang w:eastAsia="en-GB"/>
              </w:rPr>
              <w:t xml:space="preserve">non-borrower </w:t>
            </w:r>
            <w:r w:rsidRPr="00490C53">
              <w:rPr>
                <w:lang w:eastAsia="en-GB"/>
              </w:rPr>
              <w:t>businesses</w:t>
            </w:r>
          </w:p>
        </w:tc>
      </w:tr>
      <w:tr w:rsidR="00AC680C" w:rsidRPr="00490C53" w14:paraId="18664747"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hideMark/>
          </w:tcPr>
          <w:p w14:paraId="5A874BEB" w14:textId="77777777" w:rsidR="00AC680C" w:rsidRPr="00490C53" w:rsidRDefault="00AC680C" w:rsidP="00AC680C">
            <w:pPr>
              <w:pStyle w:val="Tabletext"/>
              <w:rPr>
                <w:lang w:eastAsia="en-GB"/>
              </w:rPr>
            </w:pPr>
            <w:r w:rsidRPr="00490C53">
              <w:rPr>
                <w:lang w:eastAsia="en-GB"/>
              </w:rPr>
              <w:t>Business Services</w:t>
            </w:r>
          </w:p>
        </w:tc>
        <w:tc>
          <w:tcPr>
            <w:tcW w:w="0" w:type="dxa"/>
            <w:noWrap/>
            <w:vAlign w:val="center"/>
            <w:hideMark/>
          </w:tcPr>
          <w:p w14:paraId="13786BC9" w14:textId="77777777" w:rsidR="00AC680C" w:rsidRPr="00490C53" w:rsidRDefault="00AC680C" w:rsidP="00AC680C">
            <w:pPr>
              <w:pStyle w:val="Tabletext"/>
              <w:rPr>
                <w:lang w:eastAsia="en-GB"/>
              </w:rPr>
            </w:pPr>
            <w:r w:rsidRPr="00490C53">
              <w:rPr>
                <w:lang w:eastAsia="en-GB"/>
              </w:rPr>
              <w:t>Less than 50K</w:t>
            </w:r>
          </w:p>
        </w:tc>
        <w:tc>
          <w:tcPr>
            <w:tcW w:w="0" w:type="dxa"/>
            <w:noWrap/>
            <w:hideMark/>
          </w:tcPr>
          <w:p w14:paraId="0DCBC9B3" w14:textId="6020EC3F" w:rsidR="00AC680C" w:rsidRPr="00490C53" w:rsidRDefault="00AC680C" w:rsidP="00AC680C">
            <w:pPr>
              <w:pStyle w:val="Tabletext"/>
              <w:jc w:val="right"/>
              <w:rPr>
                <w:rFonts w:cstheme="minorHAnsi"/>
                <w:szCs w:val="24"/>
                <w:lang w:eastAsia="en-GB"/>
              </w:rPr>
            </w:pPr>
            <w:r w:rsidRPr="00846F78">
              <w:rPr>
                <w:rFonts w:cstheme="minorHAnsi"/>
                <w:szCs w:val="24"/>
              </w:rPr>
              <w:t>5%</w:t>
            </w:r>
          </w:p>
        </w:tc>
        <w:tc>
          <w:tcPr>
            <w:tcW w:w="0" w:type="dxa"/>
            <w:noWrap/>
            <w:hideMark/>
          </w:tcPr>
          <w:p w14:paraId="5E059D09" w14:textId="7965EB77" w:rsidR="00AC680C" w:rsidRPr="00490C53" w:rsidRDefault="00AC680C" w:rsidP="00AC680C">
            <w:pPr>
              <w:pStyle w:val="Tabletext"/>
              <w:jc w:val="right"/>
              <w:rPr>
                <w:rFonts w:cstheme="minorHAnsi"/>
                <w:szCs w:val="24"/>
                <w:lang w:eastAsia="en-GB"/>
              </w:rPr>
            </w:pPr>
            <w:r w:rsidRPr="00846F78">
              <w:rPr>
                <w:rFonts w:cstheme="minorHAnsi"/>
                <w:szCs w:val="24"/>
              </w:rPr>
              <w:t>9%</w:t>
            </w:r>
          </w:p>
        </w:tc>
      </w:tr>
      <w:tr w:rsidR="00AC680C" w:rsidRPr="00490C53" w14:paraId="22B31BFD" w14:textId="77777777" w:rsidTr="00846F78">
        <w:tblPrEx>
          <w:tblCellMar>
            <w:left w:w="108" w:type="dxa"/>
            <w:right w:w="108" w:type="dxa"/>
          </w:tblCellMar>
        </w:tblPrEx>
        <w:trPr>
          <w:trHeight w:val="290"/>
        </w:trPr>
        <w:tc>
          <w:tcPr>
            <w:tcW w:w="0" w:type="dxa"/>
            <w:noWrap/>
            <w:vAlign w:val="center"/>
          </w:tcPr>
          <w:p w14:paraId="26C91C93" w14:textId="77777777" w:rsidR="00AC680C" w:rsidRPr="00490C53" w:rsidRDefault="00AC680C" w:rsidP="00AC680C">
            <w:pPr>
              <w:pStyle w:val="Tabletext"/>
              <w:rPr>
                <w:lang w:eastAsia="en-GB"/>
              </w:rPr>
            </w:pPr>
          </w:p>
        </w:tc>
        <w:tc>
          <w:tcPr>
            <w:tcW w:w="0" w:type="dxa"/>
            <w:noWrap/>
            <w:vAlign w:val="center"/>
            <w:hideMark/>
          </w:tcPr>
          <w:p w14:paraId="0C5A0C92" w14:textId="77777777" w:rsidR="00AC680C" w:rsidRPr="00490C53" w:rsidRDefault="00AC680C" w:rsidP="00AC680C">
            <w:pPr>
              <w:pStyle w:val="Tabletext"/>
              <w:rPr>
                <w:lang w:eastAsia="en-GB"/>
              </w:rPr>
            </w:pPr>
            <w:r w:rsidRPr="00490C53">
              <w:rPr>
                <w:lang w:eastAsia="en-GB"/>
              </w:rPr>
              <w:t>50,001 to 100K</w:t>
            </w:r>
          </w:p>
        </w:tc>
        <w:tc>
          <w:tcPr>
            <w:tcW w:w="0" w:type="dxa"/>
            <w:noWrap/>
            <w:hideMark/>
          </w:tcPr>
          <w:p w14:paraId="75A0F65B" w14:textId="1ECE4E2C" w:rsidR="00AC680C" w:rsidRPr="00490C53" w:rsidRDefault="00AC680C" w:rsidP="00AC680C">
            <w:pPr>
              <w:pStyle w:val="Tabletext"/>
              <w:jc w:val="right"/>
              <w:rPr>
                <w:rFonts w:cstheme="minorHAnsi"/>
                <w:szCs w:val="24"/>
                <w:lang w:eastAsia="en-GB"/>
              </w:rPr>
            </w:pPr>
            <w:r w:rsidRPr="00846F78">
              <w:rPr>
                <w:rFonts w:cstheme="minorHAnsi"/>
                <w:szCs w:val="24"/>
              </w:rPr>
              <w:t>8%</w:t>
            </w:r>
          </w:p>
        </w:tc>
        <w:tc>
          <w:tcPr>
            <w:tcW w:w="0" w:type="dxa"/>
            <w:noWrap/>
            <w:hideMark/>
          </w:tcPr>
          <w:p w14:paraId="3B17FF8A" w14:textId="6E310F88" w:rsidR="00AC680C" w:rsidRPr="00490C53" w:rsidRDefault="00AC680C" w:rsidP="00AC680C">
            <w:pPr>
              <w:pStyle w:val="Tabletext"/>
              <w:jc w:val="right"/>
              <w:rPr>
                <w:rFonts w:cstheme="minorHAnsi"/>
                <w:szCs w:val="24"/>
                <w:lang w:eastAsia="en-GB"/>
              </w:rPr>
            </w:pPr>
            <w:r w:rsidRPr="00846F78">
              <w:rPr>
                <w:rFonts w:cstheme="minorHAnsi"/>
                <w:szCs w:val="24"/>
              </w:rPr>
              <w:t>11%</w:t>
            </w:r>
          </w:p>
        </w:tc>
      </w:tr>
      <w:tr w:rsidR="00AC680C" w:rsidRPr="00490C53" w14:paraId="6F23543C"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4C457DFE" w14:textId="77777777" w:rsidR="00AC680C" w:rsidRPr="00490C53" w:rsidRDefault="00AC680C" w:rsidP="00AC680C">
            <w:pPr>
              <w:pStyle w:val="Tabletext"/>
              <w:rPr>
                <w:lang w:eastAsia="en-GB"/>
              </w:rPr>
            </w:pPr>
          </w:p>
        </w:tc>
        <w:tc>
          <w:tcPr>
            <w:tcW w:w="0" w:type="dxa"/>
            <w:noWrap/>
            <w:vAlign w:val="center"/>
            <w:hideMark/>
          </w:tcPr>
          <w:p w14:paraId="20FF653F" w14:textId="77777777" w:rsidR="00AC680C" w:rsidRPr="00490C53" w:rsidRDefault="00AC680C" w:rsidP="00AC680C">
            <w:pPr>
              <w:pStyle w:val="Tabletext"/>
              <w:rPr>
                <w:lang w:eastAsia="en-GB"/>
              </w:rPr>
            </w:pPr>
            <w:r w:rsidRPr="00490C53">
              <w:rPr>
                <w:lang w:eastAsia="en-GB"/>
              </w:rPr>
              <w:t>100,001 to 250K</w:t>
            </w:r>
          </w:p>
        </w:tc>
        <w:tc>
          <w:tcPr>
            <w:tcW w:w="0" w:type="dxa"/>
            <w:noWrap/>
            <w:hideMark/>
          </w:tcPr>
          <w:p w14:paraId="00DBF1EA" w14:textId="047A0801" w:rsidR="00AC680C" w:rsidRPr="00490C53" w:rsidRDefault="00AC680C" w:rsidP="00AC680C">
            <w:pPr>
              <w:pStyle w:val="Tabletext"/>
              <w:jc w:val="right"/>
              <w:rPr>
                <w:rFonts w:cstheme="minorHAnsi"/>
                <w:szCs w:val="24"/>
                <w:lang w:eastAsia="en-GB"/>
              </w:rPr>
            </w:pPr>
            <w:r w:rsidRPr="00846F78">
              <w:rPr>
                <w:rFonts w:cstheme="minorHAnsi"/>
                <w:szCs w:val="24"/>
              </w:rPr>
              <w:t>7%</w:t>
            </w:r>
          </w:p>
        </w:tc>
        <w:tc>
          <w:tcPr>
            <w:tcW w:w="0" w:type="dxa"/>
            <w:noWrap/>
            <w:hideMark/>
          </w:tcPr>
          <w:p w14:paraId="10DC5130" w14:textId="58B8110A" w:rsidR="00AC680C" w:rsidRPr="00490C53" w:rsidRDefault="00AC680C" w:rsidP="00AC680C">
            <w:pPr>
              <w:pStyle w:val="Tabletext"/>
              <w:jc w:val="right"/>
              <w:rPr>
                <w:rFonts w:cstheme="minorHAnsi"/>
                <w:szCs w:val="24"/>
                <w:lang w:eastAsia="en-GB"/>
              </w:rPr>
            </w:pPr>
            <w:r w:rsidRPr="00846F78">
              <w:rPr>
                <w:rFonts w:cstheme="minorHAnsi"/>
                <w:szCs w:val="24"/>
              </w:rPr>
              <w:t>8%</w:t>
            </w:r>
          </w:p>
        </w:tc>
      </w:tr>
      <w:tr w:rsidR="00AC680C" w:rsidRPr="00490C53" w14:paraId="4B08582F" w14:textId="77777777" w:rsidTr="00846F78">
        <w:tblPrEx>
          <w:tblCellMar>
            <w:left w:w="108" w:type="dxa"/>
            <w:right w:w="108" w:type="dxa"/>
          </w:tblCellMar>
        </w:tblPrEx>
        <w:trPr>
          <w:trHeight w:val="290"/>
        </w:trPr>
        <w:tc>
          <w:tcPr>
            <w:tcW w:w="0" w:type="dxa"/>
            <w:noWrap/>
            <w:vAlign w:val="center"/>
          </w:tcPr>
          <w:p w14:paraId="3963772C" w14:textId="77777777" w:rsidR="00AC680C" w:rsidRPr="00490C53" w:rsidRDefault="00AC680C" w:rsidP="00AC680C">
            <w:pPr>
              <w:pStyle w:val="Tabletext"/>
              <w:rPr>
                <w:lang w:eastAsia="en-GB"/>
              </w:rPr>
            </w:pPr>
          </w:p>
        </w:tc>
        <w:tc>
          <w:tcPr>
            <w:tcW w:w="0" w:type="dxa"/>
            <w:noWrap/>
            <w:vAlign w:val="center"/>
            <w:hideMark/>
          </w:tcPr>
          <w:p w14:paraId="37DFAE79" w14:textId="77777777" w:rsidR="00AC680C" w:rsidRPr="00490C53" w:rsidRDefault="00AC680C" w:rsidP="00AC680C">
            <w:pPr>
              <w:pStyle w:val="Tabletext"/>
              <w:rPr>
                <w:lang w:eastAsia="en-GB"/>
              </w:rPr>
            </w:pPr>
            <w:r w:rsidRPr="00490C53">
              <w:rPr>
                <w:lang w:eastAsia="en-GB"/>
              </w:rPr>
              <w:t>250,001 to 500K</w:t>
            </w:r>
          </w:p>
        </w:tc>
        <w:tc>
          <w:tcPr>
            <w:tcW w:w="0" w:type="dxa"/>
            <w:noWrap/>
            <w:hideMark/>
          </w:tcPr>
          <w:p w14:paraId="1B35297B" w14:textId="67FD46D9" w:rsidR="00AC680C" w:rsidRPr="00490C53" w:rsidRDefault="00AC680C" w:rsidP="00AC680C">
            <w:pPr>
              <w:pStyle w:val="Tabletext"/>
              <w:jc w:val="right"/>
              <w:rPr>
                <w:rFonts w:cstheme="minorHAnsi"/>
                <w:szCs w:val="24"/>
                <w:lang w:eastAsia="en-GB"/>
              </w:rPr>
            </w:pPr>
            <w:r w:rsidRPr="00846F78">
              <w:rPr>
                <w:rFonts w:cstheme="minorHAnsi"/>
                <w:szCs w:val="24"/>
              </w:rPr>
              <w:t>6%</w:t>
            </w:r>
          </w:p>
        </w:tc>
        <w:tc>
          <w:tcPr>
            <w:tcW w:w="0" w:type="dxa"/>
            <w:noWrap/>
            <w:hideMark/>
          </w:tcPr>
          <w:p w14:paraId="61851F22" w14:textId="4FFBFAD5" w:rsidR="00AC680C" w:rsidRPr="00490C53" w:rsidRDefault="00AC680C" w:rsidP="00AC680C">
            <w:pPr>
              <w:pStyle w:val="Tabletext"/>
              <w:jc w:val="right"/>
              <w:rPr>
                <w:rFonts w:cstheme="minorHAnsi"/>
                <w:szCs w:val="24"/>
                <w:lang w:eastAsia="en-GB"/>
              </w:rPr>
            </w:pPr>
            <w:r w:rsidRPr="00846F78">
              <w:rPr>
                <w:rFonts w:cstheme="minorHAnsi"/>
                <w:szCs w:val="24"/>
              </w:rPr>
              <w:t>6%</w:t>
            </w:r>
          </w:p>
        </w:tc>
      </w:tr>
      <w:tr w:rsidR="00AC680C" w:rsidRPr="00490C53" w14:paraId="05DF3CAE"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1A2BCE14" w14:textId="77777777" w:rsidR="00AC680C" w:rsidRPr="00490C53" w:rsidRDefault="00AC680C" w:rsidP="00AC680C">
            <w:pPr>
              <w:pStyle w:val="Tabletext"/>
              <w:rPr>
                <w:lang w:eastAsia="en-GB"/>
              </w:rPr>
            </w:pPr>
          </w:p>
        </w:tc>
        <w:tc>
          <w:tcPr>
            <w:tcW w:w="0" w:type="dxa"/>
            <w:noWrap/>
            <w:vAlign w:val="center"/>
            <w:hideMark/>
          </w:tcPr>
          <w:p w14:paraId="1D8DA84A" w14:textId="77777777" w:rsidR="00AC680C" w:rsidRPr="00490C53" w:rsidRDefault="00AC680C" w:rsidP="00AC680C">
            <w:pPr>
              <w:pStyle w:val="Tabletext"/>
              <w:rPr>
                <w:lang w:eastAsia="en-GB"/>
              </w:rPr>
            </w:pPr>
            <w:r w:rsidRPr="00490C53">
              <w:rPr>
                <w:lang w:eastAsia="en-GB"/>
              </w:rPr>
              <w:t>500,001 to 1m</w:t>
            </w:r>
          </w:p>
        </w:tc>
        <w:tc>
          <w:tcPr>
            <w:tcW w:w="0" w:type="dxa"/>
            <w:noWrap/>
            <w:hideMark/>
          </w:tcPr>
          <w:p w14:paraId="5E7DDC3F" w14:textId="16BD4A84" w:rsidR="00AC680C" w:rsidRPr="00490C53" w:rsidRDefault="00AC680C" w:rsidP="00AC680C">
            <w:pPr>
              <w:pStyle w:val="Tabletext"/>
              <w:jc w:val="right"/>
              <w:rPr>
                <w:rFonts w:cstheme="minorHAnsi"/>
                <w:szCs w:val="24"/>
                <w:lang w:eastAsia="en-GB"/>
              </w:rPr>
            </w:pPr>
            <w:r w:rsidRPr="00846F78">
              <w:rPr>
                <w:rFonts w:cstheme="minorHAnsi"/>
                <w:szCs w:val="24"/>
              </w:rPr>
              <w:t>4%</w:t>
            </w:r>
          </w:p>
        </w:tc>
        <w:tc>
          <w:tcPr>
            <w:tcW w:w="0" w:type="dxa"/>
            <w:noWrap/>
            <w:hideMark/>
          </w:tcPr>
          <w:p w14:paraId="1D775406" w14:textId="78A160CA" w:rsidR="00AC680C" w:rsidRPr="00490C53" w:rsidRDefault="00AC680C" w:rsidP="00AC680C">
            <w:pPr>
              <w:pStyle w:val="Tabletext"/>
              <w:jc w:val="right"/>
              <w:rPr>
                <w:rFonts w:cstheme="minorHAnsi"/>
                <w:szCs w:val="24"/>
                <w:lang w:eastAsia="en-GB"/>
              </w:rPr>
            </w:pPr>
            <w:r w:rsidRPr="00846F78">
              <w:rPr>
                <w:rFonts w:cstheme="minorHAnsi"/>
                <w:szCs w:val="24"/>
              </w:rPr>
              <w:t>5%</w:t>
            </w:r>
          </w:p>
        </w:tc>
      </w:tr>
      <w:tr w:rsidR="00AC680C" w:rsidRPr="00490C53" w14:paraId="0C41FCCE" w14:textId="77777777" w:rsidTr="00846F78">
        <w:tblPrEx>
          <w:tblCellMar>
            <w:left w:w="108" w:type="dxa"/>
            <w:right w:w="108" w:type="dxa"/>
          </w:tblCellMar>
        </w:tblPrEx>
        <w:trPr>
          <w:trHeight w:val="290"/>
        </w:trPr>
        <w:tc>
          <w:tcPr>
            <w:tcW w:w="0" w:type="dxa"/>
            <w:noWrap/>
            <w:vAlign w:val="center"/>
          </w:tcPr>
          <w:p w14:paraId="60279229" w14:textId="77777777" w:rsidR="00AC680C" w:rsidRPr="00490C53" w:rsidRDefault="00AC680C" w:rsidP="00AC680C">
            <w:pPr>
              <w:pStyle w:val="Tabletext"/>
              <w:rPr>
                <w:lang w:eastAsia="en-GB"/>
              </w:rPr>
            </w:pPr>
          </w:p>
        </w:tc>
        <w:tc>
          <w:tcPr>
            <w:tcW w:w="0" w:type="dxa"/>
            <w:noWrap/>
            <w:vAlign w:val="center"/>
            <w:hideMark/>
          </w:tcPr>
          <w:p w14:paraId="691F1C83" w14:textId="77777777" w:rsidR="00AC680C" w:rsidRPr="00490C53" w:rsidRDefault="00AC680C" w:rsidP="00AC680C">
            <w:pPr>
              <w:pStyle w:val="Tabletext"/>
              <w:rPr>
                <w:lang w:eastAsia="en-GB"/>
              </w:rPr>
            </w:pPr>
            <w:r w:rsidRPr="00490C53">
              <w:rPr>
                <w:lang w:eastAsia="en-GB"/>
              </w:rPr>
              <w:t>1m to 5m</w:t>
            </w:r>
          </w:p>
        </w:tc>
        <w:tc>
          <w:tcPr>
            <w:tcW w:w="0" w:type="dxa"/>
            <w:noWrap/>
            <w:hideMark/>
          </w:tcPr>
          <w:p w14:paraId="6995C3D3" w14:textId="1AB77C41" w:rsidR="00AC680C" w:rsidRPr="00490C53" w:rsidRDefault="00AC680C" w:rsidP="00AC680C">
            <w:pPr>
              <w:pStyle w:val="Tabletext"/>
              <w:jc w:val="right"/>
              <w:rPr>
                <w:rFonts w:cstheme="minorHAnsi"/>
                <w:szCs w:val="24"/>
                <w:lang w:eastAsia="en-GB"/>
              </w:rPr>
            </w:pPr>
            <w:r w:rsidRPr="00846F78">
              <w:rPr>
                <w:rFonts w:cstheme="minorHAnsi"/>
                <w:szCs w:val="24"/>
              </w:rPr>
              <w:t>1%</w:t>
            </w:r>
          </w:p>
        </w:tc>
        <w:tc>
          <w:tcPr>
            <w:tcW w:w="0" w:type="dxa"/>
            <w:noWrap/>
            <w:hideMark/>
          </w:tcPr>
          <w:p w14:paraId="3186679F" w14:textId="6137B708" w:rsidR="00AC680C" w:rsidRPr="00490C53" w:rsidRDefault="00AC680C" w:rsidP="00AC680C">
            <w:pPr>
              <w:pStyle w:val="Tabletext"/>
              <w:jc w:val="right"/>
              <w:rPr>
                <w:rFonts w:cstheme="minorHAnsi"/>
                <w:szCs w:val="24"/>
                <w:lang w:eastAsia="en-GB"/>
              </w:rPr>
            </w:pPr>
            <w:r w:rsidRPr="00846F78">
              <w:rPr>
                <w:rFonts w:cstheme="minorHAnsi"/>
                <w:szCs w:val="24"/>
              </w:rPr>
              <w:t>4%</w:t>
            </w:r>
          </w:p>
        </w:tc>
      </w:tr>
      <w:tr w:rsidR="00AC680C" w:rsidRPr="00490C53" w14:paraId="2716DD4A"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5A8C2D99" w14:textId="77777777" w:rsidR="00AC680C" w:rsidRPr="00490C53" w:rsidRDefault="00AC680C" w:rsidP="00AC680C">
            <w:pPr>
              <w:pStyle w:val="Tabletext"/>
              <w:rPr>
                <w:lang w:eastAsia="en-GB"/>
              </w:rPr>
            </w:pPr>
          </w:p>
        </w:tc>
        <w:tc>
          <w:tcPr>
            <w:tcW w:w="0" w:type="dxa"/>
            <w:noWrap/>
            <w:vAlign w:val="center"/>
            <w:hideMark/>
          </w:tcPr>
          <w:p w14:paraId="4EBE1A5A" w14:textId="77777777" w:rsidR="00AC680C" w:rsidRPr="00490C53" w:rsidRDefault="00AC680C" w:rsidP="00AC680C">
            <w:pPr>
              <w:pStyle w:val="Tabletext"/>
              <w:rPr>
                <w:lang w:eastAsia="en-GB"/>
              </w:rPr>
            </w:pPr>
            <w:r w:rsidRPr="00490C53">
              <w:rPr>
                <w:lang w:eastAsia="en-GB"/>
              </w:rPr>
              <w:t>5m to 25m</w:t>
            </w:r>
          </w:p>
        </w:tc>
        <w:tc>
          <w:tcPr>
            <w:tcW w:w="0" w:type="dxa"/>
            <w:noWrap/>
            <w:hideMark/>
          </w:tcPr>
          <w:p w14:paraId="6E05CB61" w14:textId="0C268017"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6F583C86" w14:textId="04F99B28" w:rsidR="00AC680C" w:rsidRPr="00490C53" w:rsidRDefault="00AC680C" w:rsidP="00AC680C">
            <w:pPr>
              <w:pStyle w:val="Tabletext"/>
              <w:jc w:val="right"/>
              <w:rPr>
                <w:rFonts w:cstheme="minorHAnsi"/>
                <w:szCs w:val="24"/>
                <w:lang w:eastAsia="en-GB"/>
              </w:rPr>
            </w:pPr>
            <w:r w:rsidRPr="00846F78">
              <w:rPr>
                <w:rFonts w:cstheme="minorHAnsi"/>
                <w:szCs w:val="24"/>
              </w:rPr>
              <w:t>2%</w:t>
            </w:r>
          </w:p>
        </w:tc>
      </w:tr>
      <w:tr w:rsidR="00AC680C" w:rsidRPr="00490C53" w14:paraId="09C349F7" w14:textId="77777777" w:rsidTr="00846F78">
        <w:tblPrEx>
          <w:tblCellMar>
            <w:left w:w="108" w:type="dxa"/>
            <w:right w:w="108" w:type="dxa"/>
          </w:tblCellMar>
        </w:tblPrEx>
        <w:trPr>
          <w:trHeight w:val="290"/>
        </w:trPr>
        <w:tc>
          <w:tcPr>
            <w:tcW w:w="0" w:type="dxa"/>
            <w:noWrap/>
            <w:vAlign w:val="center"/>
          </w:tcPr>
          <w:p w14:paraId="3334160F" w14:textId="77777777" w:rsidR="00AC680C" w:rsidRPr="00490C53" w:rsidRDefault="00AC680C" w:rsidP="00AC680C">
            <w:pPr>
              <w:pStyle w:val="Tabletext"/>
              <w:rPr>
                <w:lang w:eastAsia="en-GB"/>
              </w:rPr>
            </w:pPr>
          </w:p>
        </w:tc>
        <w:tc>
          <w:tcPr>
            <w:tcW w:w="0" w:type="dxa"/>
            <w:noWrap/>
            <w:vAlign w:val="center"/>
            <w:hideMark/>
          </w:tcPr>
          <w:p w14:paraId="703EFD6F" w14:textId="77777777" w:rsidR="00AC680C" w:rsidRPr="00490C53" w:rsidRDefault="00AC680C" w:rsidP="00AC680C">
            <w:pPr>
              <w:pStyle w:val="Tabletext"/>
              <w:rPr>
                <w:lang w:eastAsia="en-GB"/>
              </w:rPr>
            </w:pPr>
            <w:r w:rsidRPr="00490C53">
              <w:rPr>
                <w:lang w:eastAsia="en-GB"/>
              </w:rPr>
              <w:t>25m to 50m</w:t>
            </w:r>
          </w:p>
        </w:tc>
        <w:tc>
          <w:tcPr>
            <w:tcW w:w="0" w:type="dxa"/>
            <w:noWrap/>
            <w:hideMark/>
          </w:tcPr>
          <w:p w14:paraId="3B8D902C" w14:textId="3C0CA7DB"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40E0C3C6" w14:textId="0D094BC1" w:rsidR="00AC680C" w:rsidRPr="00490C53" w:rsidRDefault="00AC680C" w:rsidP="00AC680C">
            <w:pPr>
              <w:pStyle w:val="Tabletext"/>
              <w:jc w:val="right"/>
              <w:rPr>
                <w:rFonts w:cstheme="minorHAnsi"/>
                <w:szCs w:val="24"/>
                <w:lang w:eastAsia="en-GB"/>
              </w:rPr>
            </w:pPr>
            <w:r w:rsidRPr="00846F78">
              <w:rPr>
                <w:rFonts w:cstheme="minorHAnsi"/>
                <w:szCs w:val="24"/>
              </w:rPr>
              <w:t>1%</w:t>
            </w:r>
          </w:p>
        </w:tc>
      </w:tr>
      <w:tr w:rsidR="00AC680C" w:rsidRPr="00490C53" w14:paraId="75FBE9DD"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23F943B3" w14:textId="77777777" w:rsidR="00AC680C" w:rsidRPr="00490C53" w:rsidRDefault="00AC680C" w:rsidP="00AC680C">
            <w:pPr>
              <w:pStyle w:val="Tabletext"/>
              <w:rPr>
                <w:lang w:eastAsia="en-GB"/>
              </w:rPr>
            </w:pPr>
          </w:p>
        </w:tc>
        <w:tc>
          <w:tcPr>
            <w:tcW w:w="0" w:type="dxa"/>
            <w:noWrap/>
            <w:vAlign w:val="center"/>
            <w:hideMark/>
          </w:tcPr>
          <w:p w14:paraId="2CA701FF" w14:textId="77777777" w:rsidR="00AC680C" w:rsidRPr="00490C53" w:rsidRDefault="00AC680C" w:rsidP="00AC680C">
            <w:pPr>
              <w:pStyle w:val="Tabletext"/>
              <w:rPr>
                <w:lang w:eastAsia="en-GB"/>
              </w:rPr>
            </w:pPr>
            <w:r w:rsidRPr="00490C53">
              <w:rPr>
                <w:lang w:eastAsia="en-GB"/>
              </w:rPr>
              <w:t>50m to 200m</w:t>
            </w:r>
          </w:p>
        </w:tc>
        <w:tc>
          <w:tcPr>
            <w:tcW w:w="0" w:type="dxa"/>
            <w:noWrap/>
            <w:hideMark/>
          </w:tcPr>
          <w:p w14:paraId="1E04508E" w14:textId="4C904A8F"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269324EA" w14:textId="347B990C"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4E0BB280" w14:textId="77777777" w:rsidTr="00846F78">
        <w:tblPrEx>
          <w:tblCellMar>
            <w:left w:w="108" w:type="dxa"/>
            <w:right w:w="108" w:type="dxa"/>
          </w:tblCellMar>
        </w:tblPrEx>
        <w:trPr>
          <w:trHeight w:val="290"/>
        </w:trPr>
        <w:tc>
          <w:tcPr>
            <w:tcW w:w="0" w:type="dxa"/>
            <w:noWrap/>
            <w:vAlign w:val="center"/>
          </w:tcPr>
          <w:p w14:paraId="5C47C0B7" w14:textId="77777777" w:rsidR="00AC680C" w:rsidRPr="00490C53" w:rsidRDefault="00AC680C" w:rsidP="00AC680C">
            <w:pPr>
              <w:pStyle w:val="Tabletext"/>
              <w:rPr>
                <w:lang w:eastAsia="en-GB"/>
              </w:rPr>
            </w:pPr>
          </w:p>
        </w:tc>
        <w:tc>
          <w:tcPr>
            <w:tcW w:w="0" w:type="dxa"/>
            <w:noWrap/>
            <w:vAlign w:val="center"/>
            <w:hideMark/>
          </w:tcPr>
          <w:p w14:paraId="47B90904" w14:textId="77777777" w:rsidR="00AC680C" w:rsidRPr="00490C53" w:rsidRDefault="00AC680C" w:rsidP="00AC680C">
            <w:pPr>
              <w:pStyle w:val="Tabletext"/>
              <w:rPr>
                <w:lang w:eastAsia="en-GB"/>
              </w:rPr>
            </w:pPr>
            <w:r w:rsidRPr="00490C53">
              <w:rPr>
                <w:lang w:eastAsia="en-GB"/>
              </w:rPr>
              <w:t>&gt;200m</w:t>
            </w:r>
          </w:p>
        </w:tc>
        <w:tc>
          <w:tcPr>
            <w:tcW w:w="0" w:type="dxa"/>
            <w:noWrap/>
            <w:hideMark/>
          </w:tcPr>
          <w:p w14:paraId="209BC4CF" w14:textId="56892D29"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12D9F153" w14:textId="34B24BBD"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34521EAA"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31CBBEEE" w14:textId="77777777" w:rsidR="00AC680C" w:rsidRPr="00490C53" w:rsidRDefault="00AC680C" w:rsidP="00AC680C">
            <w:pPr>
              <w:pStyle w:val="Tabletext"/>
              <w:rPr>
                <w:lang w:eastAsia="en-GB"/>
              </w:rPr>
            </w:pPr>
          </w:p>
        </w:tc>
        <w:tc>
          <w:tcPr>
            <w:tcW w:w="0" w:type="dxa"/>
            <w:noWrap/>
            <w:vAlign w:val="center"/>
            <w:hideMark/>
          </w:tcPr>
          <w:p w14:paraId="70686F8C" w14:textId="77777777" w:rsidR="00AC680C" w:rsidRPr="00490C53" w:rsidRDefault="00AC680C" w:rsidP="00AC680C">
            <w:pPr>
              <w:pStyle w:val="Tabletext"/>
              <w:rPr>
                <w:lang w:eastAsia="en-GB"/>
              </w:rPr>
            </w:pPr>
            <w:r w:rsidRPr="00490C53">
              <w:rPr>
                <w:lang w:eastAsia="en-GB"/>
              </w:rPr>
              <w:t>Weighted average</w:t>
            </w:r>
          </w:p>
        </w:tc>
        <w:tc>
          <w:tcPr>
            <w:tcW w:w="0" w:type="dxa"/>
            <w:noWrap/>
            <w:hideMark/>
          </w:tcPr>
          <w:p w14:paraId="718C4BD0" w14:textId="0D771B8F" w:rsidR="00AC680C" w:rsidRPr="00490C53" w:rsidRDefault="00AC680C" w:rsidP="00AC680C">
            <w:pPr>
              <w:pStyle w:val="Tabletext"/>
              <w:jc w:val="right"/>
              <w:rPr>
                <w:rFonts w:cstheme="minorHAnsi"/>
                <w:szCs w:val="24"/>
                <w:lang w:eastAsia="en-GB"/>
              </w:rPr>
            </w:pPr>
            <w:r w:rsidRPr="00846F78">
              <w:rPr>
                <w:rFonts w:cstheme="minorHAnsi"/>
                <w:szCs w:val="24"/>
              </w:rPr>
              <w:t>6%</w:t>
            </w:r>
          </w:p>
        </w:tc>
        <w:tc>
          <w:tcPr>
            <w:tcW w:w="0" w:type="dxa"/>
            <w:noWrap/>
            <w:hideMark/>
          </w:tcPr>
          <w:p w14:paraId="2E455171" w14:textId="0BF8DF2D" w:rsidR="00AC680C" w:rsidRPr="00490C53" w:rsidRDefault="00AC680C" w:rsidP="00AC680C">
            <w:pPr>
              <w:pStyle w:val="Tabletext"/>
              <w:jc w:val="right"/>
              <w:rPr>
                <w:rFonts w:cstheme="minorHAnsi"/>
                <w:szCs w:val="24"/>
                <w:lang w:eastAsia="en-GB"/>
              </w:rPr>
            </w:pPr>
            <w:r w:rsidRPr="00846F78">
              <w:rPr>
                <w:rFonts w:cstheme="minorHAnsi"/>
                <w:szCs w:val="24"/>
              </w:rPr>
              <w:t>4%</w:t>
            </w:r>
          </w:p>
        </w:tc>
      </w:tr>
      <w:tr w:rsidR="00AC680C" w:rsidRPr="00490C53" w14:paraId="062E4417" w14:textId="77777777" w:rsidTr="00846F78">
        <w:tblPrEx>
          <w:tblCellMar>
            <w:left w:w="108" w:type="dxa"/>
            <w:right w:w="108" w:type="dxa"/>
          </w:tblCellMar>
        </w:tblPrEx>
        <w:trPr>
          <w:trHeight w:val="290"/>
        </w:trPr>
        <w:tc>
          <w:tcPr>
            <w:tcW w:w="0" w:type="dxa"/>
            <w:noWrap/>
            <w:vAlign w:val="center"/>
            <w:hideMark/>
          </w:tcPr>
          <w:p w14:paraId="4D6F2597" w14:textId="77777777" w:rsidR="00AC680C" w:rsidRPr="00490C53" w:rsidRDefault="00AC680C" w:rsidP="00AC680C">
            <w:pPr>
              <w:pStyle w:val="Tabletext"/>
              <w:rPr>
                <w:lang w:eastAsia="en-GB"/>
              </w:rPr>
            </w:pPr>
            <w:r w:rsidRPr="00490C53">
              <w:rPr>
                <w:lang w:eastAsia="en-GB"/>
              </w:rPr>
              <w:t>Construction</w:t>
            </w:r>
          </w:p>
        </w:tc>
        <w:tc>
          <w:tcPr>
            <w:tcW w:w="0" w:type="dxa"/>
            <w:noWrap/>
            <w:vAlign w:val="center"/>
            <w:hideMark/>
          </w:tcPr>
          <w:p w14:paraId="3C01F6C9" w14:textId="77777777" w:rsidR="00AC680C" w:rsidRPr="00490C53" w:rsidRDefault="00AC680C" w:rsidP="00AC680C">
            <w:pPr>
              <w:pStyle w:val="Tabletext"/>
              <w:rPr>
                <w:lang w:eastAsia="en-GB"/>
              </w:rPr>
            </w:pPr>
            <w:r w:rsidRPr="00490C53">
              <w:rPr>
                <w:lang w:eastAsia="en-GB"/>
              </w:rPr>
              <w:t>Less than 50K</w:t>
            </w:r>
          </w:p>
        </w:tc>
        <w:tc>
          <w:tcPr>
            <w:tcW w:w="0" w:type="dxa"/>
            <w:noWrap/>
            <w:hideMark/>
          </w:tcPr>
          <w:p w14:paraId="32654A32" w14:textId="2EA58E38" w:rsidR="00AC680C" w:rsidRPr="00490C53" w:rsidRDefault="00AC680C" w:rsidP="00AC680C">
            <w:pPr>
              <w:pStyle w:val="Tabletext"/>
              <w:jc w:val="right"/>
              <w:rPr>
                <w:rFonts w:cstheme="minorHAnsi"/>
                <w:szCs w:val="24"/>
                <w:lang w:eastAsia="en-GB"/>
              </w:rPr>
            </w:pPr>
            <w:r w:rsidRPr="00846F78">
              <w:rPr>
                <w:rFonts w:cstheme="minorHAnsi"/>
                <w:szCs w:val="24"/>
              </w:rPr>
              <w:t>9%</w:t>
            </w:r>
          </w:p>
        </w:tc>
        <w:tc>
          <w:tcPr>
            <w:tcW w:w="0" w:type="dxa"/>
            <w:noWrap/>
            <w:hideMark/>
          </w:tcPr>
          <w:p w14:paraId="72DC3D72" w14:textId="57FB5519" w:rsidR="00AC680C" w:rsidRPr="00490C53" w:rsidRDefault="00AC680C" w:rsidP="00AC680C">
            <w:pPr>
              <w:pStyle w:val="Tabletext"/>
              <w:jc w:val="right"/>
              <w:rPr>
                <w:rFonts w:cstheme="minorHAnsi"/>
                <w:szCs w:val="24"/>
                <w:lang w:eastAsia="en-GB"/>
              </w:rPr>
            </w:pPr>
            <w:r w:rsidRPr="00846F78">
              <w:rPr>
                <w:rFonts w:cstheme="minorHAnsi"/>
                <w:szCs w:val="24"/>
              </w:rPr>
              <w:t>19%</w:t>
            </w:r>
          </w:p>
        </w:tc>
      </w:tr>
      <w:tr w:rsidR="00AC680C" w:rsidRPr="00490C53" w14:paraId="5EB50972"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37F6DBA1" w14:textId="77777777" w:rsidR="00AC680C" w:rsidRPr="00490C53" w:rsidRDefault="00AC680C" w:rsidP="00AC680C">
            <w:pPr>
              <w:pStyle w:val="Tabletext"/>
              <w:rPr>
                <w:lang w:eastAsia="en-GB"/>
              </w:rPr>
            </w:pPr>
          </w:p>
        </w:tc>
        <w:tc>
          <w:tcPr>
            <w:tcW w:w="0" w:type="dxa"/>
            <w:noWrap/>
            <w:vAlign w:val="center"/>
            <w:hideMark/>
          </w:tcPr>
          <w:p w14:paraId="14548EF3" w14:textId="77777777" w:rsidR="00AC680C" w:rsidRPr="00490C53" w:rsidRDefault="00AC680C" w:rsidP="00AC680C">
            <w:pPr>
              <w:pStyle w:val="Tabletext"/>
              <w:rPr>
                <w:lang w:eastAsia="en-GB"/>
              </w:rPr>
            </w:pPr>
            <w:r w:rsidRPr="00490C53">
              <w:rPr>
                <w:lang w:eastAsia="en-GB"/>
              </w:rPr>
              <w:t>50,001 to 100K</w:t>
            </w:r>
          </w:p>
        </w:tc>
        <w:tc>
          <w:tcPr>
            <w:tcW w:w="0" w:type="dxa"/>
            <w:noWrap/>
            <w:hideMark/>
          </w:tcPr>
          <w:p w14:paraId="0AFCC37E" w14:textId="61C403EC" w:rsidR="00AC680C" w:rsidRPr="00490C53" w:rsidRDefault="00AC680C" w:rsidP="00AC680C">
            <w:pPr>
              <w:pStyle w:val="Tabletext"/>
              <w:jc w:val="right"/>
              <w:rPr>
                <w:rFonts w:cstheme="minorHAnsi"/>
                <w:szCs w:val="24"/>
                <w:lang w:eastAsia="en-GB"/>
              </w:rPr>
            </w:pPr>
            <w:r w:rsidRPr="00846F78">
              <w:rPr>
                <w:rFonts w:cstheme="minorHAnsi"/>
                <w:szCs w:val="24"/>
              </w:rPr>
              <w:t>5%</w:t>
            </w:r>
          </w:p>
        </w:tc>
        <w:tc>
          <w:tcPr>
            <w:tcW w:w="0" w:type="dxa"/>
            <w:noWrap/>
            <w:hideMark/>
          </w:tcPr>
          <w:p w14:paraId="1DE469A1" w14:textId="77817A80" w:rsidR="00AC680C" w:rsidRPr="00490C53" w:rsidRDefault="00AC680C" w:rsidP="00AC680C">
            <w:pPr>
              <w:pStyle w:val="Tabletext"/>
              <w:jc w:val="right"/>
              <w:rPr>
                <w:rFonts w:cstheme="minorHAnsi"/>
                <w:szCs w:val="24"/>
                <w:lang w:eastAsia="en-GB"/>
              </w:rPr>
            </w:pPr>
            <w:r w:rsidRPr="00846F78">
              <w:rPr>
                <w:rFonts w:cstheme="minorHAnsi"/>
                <w:szCs w:val="24"/>
              </w:rPr>
              <w:t>10%</w:t>
            </w:r>
          </w:p>
        </w:tc>
      </w:tr>
      <w:tr w:rsidR="00AC680C" w:rsidRPr="00490C53" w14:paraId="187F5518" w14:textId="77777777" w:rsidTr="00846F78">
        <w:tblPrEx>
          <w:tblCellMar>
            <w:left w:w="108" w:type="dxa"/>
            <w:right w:w="108" w:type="dxa"/>
          </w:tblCellMar>
        </w:tblPrEx>
        <w:trPr>
          <w:trHeight w:val="290"/>
        </w:trPr>
        <w:tc>
          <w:tcPr>
            <w:tcW w:w="0" w:type="dxa"/>
            <w:noWrap/>
            <w:vAlign w:val="center"/>
          </w:tcPr>
          <w:p w14:paraId="623850F3" w14:textId="77777777" w:rsidR="00AC680C" w:rsidRPr="00490C53" w:rsidRDefault="00AC680C" w:rsidP="00AC680C">
            <w:pPr>
              <w:pStyle w:val="Tabletext"/>
              <w:rPr>
                <w:lang w:eastAsia="en-GB"/>
              </w:rPr>
            </w:pPr>
          </w:p>
        </w:tc>
        <w:tc>
          <w:tcPr>
            <w:tcW w:w="0" w:type="dxa"/>
            <w:noWrap/>
            <w:vAlign w:val="center"/>
            <w:hideMark/>
          </w:tcPr>
          <w:p w14:paraId="258661C1" w14:textId="77777777" w:rsidR="00AC680C" w:rsidRPr="00490C53" w:rsidRDefault="00AC680C" w:rsidP="00AC680C">
            <w:pPr>
              <w:pStyle w:val="Tabletext"/>
              <w:rPr>
                <w:lang w:eastAsia="en-GB"/>
              </w:rPr>
            </w:pPr>
            <w:r w:rsidRPr="00490C53">
              <w:rPr>
                <w:lang w:eastAsia="en-GB"/>
              </w:rPr>
              <w:t>100,001 to 250K</w:t>
            </w:r>
          </w:p>
        </w:tc>
        <w:tc>
          <w:tcPr>
            <w:tcW w:w="0" w:type="dxa"/>
            <w:noWrap/>
            <w:hideMark/>
          </w:tcPr>
          <w:p w14:paraId="2F60FD09" w14:textId="5B1EE15D" w:rsidR="00AC680C" w:rsidRPr="00490C53" w:rsidRDefault="00AC680C" w:rsidP="00AC680C">
            <w:pPr>
              <w:pStyle w:val="Tabletext"/>
              <w:jc w:val="right"/>
              <w:rPr>
                <w:rFonts w:cstheme="minorHAnsi"/>
                <w:szCs w:val="24"/>
                <w:lang w:eastAsia="en-GB"/>
              </w:rPr>
            </w:pPr>
            <w:r w:rsidRPr="00846F78">
              <w:rPr>
                <w:rFonts w:cstheme="minorHAnsi"/>
                <w:szCs w:val="24"/>
              </w:rPr>
              <w:t>5%</w:t>
            </w:r>
          </w:p>
        </w:tc>
        <w:tc>
          <w:tcPr>
            <w:tcW w:w="0" w:type="dxa"/>
            <w:noWrap/>
            <w:hideMark/>
          </w:tcPr>
          <w:p w14:paraId="36D80688" w14:textId="2F757EFB" w:rsidR="00AC680C" w:rsidRPr="00490C53" w:rsidRDefault="00AC680C" w:rsidP="00AC680C">
            <w:pPr>
              <w:pStyle w:val="Tabletext"/>
              <w:jc w:val="right"/>
              <w:rPr>
                <w:rFonts w:cstheme="minorHAnsi"/>
                <w:szCs w:val="24"/>
                <w:lang w:eastAsia="en-GB"/>
              </w:rPr>
            </w:pPr>
            <w:r w:rsidRPr="00846F78">
              <w:rPr>
                <w:rFonts w:cstheme="minorHAnsi"/>
                <w:szCs w:val="24"/>
              </w:rPr>
              <w:t>3%</w:t>
            </w:r>
          </w:p>
        </w:tc>
      </w:tr>
      <w:tr w:rsidR="00AC680C" w:rsidRPr="00490C53" w14:paraId="10F85A80"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67F02A58" w14:textId="77777777" w:rsidR="00AC680C" w:rsidRPr="00490C53" w:rsidRDefault="00AC680C" w:rsidP="00AC680C">
            <w:pPr>
              <w:pStyle w:val="Tabletext"/>
              <w:rPr>
                <w:lang w:eastAsia="en-GB"/>
              </w:rPr>
            </w:pPr>
          </w:p>
        </w:tc>
        <w:tc>
          <w:tcPr>
            <w:tcW w:w="0" w:type="dxa"/>
            <w:noWrap/>
            <w:vAlign w:val="center"/>
            <w:hideMark/>
          </w:tcPr>
          <w:p w14:paraId="03956DC1" w14:textId="77777777" w:rsidR="00AC680C" w:rsidRPr="00490C53" w:rsidRDefault="00AC680C" w:rsidP="00AC680C">
            <w:pPr>
              <w:pStyle w:val="Tabletext"/>
              <w:rPr>
                <w:lang w:eastAsia="en-GB"/>
              </w:rPr>
            </w:pPr>
            <w:r w:rsidRPr="00490C53">
              <w:rPr>
                <w:lang w:eastAsia="en-GB"/>
              </w:rPr>
              <w:t>250,001 to 500K</w:t>
            </w:r>
          </w:p>
        </w:tc>
        <w:tc>
          <w:tcPr>
            <w:tcW w:w="0" w:type="dxa"/>
            <w:noWrap/>
            <w:hideMark/>
          </w:tcPr>
          <w:p w14:paraId="16A03B4A" w14:textId="2786D1F7" w:rsidR="00AC680C" w:rsidRPr="00490C53" w:rsidRDefault="00AC680C" w:rsidP="00AC680C">
            <w:pPr>
              <w:pStyle w:val="Tabletext"/>
              <w:jc w:val="right"/>
              <w:rPr>
                <w:rFonts w:cstheme="minorHAnsi"/>
                <w:szCs w:val="24"/>
                <w:lang w:eastAsia="en-GB"/>
              </w:rPr>
            </w:pPr>
            <w:r w:rsidRPr="00846F78">
              <w:rPr>
                <w:rFonts w:cstheme="minorHAnsi"/>
                <w:szCs w:val="24"/>
              </w:rPr>
              <w:t>7%</w:t>
            </w:r>
          </w:p>
        </w:tc>
        <w:tc>
          <w:tcPr>
            <w:tcW w:w="0" w:type="dxa"/>
            <w:noWrap/>
            <w:hideMark/>
          </w:tcPr>
          <w:p w14:paraId="1C0F45E0" w14:textId="7DBD3C10" w:rsidR="00AC680C" w:rsidRPr="00490C53" w:rsidRDefault="00AC680C" w:rsidP="00AC680C">
            <w:pPr>
              <w:pStyle w:val="Tabletext"/>
              <w:jc w:val="right"/>
              <w:rPr>
                <w:rFonts w:cstheme="minorHAnsi"/>
                <w:szCs w:val="24"/>
                <w:lang w:eastAsia="en-GB"/>
              </w:rPr>
            </w:pPr>
            <w:r w:rsidRPr="00846F78">
              <w:rPr>
                <w:rFonts w:cstheme="minorHAnsi"/>
                <w:szCs w:val="24"/>
              </w:rPr>
              <w:t>7%</w:t>
            </w:r>
          </w:p>
        </w:tc>
      </w:tr>
      <w:tr w:rsidR="00AC680C" w:rsidRPr="00490C53" w14:paraId="2F3FBC1A" w14:textId="77777777" w:rsidTr="00846F78">
        <w:tblPrEx>
          <w:tblCellMar>
            <w:left w:w="108" w:type="dxa"/>
            <w:right w:w="108" w:type="dxa"/>
          </w:tblCellMar>
        </w:tblPrEx>
        <w:trPr>
          <w:trHeight w:val="290"/>
        </w:trPr>
        <w:tc>
          <w:tcPr>
            <w:tcW w:w="0" w:type="dxa"/>
            <w:noWrap/>
            <w:vAlign w:val="center"/>
          </w:tcPr>
          <w:p w14:paraId="22B495DA" w14:textId="77777777" w:rsidR="00AC680C" w:rsidRPr="00490C53" w:rsidRDefault="00AC680C" w:rsidP="00AC680C">
            <w:pPr>
              <w:pStyle w:val="Tabletext"/>
              <w:rPr>
                <w:lang w:eastAsia="en-GB"/>
              </w:rPr>
            </w:pPr>
          </w:p>
        </w:tc>
        <w:tc>
          <w:tcPr>
            <w:tcW w:w="0" w:type="dxa"/>
            <w:noWrap/>
            <w:vAlign w:val="center"/>
            <w:hideMark/>
          </w:tcPr>
          <w:p w14:paraId="04E58C43" w14:textId="77777777" w:rsidR="00AC680C" w:rsidRPr="00490C53" w:rsidRDefault="00AC680C" w:rsidP="00AC680C">
            <w:pPr>
              <w:pStyle w:val="Tabletext"/>
              <w:rPr>
                <w:lang w:eastAsia="en-GB"/>
              </w:rPr>
            </w:pPr>
            <w:r w:rsidRPr="00490C53">
              <w:rPr>
                <w:lang w:eastAsia="en-GB"/>
              </w:rPr>
              <w:t>500,001 to 1m</w:t>
            </w:r>
          </w:p>
        </w:tc>
        <w:tc>
          <w:tcPr>
            <w:tcW w:w="0" w:type="dxa"/>
            <w:noWrap/>
            <w:hideMark/>
          </w:tcPr>
          <w:p w14:paraId="7542A56D" w14:textId="62A55B2D" w:rsidR="00AC680C" w:rsidRPr="00490C53" w:rsidRDefault="00AC680C" w:rsidP="00AC680C">
            <w:pPr>
              <w:pStyle w:val="Tabletext"/>
              <w:jc w:val="right"/>
              <w:rPr>
                <w:rFonts w:cstheme="minorHAnsi"/>
                <w:szCs w:val="24"/>
                <w:lang w:eastAsia="en-GB"/>
              </w:rPr>
            </w:pPr>
            <w:r w:rsidRPr="00846F78">
              <w:rPr>
                <w:rFonts w:cstheme="minorHAnsi"/>
                <w:szCs w:val="24"/>
              </w:rPr>
              <w:t>7%</w:t>
            </w:r>
          </w:p>
        </w:tc>
        <w:tc>
          <w:tcPr>
            <w:tcW w:w="0" w:type="dxa"/>
            <w:noWrap/>
            <w:hideMark/>
          </w:tcPr>
          <w:p w14:paraId="18D1448E" w14:textId="6BBDB45E" w:rsidR="00AC680C" w:rsidRPr="00490C53" w:rsidRDefault="00AC680C" w:rsidP="00AC680C">
            <w:pPr>
              <w:pStyle w:val="Tabletext"/>
              <w:jc w:val="right"/>
              <w:rPr>
                <w:rFonts w:cstheme="minorHAnsi"/>
                <w:szCs w:val="24"/>
                <w:lang w:eastAsia="en-GB"/>
              </w:rPr>
            </w:pPr>
            <w:r w:rsidRPr="00846F78">
              <w:rPr>
                <w:rFonts w:cstheme="minorHAnsi"/>
                <w:szCs w:val="24"/>
              </w:rPr>
              <w:t>7%</w:t>
            </w:r>
          </w:p>
        </w:tc>
      </w:tr>
      <w:tr w:rsidR="00AC680C" w:rsidRPr="00490C53" w14:paraId="2242408A"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3B1FF3FB" w14:textId="77777777" w:rsidR="00AC680C" w:rsidRPr="00490C53" w:rsidRDefault="00AC680C" w:rsidP="00AC680C">
            <w:pPr>
              <w:pStyle w:val="Tabletext"/>
              <w:rPr>
                <w:lang w:eastAsia="en-GB"/>
              </w:rPr>
            </w:pPr>
          </w:p>
        </w:tc>
        <w:tc>
          <w:tcPr>
            <w:tcW w:w="0" w:type="dxa"/>
            <w:noWrap/>
            <w:vAlign w:val="center"/>
            <w:hideMark/>
          </w:tcPr>
          <w:p w14:paraId="53DFC969" w14:textId="77777777" w:rsidR="00AC680C" w:rsidRPr="00490C53" w:rsidRDefault="00AC680C" w:rsidP="00AC680C">
            <w:pPr>
              <w:pStyle w:val="Tabletext"/>
              <w:rPr>
                <w:lang w:eastAsia="en-GB"/>
              </w:rPr>
            </w:pPr>
            <w:r w:rsidRPr="00490C53">
              <w:rPr>
                <w:lang w:eastAsia="en-GB"/>
              </w:rPr>
              <w:t>1m to 5m</w:t>
            </w:r>
          </w:p>
        </w:tc>
        <w:tc>
          <w:tcPr>
            <w:tcW w:w="0" w:type="dxa"/>
            <w:noWrap/>
            <w:hideMark/>
          </w:tcPr>
          <w:p w14:paraId="4B3EAA32" w14:textId="48D69650" w:rsidR="00AC680C" w:rsidRPr="00490C53" w:rsidRDefault="00AC680C" w:rsidP="00AC680C">
            <w:pPr>
              <w:pStyle w:val="Tabletext"/>
              <w:jc w:val="right"/>
              <w:rPr>
                <w:rFonts w:cstheme="minorHAnsi"/>
                <w:szCs w:val="24"/>
                <w:lang w:eastAsia="en-GB"/>
              </w:rPr>
            </w:pPr>
            <w:r w:rsidRPr="00846F78">
              <w:rPr>
                <w:rFonts w:cstheme="minorHAnsi"/>
                <w:szCs w:val="24"/>
              </w:rPr>
              <w:t>6%</w:t>
            </w:r>
          </w:p>
        </w:tc>
        <w:tc>
          <w:tcPr>
            <w:tcW w:w="0" w:type="dxa"/>
            <w:noWrap/>
            <w:hideMark/>
          </w:tcPr>
          <w:p w14:paraId="3E140CF7" w14:textId="68BE5B07" w:rsidR="00AC680C" w:rsidRPr="00490C53" w:rsidRDefault="00AC680C" w:rsidP="00AC680C">
            <w:pPr>
              <w:pStyle w:val="Tabletext"/>
              <w:jc w:val="right"/>
              <w:rPr>
                <w:rFonts w:cstheme="minorHAnsi"/>
                <w:szCs w:val="24"/>
                <w:lang w:eastAsia="en-GB"/>
              </w:rPr>
            </w:pPr>
            <w:r w:rsidRPr="00846F78">
              <w:rPr>
                <w:rFonts w:cstheme="minorHAnsi"/>
                <w:szCs w:val="24"/>
              </w:rPr>
              <w:t>6%</w:t>
            </w:r>
          </w:p>
        </w:tc>
      </w:tr>
      <w:tr w:rsidR="00AC680C" w:rsidRPr="00490C53" w14:paraId="3757A757" w14:textId="77777777" w:rsidTr="00846F78">
        <w:tblPrEx>
          <w:tblCellMar>
            <w:left w:w="108" w:type="dxa"/>
            <w:right w:w="108" w:type="dxa"/>
          </w:tblCellMar>
        </w:tblPrEx>
        <w:trPr>
          <w:trHeight w:val="290"/>
        </w:trPr>
        <w:tc>
          <w:tcPr>
            <w:tcW w:w="0" w:type="dxa"/>
            <w:noWrap/>
            <w:vAlign w:val="center"/>
          </w:tcPr>
          <w:p w14:paraId="62B2BBAF" w14:textId="77777777" w:rsidR="00AC680C" w:rsidRPr="00490C53" w:rsidRDefault="00AC680C" w:rsidP="00AC680C">
            <w:pPr>
              <w:pStyle w:val="Tabletext"/>
              <w:rPr>
                <w:lang w:eastAsia="en-GB"/>
              </w:rPr>
            </w:pPr>
          </w:p>
        </w:tc>
        <w:tc>
          <w:tcPr>
            <w:tcW w:w="0" w:type="dxa"/>
            <w:noWrap/>
            <w:vAlign w:val="center"/>
            <w:hideMark/>
          </w:tcPr>
          <w:p w14:paraId="7DD70256" w14:textId="77777777" w:rsidR="00AC680C" w:rsidRPr="00490C53" w:rsidRDefault="00AC680C" w:rsidP="00AC680C">
            <w:pPr>
              <w:pStyle w:val="Tabletext"/>
              <w:rPr>
                <w:lang w:eastAsia="en-GB"/>
              </w:rPr>
            </w:pPr>
            <w:r w:rsidRPr="00490C53">
              <w:rPr>
                <w:lang w:eastAsia="en-GB"/>
              </w:rPr>
              <w:t>5m to 25m</w:t>
            </w:r>
          </w:p>
        </w:tc>
        <w:tc>
          <w:tcPr>
            <w:tcW w:w="0" w:type="dxa"/>
            <w:noWrap/>
            <w:hideMark/>
          </w:tcPr>
          <w:p w14:paraId="3C818E4F" w14:textId="6B515D97"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513D4A49" w14:textId="2D158993" w:rsidR="00AC680C" w:rsidRPr="00490C53" w:rsidRDefault="00AC680C" w:rsidP="00AC680C">
            <w:pPr>
              <w:pStyle w:val="Tabletext"/>
              <w:jc w:val="right"/>
              <w:rPr>
                <w:rFonts w:cstheme="minorHAnsi"/>
                <w:szCs w:val="24"/>
                <w:lang w:eastAsia="en-GB"/>
              </w:rPr>
            </w:pPr>
            <w:r w:rsidRPr="00846F78">
              <w:rPr>
                <w:rFonts w:cstheme="minorHAnsi"/>
                <w:szCs w:val="24"/>
              </w:rPr>
              <w:t>1%</w:t>
            </w:r>
          </w:p>
        </w:tc>
      </w:tr>
      <w:tr w:rsidR="00AC680C" w:rsidRPr="00490C53" w14:paraId="0BDE9373"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38BB7FC2" w14:textId="77777777" w:rsidR="00AC680C" w:rsidRPr="00490C53" w:rsidRDefault="00AC680C" w:rsidP="00AC680C">
            <w:pPr>
              <w:pStyle w:val="Tabletext"/>
              <w:rPr>
                <w:lang w:eastAsia="en-GB"/>
              </w:rPr>
            </w:pPr>
          </w:p>
        </w:tc>
        <w:tc>
          <w:tcPr>
            <w:tcW w:w="0" w:type="dxa"/>
            <w:noWrap/>
            <w:vAlign w:val="center"/>
            <w:hideMark/>
          </w:tcPr>
          <w:p w14:paraId="0C211670" w14:textId="77777777" w:rsidR="00AC680C" w:rsidRPr="00490C53" w:rsidRDefault="00AC680C" w:rsidP="00AC680C">
            <w:pPr>
              <w:pStyle w:val="Tabletext"/>
              <w:rPr>
                <w:lang w:eastAsia="en-GB"/>
              </w:rPr>
            </w:pPr>
            <w:r w:rsidRPr="00490C53">
              <w:rPr>
                <w:lang w:eastAsia="en-GB"/>
              </w:rPr>
              <w:t>25m to 50m</w:t>
            </w:r>
          </w:p>
        </w:tc>
        <w:tc>
          <w:tcPr>
            <w:tcW w:w="0" w:type="dxa"/>
            <w:noWrap/>
            <w:hideMark/>
          </w:tcPr>
          <w:p w14:paraId="6C667BCF" w14:textId="2B806497"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32A8AC16" w14:textId="242A6D3F" w:rsidR="00AC680C" w:rsidRPr="00490C53" w:rsidRDefault="00AC680C" w:rsidP="00AC680C">
            <w:pPr>
              <w:pStyle w:val="Tabletext"/>
              <w:jc w:val="right"/>
              <w:rPr>
                <w:rFonts w:cstheme="minorHAnsi"/>
                <w:szCs w:val="24"/>
                <w:lang w:eastAsia="en-GB"/>
              </w:rPr>
            </w:pPr>
            <w:r w:rsidRPr="00846F78">
              <w:rPr>
                <w:rFonts w:cstheme="minorHAnsi"/>
                <w:szCs w:val="24"/>
              </w:rPr>
              <w:t>2%</w:t>
            </w:r>
          </w:p>
        </w:tc>
      </w:tr>
      <w:tr w:rsidR="00AC680C" w:rsidRPr="00490C53" w14:paraId="0EAA6F0E" w14:textId="77777777" w:rsidTr="00846F78">
        <w:tblPrEx>
          <w:tblCellMar>
            <w:left w:w="108" w:type="dxa"/>
            <w:right w:w="108" w:type="dxa"/>
          </w:tblCellMar>
        </w:tblPrEx>
        <w:trPr>
          <w:trHeight w:val="290"/>
        </w:trPr>
        <w:tc>
          <w:tcPr>
            <w:tcW w:w="0" w:type="dxa"/>
            <w:noWrap/>
            <w:vAlign w:val="center"/>
          </w:tcPr>
          <w:p w14:paraId="74CB52E1" w14:textId="77777777" w:rsidR="00AC680C" w:rsidRPr="00490C53" w:rsidRDefault="00AC680C" w:rsidP="00AC680C">
            <w:pPr>
              <w:pStyle w:val="Tabletext"/>
              <w:rPr>
                <w:lang w:eastAsia="en-GB"/>
              </w:rPr>
            </w:pPr>
          </w:p>
        </w:tc>
        <w:tc>
          <w:tcPr>
            <w:tcW w:w="0" w:type="dxa"/>
            <w:noWrap/>
            <w:vAlign w:val="center"/>
            <w:hideMark/>
          </w:tcPr>
          <w:p w14:paraId="3737731B" w14:textId="77777777" w:rsidR="00AC680C" w:rsidRPr="00490C53" w:rsidRDefault="00AC680C" w:rsidP="00AC680C">
            <w:pPr>
              <w:pStyle w:val="Tabletext"/>
              <w:rPr>
                <w:lang w:eastAsia="en-GB"/>
              </w:rPr>
            </w:pPr>
            <w:r w:rsidRPr="00490C53">
              <w:rPr>
                <w:lang w:eastAsia="en-GB"/>
              </w:rPr>
              <w:t>50m to 200m</w:t>
            </w:r>
          </w:p>
        </w:tc>
        <w:tc>
          <w:tcPr>
            <w:tcW w:w="0" w:type="dxa"/>
            <w:noWrap/>
            <w:hideMark/>
          </w:tcPr>
          <w:p w14:paraId="6547A5E7" w14:textId="779FBCB5"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08B4799F" w14:textId="46D903DC"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4C95C5F1"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3B731898" w14:textId="77777777" w:rsidR="00AC680C" w:rsidRPr="00490C53" w:rsidRDefault="00AC680C" w:rsidP="00AC680C">
            <w:pPr>
              <w:pStyle w:val="Tabletext"/>
              <w:rPr>
                <w:lang w:eastAsia="en-GB"/>
              </w:rPr>
            </w:pPr>
          </w:p>
        </w:tc>
        <w:tc>
          <w:tcPr>
            <w:tcW w:w="0" w:type="dxa"/>
            <w:noWrap/>
            <w:vAlign w:val="center"/>
            <w:hideMark/>
          </w:tcPr>
          <w:p w14:paraId="49835503" w14:textId="77777777" w:rsidR="00AC680C" w:rsidRPr="00490C53" w:rsidRDefault="00AC680C" w:rsidP="00AC680C">
            <w:pPr>
              <w:pStyle w:val="Tabletext"/>
              <w:rPr>
                <w:lang w:eastAsia="en-GB"/>
              </w:rPr>
            </w:pPr>
            <w:r w:rsidRPr="00490C53">
              <w:rPr>
                <w:lang w:eastAsia="en-GB"/>
              </w:rPr>
              <w:t>&gt;200m</w:t>
            </w:r>
          </w:p>
        </w:tc>
        <w:tc>
          <w:tcPr>
            <w:tcW w:w="0" w:type="dxa"/>
            <w:noWrap/>
            <w:hideMark/>
          </w:tcPr>
          <w:p w14:paraId="4E612D1B" w14:textId="46177360"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010C368F" w14:textId="5F5D90C2"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1904E4CD" w14:textId="77777777" w:rsidTr="00846F78">
        <w:tblPrEx>
          <w:tblCellMar>
            <w:left w:w="108" w:type="dxa"/>
            <w:right w:w="108" w:type="dxa"/>
          </w:tblCellMar>
        </w:tblPrEx>
        <w:trPr>
          <w:trHeight w:val="290"/>
        </w:trPr>
        <w:tc>
          <w:tcPr>
            <w:tcW w:w="0" w:type="dxa"/>
            <w:noWrap/>
            <w:vAlign w:val="center"/>
          </w:tcPr>
          <w:p w14:paraId="28D79F05" w14:textId="77777777" w:rsidR="00AC680C" w:rsidRPr="00490C53" w:rsidRDefault="00AC680C" w:rsidP="00AC680C">
            <w:pPr>
              <w:pStyle w:val="Tabletext"/>
              <w:rPr>
                <w:lang w:eastAsia="en-GB"/>
              </w:rPr>
            </w:pPr>
          </w:p>
        </w:tc>
        <w:tc>
          <w:tcPr>
            <w:tcW w:w="0" w:type="dxa"/>
            <w:noWrap/>
            <w:vAlign w:val="center"/>
            <w:hideMark/>
          </w:tcPr>
          <w:p w14:paraId="72FC5A68" w14:textId="77777777" w:rsidR="00AC680C" w:rsidRPr="00490C53" w:rsidRDefault="00AC680C" w:rsidP="00AC680C">
            <w:pPr>
              <w:pStyle w:val="Tabletext"/>
              <w:rPr>
                <w:lang w:eastAsia="en-GB"/>
              </w:rPr>
            </w:pPr>
            <w:r w:rsidRPr="00490C53">
              <w:rPr>
                <w:lang w:eastAsia="en-GB"/>
              </w:rPr>
              <w:t>Weighted average</w:t>
            </w:r>
          </w:p>
        </w:tc>
        <w:tc>
          <w:tcPr>
            <w:tcW w:w="0" w:type="dxa"/>
            <w:noWrap/>
            <w:hideMark/>
          </w:tcPr>
          <w:p w14:paraId="56252E95" w14:textId="22F7E428" w:rsidR="00AC680C" w:rsidRPr="00490C53" w:rsidRDefault="00AC680C" w:rsidP="00AC680C">
            <w:pPr>
              <w:pStyle w:val="Tabletext"/>
              <w:jc w:val="right"/>
              <w:rPr>
                <w:rFonts w:cstheme="minorHAnsi"/>
                <w:szCs w:val="24"/>
                <w:lang w:eastAsia="en-GB"/>
              </w:rPr>
            </w:pPr>
            <w:r w:rsidRPr="00846F78">
              <w:rPr>
                <w:rFonts w:cstheme="minorHAnsi"/>
                <w:szCs w:val="24"/>
              </w:rPr>
              <w:t>6%</w:t>
            </w:r>
          </w:p>
        </w:tc>
        <w:tc>
          <w:tcPr>
            <w:tcW w:w="0" w:type="dxa"/>
            <w:noWrap/>
            <w:hideMark/>
          </w:tcPr>
          <w:p w14:paraId="6B78EC0F" w14:textId="15D9E455" w:rsidR="00AC680C" w:rsidRPr="00490C53" w:rsidRDefault="00AC680C" w:rsidP="00AC680C">
            <w:pPr>
              <w:pStyle w:val="Tabletext"/>
              <w:jc w:val="right"/>
              <w:rPr>
                <w:rFonts w:cstheme="minorHAnsi"/>
                <w:szCs w:val="24"/>
                <w:lang w:eastAsia="en-GB"/>
              </w:rPr>
            </w:pPr>
            <w:r w:rsidRPr="00846F78">
              <w:rPr>
                <w:rFonts w:cstheme="minorHAnsi"/>
                <w:szCs w:val="24"/>
              </w:rPr>
              <w:t>6%</w:t>
            </w:r>
          </w:p>
        </w:tc>
      </w:tr>
      <w:tr w:rsidR="00AC680C" w:rsidRPr="00490C53" w14:paraId="4A425EAA"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hideMark/>
          </w:tcPr>
          <w:p w14:paraId="6BCA4EEF" w14:textId="77777777" w:rsidR="00AC680C" w:rsidRPr="00490C53" w:rsidRDefault="00AC680C" w:rsidP="00AC680C">
            <w:pPr>
              <w:pStyle w:val="Tabletext"/>
              <w:rPr>
                <w:lang w:eastAsia="en-GB"/>
              </w:rPr>
            </w:pPr>
            <w:r w:rsidRPr="00490C53">
              <w:rPr>
                <w:lang w:eastAsia="en-GB"/>
              </w:rPr>
              <w:t>Distribution</w:t>
            </w:r>
          </w:p>
        </w:tc>
        <w:tc>
          <w:tcPr>
            <w:tcW w:w="0" w:type="dxa"/>
            <w:noWrap/>
            <w:vAlign w:val="center"/>
            <w:hideMark/>
          </w:tcPr>
          <w:p w14:paraId="4B430515" w14:textId="77777777" w:rsidR="00AC680C" w:rsidRPr="00490C53" w:rsidRDefault="00AC680C" w:rsidP="00AC680C">
            <w:pPr>
              <w:pStyle w:val="Tabletext"/>
              <w:rPr>
                <w:lang w:eastAsia="en-GB"/>
              </w:rPr>
            </w:pPr>
            <w:r w:rsidRPr="00490C53">
              <w:rPr>
                <w:lang w:eastAsia="en-GB"/>
              </w:rPr>
              <w:t>Less than 50K</w:t>
            </w:r>
          </w:p>
        </w:tc>
        <w:tc>
          <w:tcPr>
            <w:tcW w:w="0" w:type="dxa"/>
            <w:noWrap/>
            <w:hideMark/>
          </w:tcPr>
          <w:p w14:paraId="6526E3F3" w14:textId="4DCEEEA7" w:rsidR="00AC680C" w:rsidRPr="00490C53" w:rsidRDefault="00AC680C" w:rsidP="00AC680C">
            <w:pPr>
              <w:pStyle w:val="Tabletext"/>
              <w:jc w:val="right"/>
              <w:rPr>
                <w:rFonts w:cstheme="minorHAnsi"/>
                <w:szCs w:val="24"/>
                <w:lang w:eastAsia="en-GB"/>
              </w:rPr>
            </w:pPr>
            <w:r w:rsidRPr="00846F78">
              <w:rPr>
                <w:rFonts w:cstheme="minorHAnsi"/>
                <w:szCs w:val="24"/>
              </w:rPr>
              <w:t>9%</w:t>
            </w:r>
          </w:p>
        </w:tc>
        <w:tc>
          <w:tcPr>
            <w:tcW w:w="0" w:type="dxa"/>
            <w:noWrap/>
            <w:hideMark/>
          </w:tcPr>
          <w:p w14:paraId="2003BBA5" w14:textId="5F3FDC1D" w:rsidR="00AC680C" w:rsidRPr="00490C53" w:rsidRDefault="00AC680C" w:rsidP="00AC680C">
            <w:pPr>
              <w:pStyle w:val="Tabletext"/>
              <w:jc w:val="right"/>
              <w:rPr>
                <w:rFonts w:cstheme="minorHAnsi"/>
                <w:szCs w:val="24"/>
                <w:lang w:eastAsia="en-GB"/>
              </w:rPr>
            </w:pPr>
            <w:r w:rsidRPr="00846F78">
              <w:rPr>
                <w:rFonts w:cstheme="minorHAnsi"/>
                <w:szCs w:val="24"/>
              </w:rPr>
              <w:t>10%</w:t>
            </w:r>
          </w:p>
        </w:tc>
      </w:tr>
      <w:tr w:rsidR="00AC680C" w:rsidRPr="00490C53" w14:paraId="3EA65926" w14:textId="77777777" w:rsidTr="00846F78">
        <w:tblPrEx>
          <w:tblCellMar>
            <w:left w:w="108" w:type="dxa"/>
            <w:right w:w="108" w:type="dxa"/>
          </w:tblCellMar>
        </w:tblPrEx>
        <w:trPr>
          <w:trHeight w:val="290"/>
        </w:trPr>
        <w:tc>
          <w:tcPr>
            <w:tcW w:w="0" w:type="dxa"/>
            <w:noWrap/>
            <w:vAlign w:val="center"/>
          </w:tcPr>
          <w:p w14:paraId="6F3682A9" w14:textId="77777777" w:rsidR="00AC680C" w:rsidRPr="00490C53" w:rsidRDefault="00AC680C" w:rsidP="00AC680C">
            <w:pPr>
              <w:pStyle w:val="Tabletext"/>
              <w:rPr>
                <w:lang w:eastAsia="en-GB"/>
              </w:rPr>
            </w:pPr>
          </w:p>
        </w:tc>
        <w:tc>
          <w:tcPr>
            <w:tcW w:w="0" w:type="dxa"/>
            <w:noWrap/>
            <w:vAlign w:val="center"/>
            <w:hideMark/>
          </w:tcPr>
          <w:p w14:paraId="193F849C" w14:textId="77777777" w:rsidR="00AC680C" w:rsidRPr="00490C53" w:rsidRDefault="00AC680C" w:rsidP="00AC680C">
            <w:pPr>
              <w:pStyle w:val="Tabletext"/>
              <w:rPr>
                <w:lang w:eastAsia="en-GB"/>
              </w:rPr>
            </w:pPr>
            <w:r w:rsidRPr="00490C53">
              <w:rPr>
                <w:lang w:eastAsia="en-GB"/>
              </w:rPr>
              <w:t>50,001 to 100K</w:t>
            </w:r>
          </w:p>
        </w:tc>
        <w:tc>
          <w:tcPr>
            <w:tcW w:w="0" w:type="dxa"/>
            <w:noWrap/>
            <w:hideMark/>
          </w:tcPr>
          <w:p w14:paraId="34CF07D9" w14:textId="07EF7847" w:rsidR="00AC680C" w:rsidRPr="00490C53" w:rsidRDefault="00AC680C" w:rsidP="00AC680C">
            <w:pPr>
              <w:pStyle w:val="Tabletext"/>
              <w:jc w:val="right"/>
              <w:rPr>
                <w:rFonts w:cstheme="minorHAnsi"/>
                <w:szCs w:val="24"/>
                <w:lang w:eastAsia="en-GB"/>
              </w:rPr>
            </w:pPr>
            <w:r w:rsidRPr="00846F78">
              <w:rPr>
                <w:rFonts w:cstheme="minorHAnsi"/>
                <w:szCs w:val="24"/>
              </w:rPr>
              <w:t>2%</w:t>
            </w:r>
          </w:p>
        </w:tc>
        <w:tc>
          <w:tcPr>
            <w:tcW w:w="0" w:type="dxa"/>
            <w:noWrap/>
            <w:hideMark/>
          </w:tcPr>
          <w:p w14:paraId="056CEBFF" w14:textId="0FEBBF56" w:rsidR="00AC680C" w:rsidRPr="00490C53" w:rsidRDefault="00AC680C" w:rsidP="00AC680C">
            <w:pPr>
              <w:pStyle w:val="Tabletext"/>
              <w:jc w:val="right"/>
              <w:rPr>
                <w:rFonts w:cstheme="minorHAnsi"/>
                <w:szCs w:val="24"/>
                <w:lang w:eastAsia="en-GB"/>
              </w:rPr>
            </w:pPr>
            <w:r w:rsidRPr="00846F78">
              <w:rPr>
                <w:rFonts w:cstheme="minorHAnsi"/>
                <w:szCs w:val="24"/>
              </w:rPr>
              <w:t>9%</w:t>
            </w:r>
          </w:p>
        </w:tc>
      </w:tr>
      <w:tr w:rsidR="00AC680C" w:rsidRPr="00490C53" w14:paraId="0F30DED5"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0EB6D389" w14:textId="77777777" w:rsidR="00AC680C" w:rsidRPr="00490C53" w:rsidRDefault="00AC680C" w:rsidP="00AC680C">
            <w:pPr>
              <w:pStyle w:val="Tabletext"/>
              <w:rPr>
                <w:lang w:eastAsia="en-GB"/>
              </w:rPr>
            </w:pPr>
          </w:p>
        </w:tc>
        <w:tc>
          <w:tcPr>
            <w:tcW w:w="0" w:type="dxa"/>
            <w:noWrap/>
            <w:vAlign w:val="center"/>
            <w:hideMark/>
          </w:tcPr>
          <w:p w14:paraId="16DDE240" w14:textId="77777777" w:rsidR="00AC680C" w:rsidRPr="00490C53" w:rsidRDefault="00AC680C" w:rsidP="00AC680C">
            <w:pPr>
              <w:pStyle w:val="Tabletext"/>
              <w:rPr>
                <w:lang w:eastAsia="en-GB"/>
              </w:rPr>
            </w:pPr>
            <w:r w:rsidRPr="00490C53">
              <w:rPr>
                <w:lang w:eastAsia="en-GB"/>
              </w:rPr>
              <w:t>100,001 to 250K</w:t>
            </w:r>
          </w:p>
        </w:tc>
        <w:tc>
          <w:tcPr>
            <w:tcW w:w="0" w:type="dxa"/>
            <w:noWrap/>
            <w:hideMark/>
          </w:tcPr>
          <w:p w14:paraId="593D5C8F" w14:textId="7B159956" w:rsidR="00AC680C" w:rsidRPr="00490C53" w:rsidRDefault="00AC680C" w:rsidP="00AC680C">
            <w:pPr>
              <w:pStyle w:val="Tabletext"/>
              <w:jc w:val="right"/>
              <w:rPr>
                <w:rFonts w:cstheme="minorHAnsi"/>
                <w:szCs w:val="24"/>
                <w:lang w:eastAsia="en-GB"/>
              </w:rPr>
            </w:pPr>
            <w:r w:rsidRPr="00846F78">
              <w:rPr>
                <w:rFonts w:cstheme="minorHAnsi"/>
                <w:szCs w:val="24"/>
              </w:rPr>
              <w:t>5%</w:t>
            </w:r>
          </w:p>
        </w:tc>
        <w:tc>
          <w:tcPr>
            <w:tcW w:w="0" w:type="dxa"/>
            <w:noWrap/>
            <w:hideMark/>
          </w:tcPr>
          <w:p w14:paraId="2214B357" w14:textId="4C9D3BF9" w:rsidR="00AC680C" w:rsidRPr="00490C53" w:rsidRDefault="00AC680C" w:rsidP="00AC680C">
            <w:pPr>
              <w:pStyle w:val="Tabletext"/>
              <w:jc w:val="right"/>
              <w:rPr>
                <w:rFonts w:cstheme="minorHAnsi"/>
                <w:szCs w:val="24"/>
                <w:lang w:eastAsia="en-GB"/>
              </w:rPr>
            </w:pPr>
            <w:r w:rsidRPr="00846F78">
              <w:rPr>
                <w:rFonts w:cstheme="minorHAnsi"/>
                <w:szCs w:val="24"/>
              </w:rPr>
              <w:t>5%</w:t>
            </w:r>
          </w:p>
        </w:tc>
      </w:tr>
      <w:tr w:rsidR="00AC680C" w:rsidRPr="00490C53" w14:paraId="4F62360B" w14:textId="77777777" w:rsidTr="00846F78">
        <w:tblPrEx>
          <w:tblCellMar>
            <w:left w:w="108" w:type="dxa"/>
            <w:right w:w="108" w:type="dxa"/>
          </w:tblCellMar>
        </w:tblPrEx>
        <w:trPr>
          <w:trHeight w:val="290"/>
        </w:trPr>
        <w:tc>
          <w:tcPr>
            <w:tcW w:w="0" w:type="dxa"/>
            <w:noWrap/>
            <w:vAlign w:val="center"/>
          </w:tcPr>
          <w:p w14:paraId="60E15D21" w14:textId="77777777" w:rsidR="00AC680C" w:rsidRPr="00490C53" w:rsidRDefault="00AC680C" w:rsidP="00AC680C">
            <w:pPr>
              <w:pStyle w:val="Tabletext"/>
              <w:rPr>
                <w:lang w:eastAsia="en-GB"/>
              </w:rPr>
            </w:pPr>
          </w:p>
        </w:tc>
        <w:tc>
          <w:tcPr>
            <w:tcW w:w="0" w:type="dxa"/>
            <w:noWrap/>
            <w:vAlign w:val="center"/>
            <w:hideMark/>
          </w:tcPr>
          <w:p w14:paraId="40BEAD54" w14:textId="77777777" w:rsidR="00AC680C" w:rsidRPr="00490C53" w:rsidRDefault="00AC680C" w:rsidP="00AC680C">
            <w:pPr>
              <w:pStyle w:val="Tabletext"/>
              <w:rPr>
                <w:lang w:eastAsia="en-GB"/>
              </w:rPr>
            </w:pPr>
            <w:r w:rsidRPr="00490C53">
              <w:rPr>
                <w:lang w:eastAsia="en-GB"/>
              </w:rPr>
              <w:t>250,001 to 500K</w:t>
            </w:r>
          </w:p>
        </w:tc>
        <w:tc>
          <w:tcPr>
            <w:tcW w:w="0" w:type="dxa"/>
            <w:noWrap/>
            <w:hideMark/>
          </w:tcPr>
          <w:p w14:paraId="6E0C5065" w14:textId="04C325F6" w:rsidR="00AC680C" w:rsidRPr="00490C53" w:rsidRDefault="00AC680C" w:rsidP="00AC680C">
            <w:pPr>
              <w:pStyle w:val="Tabletext"/>
              <w:jc w:val="right"/>
              <w:rPr>
                <w:rFonts w:cstheme="minorHAnsi"/>
                <w:szCs w:val="24"/>
                <w:lang w:eastAsia="en-GB"/>
              </w:rPr>
            </w:pPr>
            <w:r w:rsidRPr="00846F78">
              <w:rPr>
                <w:rFonts w:cstheme="minorHAnsi"/>
                <w:szCs w:val="24"/>
              </w:rPr>
              <w:t>6%</w:t>
            </w:r>
          </w:p>
        </w:tc>
        <w:tc>
          <w:tcPr>
            <w:tcW w:w="0" w:type="dxa"/>
            <w:noWrap/>
            <w:hideMark/>
          </w:tcPr>
          <w:p w14:paraId="69752D92" w14:textId="2FBAE858" w:rsidR="00AC680C" w:rsidRPr="00490C53" w:rsidRDefault="00AC680C" w:rsidP="00AC680C">
            <w:pPr>
              <w:pStyle w:val="Tabletext"/>
              <w:jc w:val="right"/>
              <w:rPr>
                <w:rFonts w:cstheme="minorHAnsi"/>
                <w:szCs w:val="24"/>
                <w:lang w:eastAsia="en-GB"/>
              </w:rPr>
            </w:pPr>
            <w:r w:rsidRPr="00846F78">
              <w:rPr>
                <w:rFonts w:cstheme="minorHAnsi"/>
                <w:szCs w:val="24"/>
              </w:rPr>
              <w:t>7%</w:t>
            </w:r>
          </w:p>
        </w:tc>
      </w:tr>
      <w:tr w:rsidR="00AC680C" w:rsidRPr="00490C53" w14:paraId="7BD6C5A4"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05C03571" w14:textId="77777777" w:rsidR="00AC680C" w:rsidRPr="00490C53" w:rsidRDefault="00AC680C" w:rsidP="00AC680C">
            <w:pPr>
              <w:pStyle w:val="Tabletext"/>
              <w:rPr>
                <w:lang w:eastAsia="en-GB"/>
              </w:rPr>
            </w:pPr>
          </w:p>
        </w:tc>
        <w:tc>
          <w:tcPr>
            <w:tcW w:w="0" w:type="dxa"/>
            <w:noWrap/>
            <w:vAlign w:val="center"/>
            <w:hideMark/>
          </w:tcPr>
          <w:p w14:paraId="39CEE3AD" w14:textId="77777777" w:rsidR="00AC680C" w:rsidRPr="00490C53" w:rsidRDefault="00AC680C" w:rsidP="00AC680C">
            <w:pPr>
              <w:pStyle w:val="Tabletext"/>
              <w:rPr>
                <w:lang w:eastAsia="en-GB"/>
              </w:rPr>
            </w:pPr>
            <w:r w:rsidRPr="00490C53">
              <w:rPr>
                <w:lang w:eastAsia="en-GB"/>
              </w:rPr>
              <w:t>500,001 to 1m</w:t>
            </w:r>
          </w:p>
        </w:tc>
        <w:tc>
          <w:tcPr>
            <w:tcW w:w="0" w:type="dxa"/>
            <w:noWrap/>
            <w:hideMark/>
          </w:tcPr>
          <w:p w14:paraId="51014375" w14:textId="445F12E3" w:rsidR="00AC680C" w:rsidRPr="00490C53" w:rsidRDefault="00AC680C" w:rsidP="00AC680C">
            <w:pPr>
              <w:pStyle w:val="Tabletext"/>
              <w:jc w:val="right"/>
              <w:rPr>
                <w:rFonts w:cstheme="minorHAnsi"/>
                <w:szCs w:val="24"/>
                <w:lang w:eastAsia="en-GB"/>
              </w:rPr>
            </w:pPr>
            <w:r w:rsidRPr="00846F78">
              <w:rPr>
                <w:rFonts w:cstheme="minorHAnsi"/>
                <w:szCs w:val="24"/>
              </w:rPr>
              <w:t>5%</w:t>
            </w:r>
          </w:p>
        </w:tc>
        <w:tc>
          <w:tcPr>
            <w:tcW w:w="0" w:type="dxa"/>
            <w:noWrap/>
            <w:hideMark/>
          </w:tcPr>
          <w:p w14:paraId="3885B0A7" w14:textId="5C6A4D20" w:rsidR="00AC680C" w:rsidRPr="00490C53" w:rsidRDefault="00AC680C" w:rsidP="00AC680C">
            <w:pPr>
              <w:pStyle w:val="Tabletext"/>
              <w:jc w:val="right"/>
              <w:rPr>
                <w:rFonts w:cstheme="minorHAnsi"/>
                <w:szCs w:val="24"/>
                <w:lang w:eastAsia="en-GB"/>
              </w:rPr>
            </w:pPr>
            <w:r w:rsidRPr="00846F78">
              <w:rPr>
                <w:rFonts w:cstheme="minorHAnsi"/>
                <w:szCs w:val="24"/>
              </w:rPr>
              <w:t>4%</w:t>
            </w:r>
          </w:p>
        </w:tc>
      </w:tr>
      <w:tr w:rsidR="00AC680C" w:rsidRPr="00490C53" w14:paraId="6E5D4A03" w14:textId="77777777" w:rsidTr="00846F78">
        <w:tblPrEx>
          <w:tblCellMar>
            <w:left w:w="108" w:type="dxa"/>
            <w:right w:w="108" w:type="dxa"/>
          </w:tblCellMar>
        </w:tblPrEx>
        <w:trPr>
          <w:trHeight w:val="290"/>
        </w:trPr>
        <w:tc>
          <w:tcPr>
            <w:tcW w:w="0" w:type="dxa"/>
            <w:noWrap/>
            <w:vAlign w:val="center"/>
          </w:tcPr>
          <w:p w14:paraId="79690FA6" w14:textId="77777777" w:rsidR="00AC680C" w:rsidRPr="00490C53" w:rsidRDefault="00AC680C" w:rsidP="00AC680C">
            <w:pPr>
              <w:pStyle w:val="Tabletext"/>
              <w:rPr>
                <w:lang w:eastAsia="en-GB"/>
              </w:rPr>
            </w:pPr>
          </w:p>
        </w:tc>
        <w:tc>
          <w:tcPr>
            <w:tcW w:w="0" w:type="dxa"/>
            <w:noWrap/>
            <w:vAlign w:val="center"/>
            <w:hideMark/>
          </w:tcPr>
          <w:p w14:paraId="4E8A42DF" w14:textId="77777777" w:rsidR="00AC680C" w:rsidRPr="00490C53" w:rsidRDefault="00AC680C" w:rsidP="00AC680C">
            <w:pPr>
              <w:pStyle w:val="Tabletext"/>
              <w:rPr>
                <w:lang w:eastAsia="en-GB"/>
              </w:rPr>
            </w:pPr>
            <w:r w:rsidRPr="00490C53">
              <w:rPr>
                <w:lang w:eastAsia="en-GB"/>
              </w:rPr>
              <w:t>1m to 5m</w:t>
            </w:r>
          </w:p>
        </w:tc>
        <w:tc>
          <w:tcPr>
            <w:tcW w:w="0" w:type="dxa"/>
            <w:noWrap/>
            <w:hideMark/>
          </w:tcPr>
          <w:p w14:paraId="293450AF" w14:textId="3E0D9DFB" w:rsidR="00AC680C" w:rsidRPr="00490C53" w:rsidRDefault="00AC680C" w:rsidP="00AC680C">
            <w:pPr>
              <w:pStyle w:val="Tabletext"/>
              <w:jc w:val="right"/>
              <w:rPr>
                <w:rFonts w:cstheme="minorHAnsi"/>
                <w:szCs w:val="24"/>
                <w:lang w:eastAsia="en-GB"/>
              </w:rPr>
            </w:pPr>
            <w:r w:rsidRPr="00846F78">
              <w:rPr>
                <w:rFonts w:cstheme="minorHAnsi"/>
                <w:szCs w:val="24"/>
              </w:rPr>
              <w:t>3%</w:t>
            </w:r>
          </w:p>
        </w:tc>
        <w:tc>
          <w:tcPr>
            <w:tcW w:w="0" w:type="dxa"/>
            <w:noWrap/>
            <w:hideMark/>
          </w:tcPr>
          <w:p w14:paraId="57082416" w14:textId="0DCD9BF7" w:rsidR="00AC680C" w:rsidRPr="00490C53" w:rsidRDefault="00AC680C" w:rsidP="00AC680C">
            <w:pPr>
              <w:pStyle w:val="Tabletext"/>
              <w:jc w:val="right"/>
              <w:rPr>
                <w:rFonts w:cstheme="minorHAnsi"/>
                <w:szCs w:val="24"/>
                <w:lang w:eastAsia="en-GB"/>
              </w:rPr>
            </w:pPr>
            <w:r w:rsidRPr="00846F78">
              <w:rPr>
                <w:rFonts w:cstheme="minorHAnsi"/>
                <w:szCs w:val="24"/>
              </w:rPr>
              <w:t>4%</w:t>
            </w:r>
          </w:p>
        </w:tc>
      </w:tr>
      <w:tr w:rsidR="00AC680C" w:rsidRPr="00490C53" w14:paraId="00C9FF66"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0BED561F" w14:textId="77777777" w:rsidR="00AC680C" w:rsidRPr="00490C53" w:rsidRDefault="00AC680C" w:rsidP="00AC680C">
            <w:pPr>
              <w:pStyle w:val="Tabletext"/>
              <w:rPr>
                <w:lang w:eastAsia="en-GB"/>
              </w:rPr>
            </w:pPr>
          </w:p>
        </w:tc>
        <w:tc>
          <w:tcPr>
            <w:tcW w:w="0" w:type="dxa"/>
            <w:noWrap/>
            <w:vAlign w:val="center"/>
            <w:hideMark/>
          </w:tcPr>
          <w:p w14:paraId="2B0D8EA6" w14:textId="77777777" w:rsidR="00AC680C" w:rsidRPr="00490C53" w:rsidRDefault="00AC680C" w:rsidP="00AC680C">
            <w:pPr>
              <w:pStyle w:val="Tabletext"/>
              <w:rPr>
                <w:lang w:eastAsia="en-GB"/>
              </w:rPr>
            </w:pPr>
            <w:r w:rsidRPr="00490C53">
              <w:rPr>
                <w:lang w:eastAsia="en-GB"/>
              </w:rPr>
              <w:t>5m to 25m</w:t>
            </w:r>
          </w:p>
        </w:tc>
        <w:tc>
          <w:tcPr>
            <w:tcW w:w="0" w:type="dxa"/>
            <w:noWrap/>
            <w:hideMark/>
          </w:tcPr>
          <w:p w14:paraId="4226304D" w14:textId="2B727FF3"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4E17C414" w14:textId="23B3365C" w:rsidR="00AC680C" w:rsidRPr="00490C53" w:rsidRDefault="00AC680C" w:rsidP="00AC680C">
            <w:pPr>
              <w:pStyle w:val="Tabletext"/>
              <w:jc w:val="right"/>
              <w:rPr>
                <w:rFonts w:cstheme="minorHAnsi"/>
                <w:szCs w:val="24"/>
                <w:lang w:eastAsia="en-GB"/>
              </w:rPr>
            </w:pPr>
            <w:r w:rsidRPr="00846F78">
              <w:rPr>
                <w:rFonts w:cstheme="minorHAnsi"/>
                <w:szCs w:val="24"/>
              </w:rPr>
              <w:t>2%</w:t>
            </w:r>
          </w:p>
        </w:tc>
      </w:tr>
      <w:tr w:rsidR="00AC680C" w:rsidRPr="00490C53" w14:paraId="645F6064" w14:textId="77777777" w:rsidTr="00846F78">
        <w:tblPrEx>
          <w:tblCellMar>
            <w:left w:w="108" w:type="dxa"/>
            <w:right w:w="108" w:type="dxa"/>
          </w:tblCellMar>
        </w:tblPrEx>
        <w:trPr>
          <w:trHeight w:val="290"/>
        </w:trPr>
        <w:tc>
          <w:tcPr>
            <w:tcW w:w="0" w:type="dxa"/>
            <w:noWrap/>
            <w:vAlign w:val="center"/>
          </w:tcPr>
          <w:p w14:paraId="60578E25" w14:textId="77777777" w:rsidR="00AC680C" w:rsidRPr="00490C53" w:rsidRDefault="00AC680C" w:rsidP="00AC680C">
            <w:pPr>
              <w:pStyle w:val="Tabletext"/>
              <w:rPr>
                <w:lang w:eastAsia="en-GB"/>
              </w:rPr>
            </w:pPr>
          </w:p>
        </w:tc>
        <w:tc>
          <w:tcPr>
            <w:tcW w:w="0" w:type="dxa"/>
            <w:noWrap/>
            <w:vAlign w:val="center"/>
            <w:hideMark/>
          </w:tcPr>
          <w:p w14:paraId="19F51416" w14:textId="77777777" w:rsidR="00AC680C" w:rsidRPr="00490C53" w:rsidRDefault="00AC680C" w:rsidP="00AC680C">
            <w:pPr>
              <w:pStyle w:val="Tabletext"/>
              <w:rPr>
                <w:lang w:eastAsia="en-GB"/>
              </w:rPr>
            </w:pPr>
            <w:r w:rsidRPr="00490C53">
              <w:rPr>
                <w:lang w:eastAsia="en-GB"/>
              </w:rPr>
              <w:t>25m to 50m</w:t>
            </w:r>
          </w:p>
        </w:tc>
        <w:tc>
          <w:tcPr>
            <w:tcW w:w="0" w:type="dxa"/>
            <w:noWrap/>
            <w:hideMark/>
          </w:tcPr>
          <w:p w14:paraId="6A104B7C" w14:textId="62A357FB"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0E2CB66E" w14:textId="05A99A1F" w:rsidR="00AC680C" w:rsidRPr="00490C53" w:rsidRDefault="00AC680C" w:rsidP="00AC680C">
            <w:pPr>
              <w:pStyle w:val="Tabletext"/>
              <w:jc w:val="right"/>
              <w:rPr>
                <w:rFonts w:cstheme="minorHAnsi"/>
                <w:szCs w:val="24"/>
                <w:lang w:eastAsia="en-GB"/>
              </w:rPr>
            </w:pPr>
            <w:r w:rsidRPr="00846F78">
              <w:rPr>
                <w:rFonts w:cstheme="minorHAnsi"/>
                <w:szCs w:val="24"/>
              </w:rPr>
              <w:t>2%</w:t>
            </w:r>
          </w:p>
        </w:tc>
      </w:tr>
      <w:tr w:rsidR="00AC680C" w:rsidRPr="00490C53" w14:paraId="65A7E4E4"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3A01D2A4" w14:textId="77777777" w:rsidR="00AC680C" w:rsidRPr="00490C53" w:rsidRDefault="00AC680C" w:rsidP="00AC680C">
            <w:pPr>
              <w:pStyle w:val="Tabletext"/>
              <w:rPr>
                <w:lang w:eastAsia="en-GB"/>
              </w:rPr>
            </w:pPr>
          </w:p>
        </w:tc>
        <w:tc>
          <w:tcPr>
            <w:tcW w:w="0" w:type="dxa"/>
            <w:noWrap/>
            <w:vAlign w:val="center"/>
            <w:hideMark/>
          </w:tcPr>
          <w:p w14:paraId="72FAB025" w14:textId="77777777" w:rsidR="00AC680C" w:rsidRPr="00490C53" w:rsidRDefault="00AC680C" w:rsidP="00AC680C">
            <w:pPr>
              <w:pStyle w:val="Tabletext"/>
              <w:rPr>
                <w:lang w:eastAsia="en-GB"/>
              </w:rPr>
            </w:pPr>
            <w:r w:rsidRPr="00490C53">
              <w:rPr>
                <w:lang w:eastAsia="en-GB"/>
              </w:rPr>
              <w:t>50m to 200m</w:t>
            </w:r>
          </w:p>
        </w:tc>
        <w:tc>
          <w:tcPr>
            <w:tcW w:w="0" w:type="dxa"/>
            <w:noWrap/>
            <w:hideMark/>
          </w:tcPr>
          <w:p w14:paraId="16448217" w14:textId="2F7315B2"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5D3F6F91" w14:textId="1530A601" w:rsidR="00AC680C" w:rsidRPr="00490C53" w:rsidRDefault="00AC680C" w:rsidP="00AC680C">
            <w:pPr>
              <w:pStyle w:val="Tabletext"/>
              <w:jc w:val="right"/>
              <w:rPr>
                <w:rFonts w:cstheme="minorHAnsi"/>
                <w:szCs w:val="24"/>
                <w:lang w:eastAsia="en-GB"/>
              </w:rPr>
            </w:pPr>
            <w:r w:rsidRPr="00846F78">
              <w:rPr>
                <w:rFonts w:cstheme="minorHAnsi"/>
                <w:szCs w:val="24"/>
              </w:rPr>
              <w:t>2%</w:t>
            </w:r>
          </w:p>
        </w:tc>
      </w:tr>
      <w:tr w:rsidR="00AC680C" w:rsidRPr="00490C53" w14:paraId="1E1BE844" w14:textId="77777777" w:rsidTr="00846F78">
        <w:tblPrEx>
          <w:tblCellMar>
            <w:left w:w="108" w:type="dxa"/>
            <w:right w:w="108" w:type="dxa"/>
          </w:tblCellMar>
        </w:tblPrEx>
        <w:trPr>
          <w:trHeight w:val="290"/>
        </w:trPr>
        <w:tc>
          <w:tcPr>
            <w:tcW w:w="0" w:type="dxa"/>
            <w:noWrap/>
            <w:vAlign w:val="center"/>
          </w:tcPr>
          <w:p w14:paraId="7504E926" w14:textId="77777777" w:rsidR="00AC680C" w:rsidRPr="00490C53" w:rsidRDefault="00AC680C" w:rsidP="00AC680C">
            <w:pPr>
              <w:pStyle w:val="Tabletext"/>
              <w:rPr>
                <w:lang w:eastAsia="en-GB"/>
              </w:rPr>
            </w:pPr>
          </w:p>
        </w:tc>
        <w:tc>
          <w:tcPr>
            <w:tcW w:w="0" w:type="dxa"/>
            <w:noWrap/>
            <w:vAlign w:val="center"/>
            <w:hideMark/>
          </w:tcPr>
          <w:p w14:paraId="58714D57" w14:textId="77777777" w:rsidR="00AC680C" w:rsidRPr="00490C53" w:rsidRDefault="00AC680C" w:rsidP="00AC680C">
            <w:pPr>
              <w:pStyle w:val="Tabletext"/>
              <w:rPr>
                <w:lang w:eastAsia="en-GB"/>
              </w:rPr>
            </w:pPr>
            <w:r w:rsidRPr="00490C53">
              <w:rPr>
                <w:lang w:eastAsia="en-GB"/>
              </w:rPr>
              <w:t>&gt;200m</w:t>
            </w:r>
          </w:p>
        </w:tc>
        <w:tc>
          <w:tcPr>
            <w:tcW w:w="0" w:type="dxa"/>
            <w:noWrap/>
            <w:hideMark/>
          </w:tcPr>
          <w:p w14:paraId="0DB0EA3C" w14:textId="6D141B83"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5716BB4A" w14:textId="3F91ABFC"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7BBDBA9B"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2FAA3F23" w14:textId="77777777" w:rsidR="00AC680C" w:rsidRPr="00490C53" w:rsidRDefault="00AC680C" w:rsidP="00AC680C">
            <w:pPr>
              <w:pStyle w:val="Tabletext"/>
              <w:rPr>
                <w:lang w:eastAsia="en-GB"/>
              </w:rPr>
            </w:pPr>
          </w:p>
        </w:tc>
        <w:tc>
          <w:tcPr>
            <w:tcW w:w="0" w:type="dxa"/>
            <w:noWrap/>
            <w:vAlign w:val="center"/>
            <w:hideMark/>
          </w:tcPr>
          <w:p w14:paraId="3144F1AA" w14:textId="77777777" w:rsidR="00AC680C" w:rsidRPr="00490C53" w:rsidRDefault="00AC680C" w:rsidP="00AC680C">
            <w:pPr>
              <w:pStyle w:val="Tabletext"/>
              <w:rPr>
                <w:lang w:eastAsia="en-GB"/>
              </w:rPr>
            </w:pPr>
            <w:r w:rsidRPr="00490C53">
              <w:rPr>
                <w:lang w:eastAsia="en-GB"/>
              </w:rPr>
              <w:t>Weighted average</w:t>
            </w:r>
          </w:p>
        </w:tc>
        <w:tc>
          <w:tcPr>
            <w:tcW w:w="0" w:type="dxa"/>
            <w:noWrap/>
            <w:hideMark/>
          </w:tcPr>
          <w:p w14:paraId="3CF7D954" w14:textId="6E0E9FCD" w:rsidR="00AC680C" w:rsidRPr="00490C53" w:rsidRDefault="00AC680C" w:rsidP="00AC680C">
            <w:pPr>
              <w:pStyle w:val="Tabletext"/>
              <w:jc w:val="right"/>
              <w:rPr>
                <w:rFonts w:cstheme="minorHAnsi"/>
                <w:szCs w:val="24"/>
                <w:lang w:eastAsia="en-GB"/>
              </w:rPr>
            </w:pPr>
            <w:r w:rsidRPr="00846F78">
              <w:rPr>
                <w:rFonts w:cstheme="minorHAnsi"/>
                <w:szCs w:val="24"/>
              </w:rPr>
              <w:t>5%</w:t>
            </w:r>
          </w:p>
        </w:tc>
        <w:tc>
          <w:tcPr>
            <w:tcW w:w="0" w:type="dxa"/>
            <w:noWrap/>
            <w:hideMark/>
          </w:tcPr>
          <w:p w14:paraId="0B594BCD" w14:textId="07994897" w:rsidR="00AC680C" w:rsidRPr="00490C53" w:rsidRDefault="00AC680C" w:rsidP="00AC680C">
            <w:pPr>
              <w:pStyle w:val="Tabletext"/>
              <w:jc w:val="right"/>
              <w:rPr>
                <w:rFonts w:cstheme="minorHAnsi"/>
                <w:szCs w:val="24"/>
                <w:lang w:eastAsia="en-GB"/>
              </w:rPr>
            </w:pPr>
            <w:r w:rsidRPr="00846F78">
              <w:rPr>
                <w:rFonts w:cstheme="minorHAnsi"/>
                <w:szCs w:val="24"/>
              </w:rPr>
              <w:t>4%</w:t>
            </w:r>
          </w:p>
        </w:tc>
      </w:tr>
      <w:tr w:rsidR="00AC680C" w:rsidRPr="00490C53" w14:paraId="38709B9F" w14:textId="77777777" w:rsidTr="00846F78">
        <w:tblPrEx>
          <w:tblCellMar>
            <w:left w:w="108" w:type="dxa"/>
            <w:right w:w="108" w:type="dxa"/>
          </w:tblCellMar>
        </w:tblPrEx>
        <w:trPr>
          <w:trHeight w:val="290"/>
        </w:trPr>
        <w:tc>
          <w:tcPr>
            <w:tcW w:w="0" w:type="dxa"/>
            <w:noWrap/>
            <w:vAlign w:val="center"/>
            <w:hideMark/>
          </w:tcPr>
          <w:p w14:paraId="38ACC2EC" w14:textId="77777777" w:rsidR="00AC680C" w:rsidRPr="00490C53" w:rsidRDefault="00AC680C" w:rsidP="00AC680C">
            <w:pPr>
              <w:pStyle w:val="Tabletext"/>
              <w:rPr>
                <w:lang w:eastAsia="en-GB"/>
              </w:rPr>
            </w:pPr>
            <w:r w:rsidRPr="00490C53">
              <w:rPr>
                <w:lang w:eastAsia="en-GB"/>
              </w:rPr>
              <w:t>Primary / Manufacturing</w:t>
            </w:r>
          </w:p>
        </w:tc>
        <w:tc>
          <w:tcPr>
            <w:tcW w:w="0" w:type="dxa"/>
            <w:noWrap/>
            <w:vAlign w:val="center"/>
            <w:hideMark/>
          </w:tcPr>
          <w:p w14:paraId="56BE9FE4" w14:textId="77777777" w:rsidR="00AC680C" w:rsidRPr="00490C53" w:rsidRDefault="00AC680C" w:rsidP="00AC680C">
            <w:pPr>
              <w:pStyle w:val="Tabletext"/>
              <w:rPr>
                <w:lang w:eastAsia="en-GB"/>
              </w:rPr>
            </w:pPr>
            <w:r w:rsidRPr="00490C53">
              <w:rPr>
                <w:lang w:eastAsia="en-GB"/>
              </w:rPr>
              <w:t>Less than 50K</w:t>
            </w:r>
          </w:p>
        </w:tc>
        <w:tc>
          <w:tcPr>
            <w:tcW w:w="0" w:type="dxa"/>
            <w:noWrap/>
            <w:hideMark/>
          </w:tcPr>
          <w:p w14:paraId="6A08C498" w14:textId="4A53AEE8" w:rsidR="00AC680C" w:rsidRPr="00490C53" w:rsidRDefault="00AC680C" w:rsidP="00AC680C">
            <w:pPr>
              <w:pStyle w:val="Tabletext"/>
              <w:jc w:val="right"/>
              <w:rPr>
                <w:rFonts w:cstheme="minorHAnsi"/>
                <w:szCs w:val="24"/>
                <w:lang w:eastAsia="en-GB"/>
              </w:rPr>
            </w:pPr>
            <w:r w:rsidRPr="00846F78">
              <w:rPr>
                <w:rFonts w:cstheme="minorHAnsi"/>
                <w:szCs w:val="24"/>
              </w:rPr>
              <w:t>14%</w:t>
            </w:r>
          </w:p>
        </w:tc>
        <w:tc>
          <w:tcPr>
            <w:tcW w:w="0" w:type="dxa"/>
            <w:noWrap/>
            <w:hideMark/>
          </w:tcPr>
          <w:p w14:paraId="6D6AE218" w14:textId="112780B0" w:rsidR="00AC680C" w:rsidRPr="00490C53" w:rsidRDefault="00AC680C" w:rsidP="00AC680C">
            <w:pPr>
              <w:pStyle w:val="Tabletext"/>
              <w:jc w:val="right"/>
              <w:rPr>
                <w:rFonts w:cstheme="minorHAnsi"/>
                <w:szCs w:val="24"/>
                <w:lang w:eastAsia="en-GB"/>
              </w:rPr>
            </w:pPr>
            <w:r w:rsidRPr="00846F78">
              <w:rPr>
                <w:rFonts w:cstheme="minorHAnsi"/>
                <w:szCs w:val="24"/>
              </w:rPr>
              <w:t>14%</w:t>
            </w:r>
          </w:p>
        </w:tc>
      </w:tr>
      <w:tr w:rsidR="00AC680C" w:rsidRPr="00490C53" w14:paraId="75468175"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530EE1A0" w14:textId="77777777" w:rsidR="00AC680C" w:rsidRPr="00490C53" w:rsidRDefault="00AC680C" w:rsidP="00AC680C">
            <w:pPr>
              <w:pStyle w:val="Tabletext"/>
              <w:rPr>
                <w:lang w:eastAsia="en-GB"/>
              </w:rPr>
            </w:pPr>
          </w:p>
        </w:tc>
        <w:tc>
          <w:tcPr>
            <w:tcW w:w="0" w:type="dxa"/>
            <w:noWrap/>
            <w:vAlign w:val="center"/>
            <w:hideMark/>
          </w:tcPr>
          <w:p w14:paraId="7CF2A02C" w14:textId="77777777" w:rsidR="00AC680C" w:rsidRPr="00490C53" w:rsidRDefault="00AC680C" w:rsidP="00AC680C">
            <w:pPr>
              <w:pStyle w:val="Tabletext"/>
              <w:rPr>
                <w:lang w:eastAsia="en-GB"/>
              </w:rPr>
            </w:pPr>
            <w:r w:rsidRPr="00490C53">
              <w:rPr>
                <w:lang w:eastAsia="en-GB"/>
              </w:rPr>
              <w:t>50,001 to 100K</w:t>
            </w:r>
          </w:p>
        </w:tc>
        <w:tc>
          <w:tcPr>
            <w:tcW w:w="0" w:type="dxa"/>
            <w:noWrap/>
            <w:hideMark/>
          </w:tcPr>
          <w:p w14:paraId="02F7AB27" w14:textId="01BF1DA7" w:rsidR="00AC680C" w:rsidRPr="00490C53" w:rsidRDefault="00AC680C" w:rsidP="00AC680C">
            <w:pPr>
              <w:pStyle w:val="Tabletext"/>
              <w:jc w:val="right"/>
              <w:rPr>
                <w:rFonts w:cstheme="minorHAnsi"/>
                <w:szCs w:val="24"/>
                <w:lang w:eastAsia="en-GB"/>
              </w:rPr>
            </w:pPr>
            <w:r w:rsidRPr="00846F78">
              <w:rPr>
                <w:rFonts w:cstheme="minorHAnsi"/>
                <w:szCs w:val="24"/>
              </w:rPr>
              <w:t>2%</w:t>
            </w:r>
          </w:p>
        </w:tc>
        <w:tc>
          <w:tcPr>
            <w:tcW w:w="0" w:type="dxa"/>
            <w:noWrap/>
            <w:hideMark/>
          </w:tcPr>
          <w:p w14:paraId="726DB1AF" w14:textId="6989B9D0" w:rsidR="00AC680C" w:rsidRPr="00490C53" w:rsidRDefault="00AC680C" w:rsidP="00AC680C">
            <w:pPr>
              <w:pStyle w:val="Tabletext"/>
              <w:jc w:val="right"/>
              <w:rPr>
                <w:rFonts w:cstheme="minorHAnsi"/>
                <w:szCs w:val="24"/>
                <w:lang w:eastAsia="en-GB"/>
              </w:rPr>
            </w:pPr>
            <w:r w:rsidRPr="00846F78">
              <w:rPr>
                <w:rFonts w:cstheme="minorHAnsi"/>
                <w:szCs w:val="24"/>
              </w:rPr>
              <w:t>12%</w:t>
            </w:r>
          </w:p>
        </w:tc>
      </w:tr>
      <w:tr w:rsidR="00AC680C" w:rsidRPr="00490C53" w14:paraId="4555BEBB" w14:textId="77777777" w:rsidTr="00846F78">
        <w:tblPrEx>
          <w:tblCellMar>
            <w:left w:w="108" w:type="dxa"/>
            <w:right w:w="108" w:type="dxa"/>
          </w:tblCellMar>
        </w:tblPrEx>
        <w:trPr>
          <w:trHeight w:val="290"/>
        </w:trPr>
        <w:tc>
          <w:tcPr>
            <w:tcW w:w="0" w:type="dxa"/>
            <w:noWrap/>
            <w:vAlign w:val="center"/>
          </w:tcPr>
          <w:p w14:paraId="2CE1523A" w14:textId="77777777" w:rsidR="00AC680C" w:rsidRPr="00490C53" w:rsidRDefault="00AC680C" w:rsidP="00AC680C">
            <w:pPr>
              <w:pStyle w:val="Tabletext"/>
              <w:rPr>
                <w:lang w:eastAsia="en-GB"/>
              </w:rPr>
            </w:pPr>
          </w:p>
        </w:tc>
        <w:tc>
          <w:tcPr>
            <w:tcW w:w="0" w:type="dxa"/>
            <w:noWrap/>
            <w:vAlign w:val="center"/>
            <w:hideMark/>
          </w:tcPr>
          <w:p w14:paraId="5B1C4420" w14:textId="77777777" w:rsidR="00AC680C" w:rsidRPr="00490C53" w:rsidRDefault="00AC680C" w:rsidP="00AC680C">
            <w:pPr>
              <w:pStyle w:val="Tabletext"/>
              <w:rPr>
                <w:lang w:eastAsia="en-GB"/>
              </w:rPr>
            </w:pPr>
            <w:r w:rsidRPr="00490C53">
              <w:rPr>
                <w:lang w:eastAsia="en-GB"/>
              </w:rPr>
              <w:t>100,001 to 250K</w:t>
            </w:r>
          </w:p>
        </w:tc>
        <w:tc>
          <w:tcPr>
            <w:tcW w:w="0" w:type="dxa"/>
            <w:noWrap/>
            <w:hideMark/>
          </w:tcPr>
          <w:p w14:paraId="666E5D49" w14:textId="2D4103F4" w:rsidR="00AC680C" w:rsidRPr="00490C53" w:rsidRDefault="00AC680C" w:rsidP="00AC680C">
            <w:pPr>
              <w:pStyle w:val="Tabletext"/>
              <w:jc w:val="right"/>
              <w:rPr>
                <w:rFonts w:cstheme="minorHAnsi"/>
                <w:szCs w:val="24"/>
                <w:lang w:eastAsia="en-GB"/>
              </w:rPr>
            </w:pPr>
            <w:r w:rsidRPr="00846F78">
              <w:rPr>
                <w:rFonts w:cstheme="minorHAnsi"/>
                <w:szCs w:val="24"/>
              </w:rPr>
              <w:t>5%</w:t>
            </w:r>
          </w:p>
        </w:tc>
        <w:tc>
          <w:tcPr>
            <w:tcW w:w="0" w:type="dxa"/>
            <w:noWrap/>
            <w:hideMark/>
          </w:tcPr>
          <w:p w14:paraId="32FD954F" w14:textId="1621C0FD" w:rsidR="00AC680C" w:rsidRPr="00490C53" w:rsidRDefault="00AC680C" w:rsidP="00AC680C">
            <w:pPr>
              <w:pStyle w:val="Tabletext"/>
              <w:jc w:val="right"/>
              <w:rPr>
                <w:rFonts w:cstheme="minorHAnsi"/>
                <w:szCs w:val="24"/>
                <w:lang w:eastAsia="en-GB"/>
              </w:rPr>
            </w:pPr>
            <w:r w:rsidRPr="00846F78">
              <w:rPr>
                <w:rFonts w:cstheme="minorHAnsi"/>
                <w:szCs w:val="24"/>
              </w:rPr>
              <w:t>2%</w:t>
            </w:r>
          </w:p>
        </w:tc>
      </w:tr>
      <w:tr w:rsidR="00AC680C" w:rsidRPr="00490C53" w14:paraId="0D38B040"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0582ED45" w14:textId="77777777" w:rsidR="00AC680C" w:rsidRPr="00490C53" w:rsidRDefault="00AC680C" w:rsidP="00AC680C">
            <w:pPr>
              <w:pStyle w:val="Tabletext"/>
              <w:rPr>
                <w:lang w:eastAsia="en-GB"/>
              </w:rPr>
            </w:pPr>
          </w:p>
        </w:tc>
        <w:tc>
          <w:tcPr>
            <w:tcW w:w="0" w:type="dxa"/>
            <w:noWrap/>
            <w:vAlign w:val="center"/>
            <w:hideMark/>
          </w:tcPr>
          <w:p w14:paraId="0AD521AC" w14:textId="77777777" w:rsidR="00AC680C" w:rsidRPr="00490C53" w:rsidRDefault="00AC680C" w:rsidP="00AC680C">
            <w:pPr>
              <w:pStyle w:val="Tabletext"/>
              <w:rPr>
                <w:lang w:eastAsia="en-GB"/>
              </w:rPr>
            </w:pPr>
            <w:r w:rsidRPr="00490C53">
              <w:rPr>
                <w:lang w:eastAsia="en-GB"/>
              </w:rPr>
              <w:t>250,001 to 500K</w:t>
            </w:r>
          </w:p>
        </w:tc>
        <w:tc>
          <w:tcPr>
            <w:tcW w:w="0" w:type="dxa"/>
            <w:noWrap/>
            <w:hideMark/>
          </w:tcPr>
          <w:p w14:paraId="2D798067" w14:textId="113D14F8" w:rsidR="00AC680C" w:rsidRPr="00490C53" w:rsidRDefault="00AC680C" w:rsidP="00AC680C">
            <w:pPr>
              <w:pStyle w:val="Tabletext"/>
              <w:jc w:val="right"/>
              <w:rPr>
                <w:rFonts w:cstheme="minorHAnsi"/>
                <w:szCs w:val="24"/>
                <w:lang w:eastAsia="en-GB"/>
              </w:rPr>
            </w:pPr>
            <w:r w:rsidRPr="00846F78">
              <w:rPr>
                <w:rFonts w:cstheme="minorHAnsi"/>
                <w:szCs w:val="24"/>
              </w:rPr>
              <w:t>4%</w:t>
            </w:r>
          </w:p>
        </w:tc>
        <w:tc>
          <w:tcPr>
            <w:tcW w:w="0" w:type="dxa"/>
            <w:noWrap/>
            <w:hideMark/>
          </w:tcPr>
          <w:p w14:paraId="293FBCBF" w14:textId="0AC1B401" w:rsidR="00AC680C" w:rsidRPr="00490C53" w:rsidRDefault="00AC680C" w:rsidP="00AC680C">
            <w:pPr>
              <w:pStyle w:val="Tabletext"/>
              <w:jc w:val="right"/>
              <w:rPr>
                <w:rFonts w:cstheme="minorHAnsi"/>
                <w:szCs w:val="24"/>
                <w:lang w:eastAsia="en-GB"/>
              </w:rPr>
            </w:pPr>
            <w:r w:rsidRPr="00846F78">
              <w:rPr>
                <w:rFonts w:cstheme="minorHAnsi"/>
                <w:szCs w:val="24"/>
              </w:rPr>
              <w:t>3%</w:t>
            </w:r>
          </w:p>
        </w:tc>
      </w:tr>
      <w:tr w:rsidR="00AC680C" w:rsidRPr="00490C53" w14:paraId="6353F5E5" w14:textId="77777777" w:rsidTr="00846F78">
        <w:tblPrEx>
          <w:tblCellMar>
            <w:left w:w="108" w:type="dxa"/>
            <w:right w:w="108" w:type="dxa"/>
          </w:tblCellMar>
        </w:tblPrEx>
        <w:trPr>
          <w:trHeight w:val="290"/>
        </w:trPr>
        <w:tc>
          <w:tcPr>
            <w:tcW w:w="0" w:type="dxa"/>
            <w:noWrap/>
            <w:vAlign w:val="center"/>
          </w:tcPr>
          <w:p w14:paraId="52CE37F4" w14:textId="77777777" w:rsidR="00AC680C" w:rsidRPr="00490C53" w:rsidRDefault="00AC680C" w:rsidP="00AC680C">
            <w:pPr>
              <w:pStyle w:val="Tabletext"/>
              <w:rPr>
                <w:lang w:eastAsia="en-GB"/>
              </w:rPr>
            </w:pPr>
          </w:p>
        </w:tc>
        <w:tc>
          <w:tcPr>
            <w:tcW w:w="0" w:type="dxa"/>
            <w:noWrap/>
            <w:vAlign w:val="center"/>
            <w:hideMark/>
          </w:tcPr>
          <w:p w14:paraId="4C456807" w14:textId="77777777" w:rsidR="00AC680C" w:rsidRPr="00490C53" w:rsidRDefault="00AC680C" w:rsidP="00AC680C">
            <w:pPr>
              <w:pStyle w:val="Tabletext"/>
              <w:rPr>
                <w:lang w:eastAsia="en-GB"/>
              </w:rPr>
            </w:pPr>
            <w:r w:rsidRPr="00490C53">
              <w:rPr>
                <w:lang w:eastAsia="en-GB"/>
              </w:rPr>
              <w:t>500,001 to 1m</w:t>
            </w:r>
          </w:p>
        </w:tc>
        <w:tc>
          <w:tcPr>
            <w:tcW w:w="0" w:type="dxa"/>
            <w:noWrap/>
            <w:hideMark/>
          </w:tcPr>
          <w:p w14:paraId="1DB4ACF6" w14:textId="70CF23CF" w:rsidR="00AC680C" w:rsidRPr="00490C53" w:rsidRDefault="00AC680C" w:rsidP="00AC680C">
            <w:pPr>
              <w:pStyle w:val="Tabletext"/>
              <w:jc w:val="right"/>
              <w:rPr>
                <w:rFonts w:cstheme="minorHAnsi"/>
                <w:szCs w:val="24"/>
                <w:lang w:eastAsia="en-GB"/>
              </w:rPr>
            </w:pPr>
            <w:r w:rsidRPr="00846F78">
              <w:rPr>
                <w:rFonts w:cstheme="minorHAnsi"/>
                <w:szCs w:val="24"/>
              </w:rPr>
              <w:t>4%</w:t>
            </w:r>
          </w:p>
        </w:tc>
        <w:tc>
          <w:tcPr>
            <w:tcW w:w="0" w:type="dxa"/>
            <w:noWrap/>
            <w:hideMark/>
          </w:tcPr>
          <w:p w14:paraId="375C19BB" w14:textId="15C64144" w:rsidR="00AC680C" w:rsidRPr="00490C53" w:rsidRDefault="00AC680C" w:rsidP="00AC680C">
            <w:pPr>
              <w:pStyle w:val="Tabletext"/>
              <w:jc w:val="right"/>
              <w:rPr>
                <w:rFonts w:cstheme="minorHAnsi"/>
                <w:szCs w:val="24"/>
                <w:lang w:eastAsia="en-GB"/>
              </w:rPr>
            </w:pPr>
            <w:r w:rsidRPr="00846F78">
              <w:rPr>
                <w:rFonts w:cstheme="minorHAnsi"/>
                <w:szCs w:val="24"/>
              </w:rPr>
              <w:t>5%</w:t>
            </w:r>
          </w:p>
        </w:tc>
      </w:tr>
      <w:tr w:rsidR="00AC680C" w:rsidRPr="00490C53" w14:paraId="5C68E3E8"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270D3FAA" w14:textId="77777777" w:rsidR="00AC680C" w:rsidRPr="00490C53" w:rsidRDefault="00AC680C" w:rsidP="00AC680C">
            <w:pPr>
              <w:pStyle w:val="Tabletext"/>
              <w:rPr>
                <w:lang w:eastAsia="en-GB"/>
              </w:rPr>
            </w:pPr>
          </w:p>
        </w:tc>
        <w:tc>
          <w:tcPr>
            <w:tcW w:w="0" w:type="dxa"/>
            <w:noWrap/>
            <w:vAlign w:val="center"/>
            <w:hideMark/>
          </w:tcPr>
          <w:p w14:paraId="42501EB2" w14:textId="77777777" w:rsidR="00AC680C" w:rsidRPr="00490C53" w:rsidRDefault="00AC680C" w:rsidP="00AC680C">
            <w:pPr>
              <w:pStyle w:val="Tabletext"/>
              <w:rPr>
                <w:lang w:eastAsia="en-GB"/>
              </w:rPr>
            </w:pPr>
            <w:r w:rsidRPr="00490C53">
              <w:rPr>
                <w:lang w:eastAsia="en-GB"/>
              </w:rPr>
              <w:t>1m to 5m</w:t>
            </w:r>
          </w:p>
        </w:tc>
        <w:tc>
          <w:tcPr>
            <w:tcW w:w="0" w:type="dxa"/>
            <w:noWrap/>
            <w:hideMark/>
          </w:tcPr>
          <w:p w14:paraId="16B66683" w14:textId="1FF285ED" w:rsidR="00AC680C" w:rsidRPr="00490C53" w:rsidRDefault="00AC680C" w:rsidP="00AC680C">
            <w:pPr>
              <w:pStyle w:val="Tabletext"/>
              <w:jc w:val="right"/>
              <w:rPr>
                <w:rFonts w:cstheme="minorHAnsi"/>
                <w:szCs w:val="24"/>
                <w:lang w:eastAsia="en-GB"/>
              </w:rPr>
            </w:pPr>
            <w:r w:rsidRPr="00846F78">
              <w:rPr>
                <w:rFonts w:cstheme="minorHAnsi"/>
                <w:szCs w:val="24"/>
              </w:rPr>
              <w:t>2%</w:t>
            </w:r>
          </w:p>
        </w:tc>
        <w:tc>
          <w:tcPr>
            <w:tcW w:w="0" w:type="dxa"/>
            <w:noWrap/>
            <w:hideMark/>
          </w:tcPr>
          <w:p w14:paraId="6E876CE1" w14:textId="4DFF5217" w:rsidR="00AC680C" w:rsidRPr="00490C53" w:rsidRDefault="00AC680C" w:rsidP="00AC680C">
            <w:pPr>
              <w:pStyle w:val="Tabletext"/>
              <w:jc w:val="right"/>
              <w:rPr>
                <w:rFonts w:cstheme="minorHAnsi"/>
                <w:szCs w:val="24"/>
                <w:lang w:eastAsia="en-GB"/>
              </w:rPr>
            </w:pPr>
            <w:r w:rsidRPr="00846F78">
              <w:rPr>
                <w:rFonts w:cstheme="minorHAnsi"/>
                <w:szCs w:val="24"/>
              </w:rPr>
              <w:t>4%</w:t>
            </w:r>
          </w:p>
        </w:tc>
      </w:tr>
      <w:tr w:rsidR="00AC680C" w:rsidRPr="00490C53" w14:paraId="7D9DB081" w14:textId="77777777" w:rsidTr="00846F78">
        <w:tblPrEx>
          <w:tblCellMar>
            <w:left w:w="108" w:type="dxa"/>
            <w:right w:w="108" w:type="dxa"/>
          </w:tblCellMar>
        </w:tblPrEx>
        <w:trPr>
          <w:trHeight w:val="290"/>
        </w:trPr>
        <w:tc>
          <w:tcPr>
            <w:tcW w:w="0" w:type="dxa"/>
            <w:noWrap/>
            <w:vAlign w:val="center"/>
          </w:tcPr>
          <w:p w14:paraId="3EFC11F9" w14:textId="77777777" w:rsidR="00AC680C" w:rsidRPr="00490C53" w:rsidRDefault="00AC680C" w:rsidP="00AC680C">
            <w:pPr>
              <w:pStyle w:val="Tabletext"/>
              <w:rPr>
                <w:lang w:eastAsia="en-GB"/>
              </w:rPr>
            </w:pPr>
          </w:p>
        </w:tc>
        <w:tc>
          <w:tcPr>
            <w:tcW w:w="0" w:type="dxa"/>
            <w:noWrap/>
            <w:vAlign w:val="center"/>
            <w:hideMark/>
          </w:tcPr>
          <w:p w14:paraId="674A5D5D" w14:textId="77777777" w:rsidR="00AC680C" w:rsidRPr="00490C53" w:rsidRDefault="00AC680C" w:rsidP="00AC680C">
            <w:pPr>
              <w:pStyle w:val="Tabletext"/>
              <w:rPr>
                <w:lang w:eastAsia="en-GB"/>
              </w:rPr>
            </w:pPr>
            <w:r w:rsidRPr="00490C53">
              <w:rPr>
                <w:lang w:eastAsia="en-GB"/>
              </w:rPr>
              <w:t>5m to 25m</w:t>
            </w:r>
          </w:p>
        </w:tc>
        <w:tc>
          <w:tcPr>
            <w:tcW w:w="0" w:type="dxa"/>
            <w:noWrap/>
            <w:hideMark/>
          </w:tcPr>
          <w:p w14:paraId="2AECA5CF" w14:textId="36088E7E"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53A1B4B0" w14:textId="45CAD387" w:rsidR="00AC680C" w:rsidRPr="00490C53" w:rsidRDefault="00AC680C" w:rsidP="00AC680C">
            <w:pPr>
              <w:pStyle w:val="Tabletext"/>
              <w:jc w:val="right"/>
              <w:rPr>
                <w:rFonts w:cstheme="minorHAnsi"/>
                <w:szCs w:val="24"/>
                <w:lang w:eastAsia="en-GB"/>
              </w:rPr>
            </w:pPr>
            <w:r w:rsidRPr="00846F78">
              <w:rPr>
                <w:rFonts w:cstheme="minorHAnsi"/>
                <w:szCs w:val="24"/>
              </w:rPr>
              <w:t>2%</w:t>
            </w:r>
          </w:p>
        </w:tc>
      </w:tr>
      <w:tr w:rsidR="00AC680C" w:rsidRPr="00490C53" w14:paraId="604480D8"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25894CA3" w14:textId="77777777" w:rsidR="00AC680C" w:rsidRPr="00490C53" w:rsidRDefault="00AC680C" w:rsidP="00AC680C">
            <w:pPr>
              <w:pStyle w:val="Tabletext"/>
              <w:rPr>
                <w:lang w:eastAsia="en-GB"/>
              </w:rPr>
            </w:pPr>
          </w:p>
        </w:tc>
        <w:tc>
          <w:tcPr>
            <w:tcW w:w="0" w:type="dxa"/>
            <w:noWrap/>
            <w:vAlign w:val="center"/>
            <w:hideMark/>
          </w:tcPr>
          <w:p w14:paraId="1F4DC1CA" w14:textId="77777777" w:rsidR="00AC680C" w:rsidRPr="00490C53" w:rsidRDefault="00AC680C" w:rsidP="00AC680C">
            <w:pPr>
              <w:pStyle w:val="Tabletext"/>
              <w:rPr>
                <w:lang w:eastAsia="en-GB"/>
              </w:rPr>
            </w:pPr>
            <w:r w:rsidRPr="00490C53">
              <w:rPr>
                <w:lang w:eastAsia="en-GB"/>
              </w:rPr>
              <w:t>25m to 50m</w:t>
            </w:r>
          </w:p>
        </w:tc>
        <w:tc>
          <w:tcPr>
            <w:tcW w:w="0" w:type="dxa"/>
            <w:noWrap/>
            <w:hideMark/>
          </w:tcPr>
          <w:p w14:paraId="05101B2F" w14:textId="014F56DD"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55EF8169" w14:textId="548DF1A7"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3659D1FE" w14:textId="77777777" w:rsidTr="00846F78">
        <w:tblPrEx>
          <w:tblCellMar>
            <w:left w:w="108" w:type="dxa"/>
            <w:right w:w="108" w:type="dxa"/>
          </w:tblCellMar>
        </w:tblPrEx>
        <w:trPr>
          <w:trHeight w:val="290"/>
        </w:trPr>
        <w:tc>
          <w:tcPr>
            <w:tcW w:w="0" w:type="dxa"/>
            <w:noWrap/>
            <w:vAlign w:val="center"/>
          </w:tcPr>
          <w:p w14:paraId="3F0FC74B" w14:textId="77777777" w:rsidR="00AC680C" w:rsidRPr="00490C53" w:rsidRDefault="00AC680C" w:rsidP="00AC680C">
            <w:pPr>
              <w:pStyle w:val="Tabletext"/>
              <w:rPr>
                <w:lang w:eastAsia="en-GB"/>
              </w:rPr>
            </w:pPr>
          </w:p>
        </w:tc>
        <w:tc>
          <w:tcPr>
            <w:tcW w:w="0" w:type="dxa"/>
            <w:noWrap/>
            <w:vAlign w:val="center"/>
            <w:hideMark/>
          </w:tcPr>
          <w:p w14:paraId="5B5D6681" w14:textId="77777777" w:rsidR="00AC680C" w:rsidRPr="00490C53" w:rsidRDefault="00AC680C" w:rsidP="00AC680C">
            <w:pPr>
              <w:pStyle w:val="Tabletext"/>
              <w:rPr>
                <w:lang w:eastAsia="en-GB"/>
              </w:rPr>
            </w:pPr>
            <w:r w:rsidRPr="00490C53">
              <w:rPr>
                <w:lang w:eastAsia="en-GB"/>
              </w:rPr>
              <w:t>50m to 200m</w:t>
            </w:r>
          </w:p>
        </w:tc>
        <w:tc>
          <w:tcPr>
            <w:tcW w:w="0" w:type="dxa"/>
            <w:noWrap/>
            <w:hideMark/>
          </w:tcPr>
          <w:p w14:paraId="29325009" w14:textId="5BC3FCA7"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0A3535B3" w14:textId="185EB96A"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0F96FA56"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2ED9DF6E" w14:textId="77777777" w:rsidR="00AC680C" w:rsidRPr="00490C53" w:rsidRDefault="00AC680C" w:rsidP="00AC680C">
            <w:pPr>
              <w:pStyle w:val="Tabletext"/>
              <w:rPr>
                <w:lang w:eastAsia="en-GB"/>
              </w:rPr>
            </w:pPr>
          </w:p>
        </w:tc>
        <w:tc>
          <w:tcPr>
            <w:tcW w:w="0" w:type="dxa"/>
            <w:noWrap/>
            <w:vAlign w:val="center"/>
            <w:hideMark/>
          </w:tcPr>
          <w:p w14:paraId="775D56D9" w14:textId="77777777" w:rsidR="00AC680C" w:rsidRPr="00490C53" w:rsidRDefault="00AC680C" w:rsidP="00AC680C">
            <w:pPr>
              <w:pStyle w:val="Tabletext"/>
              <w:rPr>
                <w:lang w:eastAsia="en-GB"/>
              </w:rPr>
            </w:pPr>
            <w:r w:rsidRPr="00490C53">
              <w:rPr>
                <w:lang w:eastAsia="en-GB"/>
              </w:rPr>
              <w:t>&gt;200m</w:t>
            </w:r>
          </w:p>
        </w:tc>
        <w:tc>
          <w:tcPr>
            <w:tcW w:w="0" w:type="dxa"/>
            <w:noWrap/>
            <w:hideMark/>
          </w:tcPr>
          <w:p w14:paraId="52D9C582" w14:textId="08C07E7F"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077ADDAD" w14:textId="4ADAB4E4"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7B851E79" w14:textId="77777777" w:rsidTr="00846F78">
        <w:tblPrEx>
          <w:tblCellMar>
            <w:left w:w="108" w:type="dxa"/>
            <w:right w:w="108" w:type="dxa"/>
          </w:tblCellMar>
        </w:tblPrEx>
        <w:trPr>
          <w:trHeight w:val="290"/>
        </w:trPr>
        <w:tc>
          <w:tcPr>
            <w:tcW w:w="0" w:type="dxa"/>
            <w:noWrap/>
            <w:vAlign w:val="center"/>
          </w:tcPr>
          <w:p w14:paraId="2E0E6978" w14:textId="77777777" w:rsidR="00AC680C" w:rsidRPr="00490C53" w:rsidRDefault="00AC680C" w:rsidP="00AC680C">
            <w:pPr>
              <w:pStyle w:val="Tabletext"/>
              <w:rPr>
                <w:lang w:eastAsia="en-GB"/>
              </w:rPr>
            </w:pPr>
          </w:p>
        </w:tc>
        <w:tc>
          <w:tcPr>
            <w:tcW w:w="0" w:type="dxa"/>
            <w:noWrap/>
            <w:vAlign w:val="center"/>
            <w:hideMark/>
          </w:tcPr>
          <w:p w14:paraId="79F0EB38" w14:textId="77777777" w:rsidR="00AC680C" w:rsidRPr="00490C53" w:rsidRDefault="00AC680C" w:rsidP="00AC680C">
            <w:pPr>
              <w:pStyle w:val="Tabletext"/>
              <w:rPr>
                <w:lang w:eastAsia="en-GB"/>
              </w:rPr>
            </w:pPr>
            <w:r w:rsidRPr="00490C53">
              <w:rPr>
                <w:lang w:eastAsia="en-GB"/>
              </w:rPr>
              <w:t>Weighted average</w:t>
            </w:r>
          </w:p>
        </w:tc>
        <w:tc>
          <w:tcPr>
            <w:tcW w:w="0" w:type="dxa"/>
            <w:noWrap/>
            <w:hideMark/>
          </w:tcPr>
          <w:p w14:paraId="2A7CC040" w14:textId="27BECAEB" w:rsidR="00AC680C" w:rsidRPr="00490C53" w:rsidRDefault="00AC680C" w:rsidP="00AC680C">
            <w:pPr>
              <w:pStyle w:val="Tabletext"/>
              <w:jc w:val="right"/>
              <w:rPr>
                <w:rFonts w:cstheme="minorHAnsi"/>
                <w:szCs w:val="24"/>
                <w:lang w:eastAsia="en-GB"/>
              </w:rPr>
            </w:pPr>
            <w:r w:rsidRPr="00846F78">
              <w:rPr>
                <w:rFonts w:cstheme="minorHAnsi"/>
                <w:szCs w:val="24"/>
              </w:rPr>
              <w:t>6%</w:t>
            </w:r>
          </w:p>
        </w:tc>
        <w:tc>
          <w:tcPr>
            <w:tcW w:w="0" w:type="dxa"/>
            <w:noWrap/>
            <w:hideMark/>
          </w:tcPr>
          <w:p w14:paraId="0EE8294D" w14:textId="7EBEB62B" w:rsidR="00AC680C" w:rsidRPr="00490C53" w:rsidRDefault="00AC680C" w:rsidP="00AC680C">
            <w:pPr>
              <w:pStyle w:val="Tabletext"/>
              <w:jc w:val="right"/>
              <w:rPr>
                <w:rFonts w:cstheme="minorHAnsi"/>
                <w:szCs w:val="24"/>
                <w:lang w:eastAsia="en-GB"/>
              </w:rPr>
            </w:pPr>
            <w:r w:rsidRPr="00846F78">
              <w:rPr>
                <w:rFonts w:cstheme="minorHAnsi"/>
                <w:szCs w:val="24"/>
              </w:rPr>
              <w:t>4%</w:t>
            </w:r>
          </w:p>
        </w:tc>
      </w:tr>
      <w:tr w:rsidR="00AC680C" w:rsidRPr="00490C53" w14:paraId="2033C3A2"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hideMark/>
          </w:tcPr>
          <w:p w14:paraId="3CEF0E4E" w14:textId="77777777" w:rsidR="00AC680C" w:rsidRPr="00490C53" w:rsidRDefault="00AC680C" w:rsidP="00AC680C">
            <w:pPr>
              <w:pStyle w:val="Tabletext"/>
              <w:rPr>
                <w:lang w:eastAsia="en-GB"/>
              </w:rPr>
            </w:pPr>
            <w:r w:rsidRPr="00490C53">
              <w:rPr>
                <w:lang w:eastAsia="en-GB"/>
              </w:rPr>
              <w:t>Other Services</w:t>
            </w:r>
          </w:p>
        </w:tc>
        <w:tc>
          <w:tcPr>
            <w:tcW w:w="0" w:type="dxa"/>
            <w:noWrap/>
            <w:vAlign w:val="center"/>
            <w:hideMark/>
          </w:tcPr>
          <w:p w14:paraId="3A04940A" w14:textId="77777777" w:rsidR="00AC680C" w:rsidRPr="00490C53" w:rsidRDefault="00AC680C" w:rsidP="00AC680C">
            <w:pPr>
              <w:pStyle w:val="Tabletext"/>
              <w:rPr>
                <w:lang w:eastAsia="en-GB"/>
              </w:rPr>
            </w:pPr>
            <w:r w:rsidRPr="00490C53">
              <w:rPr>
                <w:lang w:eastAsia="en-GB"/>
              </w:rPr>
              <w:t>Less than 50K</w:t>
            </w:r>
          </w:p>
        </w:tc>
        <w:tc>
          <w:tcPr>
            <w:tcW w:w="0" w:type="dxa"/>
            <w:noWrap/>
            <w:hideMark/>
          </w:tcPr>
          <w:p w14:paraId="5CB004F8" w14:textId="61BB0A69" w:rsidR="00AC680C" w:rsidRPr="00490C53" w:rsidRDefault="00AC680C" w:rsidP="00AC680C">
            <w:pPr>
              <w:pStyle w:val="Tabletext"/>
              <w:jc w:val="right"/>
              <w:rPr>
                <w:rFonts w:cstheme="minorHAnsi"/>
                <w:szCs w:val="24"/>
                <w:lang w:eastAsia="en-GB"/>
              </w:rPr>
            </w:pPr>
            <w:r w:rsidRPr="00846F78">
              <w:rPr>
                <w:rFonts w:cstheme="minorHAnsi"/>
                <w:szCs w:val="24"/>
              </w:rPr>
              <w:t>5%</w:t>
            </w:r>
          </w:p>
        </w:tc>
        <w:tc>
          <w:tcPr>
            <w:tcW w:w="0" w:type="dxa"/>
            <w:noWrap/>
            <w:hideMark/>
          </w:tcPr>
          <w:p w14:paraId="67BB86EB" w14:textId="6E00A4B1" w:rsidR="00AC680C" w:rsidRPr="00490C53" w:rsidRDefault="00AC680C" w:rsidP="00AC680C">
            <w:pPr>
              <w:pStyle w:val="Tabletext"/>
              <w:jc w:val="right"/>
              <w:rPr>
                <w:rFonts w:cstheme="minorHAnsi"/>
                <w:szCs w:val="24"/>
                <w:lang w:eastAsia="en-GB"/>
              </w:rPr>
            </w:pPr>
            <w:r w:rsidRPr="00846F78">
              <w:rPr>
                <w:rFonts w:cstheme="minorHAnsi"/>
                <w:szCs w:val="24"/>
              </w:rPr>
              <w:t>-4%</w:t>
            </w:r>
          </w:p>
        </w:tc>
      </w:tr>
      <w:tr w:rsidR="00AC680C" w:rsidRPr="00490C53" w14:paraId="09F7ED5A" w14:textId="77777777" w:rsidTr="00846F78">
        <w:tblPrEx>
          <w:tblCellMar>
            <w:left w:w="108" w:type="dxa"/>
            <w:right w:w="108" w:type="dxa"/>
          </w:tblCellMar>
        </w:tblPrEx>
        <w:trPr>
          <w:trHeight w:val="290"/>
        </w:trPr>
        <w:tc>
          <w:tcPr>
            <w:tcW w:w="0" w:type="dxa"/>
            <w:noWrap/>
            <w:vAlign w:val="center"/>
          </w:tcPr>
          <w:p w14:paraId="7CE4E4A8" w14:textId="77777777" w:rsidR="00AC680C" w:rsidRPr="00490C53" w:rsidRDefault="00AC680C" w:rsidP="00AC680C">
            <w:pPr>
              <w:pStyle w:val="Tabletext"/>
              <w:rPr>
                <w:lang w:eastAsia="en-GB"/>
              </w:rPr>
            </w:pPr>
          </w:p>
        </w:tc>
        <w:tc>
          <w:tcPr>
            <w:tcW w:w="0" w:type="dxa"/>
            <w:noWrap/>
            <w:vAlign w:val="center"/>
            <w:hideMark/>
          </w:tcPr>
          <w:p w14:paraId="7424F3D2" w14:textId="77777777" w:rsidR="00AC680C" w:rsidRPr="00490C53" w:rsidRDefault="00AC680C" w:rsidP="00AC680C">
            <w:pPr>
              <w:pStyle w:val="Tabletext"/>
              <w:rPr>
                <w:lang w:eastAsia="en-GB"/>
              </w:rPr>
            </w:pPr>
            <w:r w:rsidRPr="00490C53">
              <w:rPr>
                <w:lang w:eastAsia="en-GB"/>
              </w:rPr>
              <w:t>50,001 to 100K</w:t>
            </w:r>
          </w:p>
        </w:tc>
        <w:tc>
          <w:tcPr>
            <w:tcW w:w="0" w:type="dxa"/>
            <w:noWrap/>
            <w:hideMark/>
          </w:tcPr>
          <w:p w14:paraId="48AAA39E" w14:textId="7EE362B1" w:rsidR="00AC680C" w:rsidRPr="00490C53" w:rsidRDefault="00AC680C" w:rsidP="00AC680C">
            <w:pPr>
              <w:pStyle w:val="Tabletext"/>
              <w:jc w:val="right"/>
              <w:rPr>
                <w:rFonts w:cstheme="minorHAnsi"/>
                <w:szCs w:val="24"/>
                <w:lang w:eastAsia="en-GB"/>
              </w:rPr>
            </w:pPr>
            <w:r w:rsidRPr="00846F78">
              <w:rPr>
                <w:rFonts w:cstheme="minorHAnsi"/>
                <w:szCs w:val="24"/>
              </w:rPr>
              <w:t>3%</w:t>
            </w:r>
          </w:p>
        </w:tc>
        <w:tc>
          <w:tcPr>
            <w:tcW w:w="0" w:type="dxa"/>
            <w:noWrap/>
            <w:hideMark/>
          </w:tcPr>
          <w:p w14:paraId="5553C6A1" w14:textId="059F0A89" w:rsidR="00AC680C" w:rsidRPr="00490C53" w:rsidRDefault="00AC680C" w:rsidP="00AC680C">
            <w:pPr>
              <w:pStyle w:val="Tabletext"/>
              <w:jc w:val="right"/>
              <w:rPr>
                <w:rFonts w:cstheme="minorHAnsi"/>
                <w:szCs w:val="24"/>
                <w:lang w:eastAsia="en-GB"/>
              </w:rPr>
            </w:pPr>
            <w:r w:rsidRPr="00846F78">
              <w:rPr>
                <w:rFonts w:cstheme="minorHAnsi"/>
                <w:szCs w:val="24"/>
              </w:rPr>
              <w:t>9%</w:t>
            </w:r>
          </w:p>
        </w:tc>
      </w:tr>
      <w:tr w:rsidR="00AC680C" w:rsidRPr="00490C53" w14:paraId="56573DA7"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07594787" w14:textId="77777777" w:rsidR="00AC680C" w:rsidRPr="00490C53" w:rsidRDefault="00AC680C" w:rsidP="00AC680C">
            <w:pPr>
              <w:pStyle w:val="Tabletext"/>
              <w:rPr>
                <w:lang w:eastAsia="en-GB"/>
              </w:rPr>
            </w:pPr>
          </w:p>
        </w:tc>
        <w:tc>
          <w:tcPr>
            <w:tcW w:w="0" w:type="dxa"/>
            <w:noWrap/>
            <w:vAlign w:val="center"/>
            <w:hideMark/>
          </w:tcPr>
          <w:p w14:paraId="0719B181" w14:textId="77777777" w:rsidR="00AC680C" w:rsidRPr="00490C53" w:rsidRDefault="00AC680C" w:rsidP="00AC680C">
            <w:pPr>
              <w:pStyle w:val="Tabletext"/>
              <w:rPr>
                <w:lang w:eastAsia="en-GB"/>
              </w:rPr>
            </w:pPr>
            <w:r w:rsidRPr="00490C53">
              <w:rPr>
                <w:lang w:eastAsia="en-GB"/>
              </w:rPr>
              <w:t>100,001 to 250K</w:t>
            </w:r>
          </w:p>
        </w:tc>
        <w:tc>
          <w:tcPr>
            <w:tcW w:w="0" w:type="dxa"/>
            <w:noWrap/>
            <w:hideMark/>
          </w:tcPr>
          <w:p w14:paraId="7FBB62D3" w14:textId="75447AF8" w:rsidR="00AC680C" w:rsidRPr="00490C53" w:rsidRDefault="00AC680C" w:rsidP="00AC680C">
            <w:pPr>
              <w:pStyle w:val="Tabletext"/>
              <w:jc w:val="right"/>
              <w:rPr>
                <w:rFonts w:cstheme="minorHAnsi"/>
                <w:szCs w:val="24"/>
                <w:lang w:eastAsia="en-GB"/>
              </w:rPr>
            </w:pPr>
            <w:r w:rsidRPr="00846F78">
              <w:rPr>
                <w:rFonts w:cstheme="minorHAnsi"/>
                <w:szCs w:val="24"/>
              </w:rPr>
              <w:t>3%</w:t>
            </w:r>
          </w:p>
        </w:tc>
        <w:tc>
          <w:tcPr>
            <w:tcW w:w="0" w:type="dxa"/>
            <w:noWrap/>
            <w:hideMark/>
          </w:tcPr>
          <w:p w14:paraId="52CB24FF" w14:textId="2D1203BE" w:rsidR="00AC680C" w:rsidRPr="00490C53" w:rsidRDefault="00AC680C" w:rsidP="00AC680C">
            <w:pPr>
              <w:pStyle w:val="Tabletext"/>
              <w:jc w:val="right"/>
              <w:rPr>
                <w:rFonts w:cstheme="minorHAnsi"/>
                <w:szCs w:val="24"/>
                <w:lang w:eastAsia="en-GB"/>
              </w:rPr>
            </w:pPr>
            <w:r w:rsidRPr="00846F78">
              <w:rPr>
                <w:rFonts w:cstheme="minorHAnsi"/>
                <w:szCs w:val="24"/>
              </w:rPr>
              <w:t>6%</w:t>
            </w:r>
          </w:p>
        </w:tc>
      </w:tr>
      <w:tr w:rsidR="00AC680C" w:rsidRPr="00490C53" w14:paraId="043C8C69" w14:textId="77777777" w:rsidTr="00846F78">
        <w:tblPrEx>
          <w:tblCellMar>
            <w:left w:w="108" w:type="dxa"/>
            <w:right w:w="108" w:type="dxa"/>
          </w:tblCellMar>
        </w:tblPrEx>
        <w:trPr>
          <w:trHeight w:val="290"/>
        </w:trPr>
        <w:tc>
          <w:tcPr>
            <w:tcW w:w="0" w:type="dxa"/>
            <w:noWrap/>
            <w:vAlign w:val="center"/>
          </w:tcPr>
          <w:p w14:paraId="6BE50289" w14:textId="77777777" w:rsidR="00AC680C" w:rsidRPr="00490C53" w:rsidRDefault="00AC680C" w:rsidP="00AC680C">
            <w:pPr>
              <w:pStyle w:val="Tabletext"/>
              <w:rPr>
                <w:lang w:eastAsia="en-GB"/>
              </w:rPr>
            </w:pPr>
          </w:p>
        </w:tc>
        <w:tc>
          <w:tcPr>
            <w:tcW w:w="0" w:type="dxa"/>
            <w:noWrap/>
            <w:vAlign w:val="center"/>
            <w:hideMark/>
          </w:tcPr>
          <w:p w14:paraId="4B9F3DED" w14:textId="77777777" w:rsidR="00AC680C" w:rsidRPr="00490C53" w:rsidRDefault="00AC680C" w:rsidP="00AC680C">
            <w:pPr>
              <w:pStyle w:val="Tabletext"/>
              <w:rPr>
                <w:lang w:eastAsia="en-GB"/>
              </w:rPr>
            </w:pPr>
            <w:r w:rsidRPr="00490C53">
              <w:rPr>
                <w:lang w:eastAsia="en-GB"/>
              </w:rPr>
              <w:t>250,001 to 500K</w:t>
            </w:r>
          </w:p>
        </w:tc>
        <w:tc>
          <w:tcPr>
            <w:tcW w:w="0" w:type="dxa"/>
            <w:noWrap/>
            <w:hideMark/>
          </w:tcPr>
          <w:p w14:paraId="37178630" w14:textId="12892235" w:rsidR="00AC680C" w:rsidRPr="00490C53" w:rsidRDefault="00AC680C" w:rsidP="00AC680C">
            <w:pPr>
              <w:pStyle w:val="Tabletext"/>
              <w:jc w:val="right"/>
              <w:rPr>
                <w:rFonts w:cstheme="minorHAnsi"/>
                <w:szCs w:val="24"/>
                <w:lang w:eastAsia="en-GB"/>
              </w:rPr>
            </w:pPr>
            <w:r w:rsidRPr="00846F78">
              <w:rPr>
                <w:rFonts w:cstheme="minorHAnsi"/>
                <w:szCs w:val="24"/>
              </w:rPr>
              <w:t>4%</w:t>
            </w:r>
          </w:p>
        </w:tc>
        <w:tc>
          <w:tcPr>
            <w:tcW w:w="0" w:type="dxa"/>
            <w:noWrap/>
            <w:hideMark/>
          </w:tcPr>
          <w:p w14:paraId="1C83B828" w14:textId="08282FEB" w:rsidR="00AC680C" w:rsidRPr="00490C53" w:rsidRDefault="00AC680C" w:rsidP="00AC680C">
            <w:pPr>
              <w:pStyle w:val="Tabletext"/>
              <w:jc w:val="right"/>
              <w:rPr>
                <w:rFonts w:cstheme="minorHAnsi"/>
                <w:szCs w:val="24"/>
                <w:lang w:eastAsia="en-GB"/>
              </w:rPr>
            </w:pPr>
            <w:r w:rsidRPr="00846F78">
              <w:rPr>
                <w:rFonts w:cstheme="minorHAnsi"/>
                <w:szCs w:val="24"/>
              </w:rPr>
              <w:t>4%</w:t>
            </w:r>
          </w:p>
        </w:tc>
      </w:tr>
      <w:tr w:rsidR="00AC680C" w:rsidRPr="00490C53" w14:paraId="1AE58DF1"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21E33C43" w14:textId="77777777" w:rsidR="00AC680C" w:rsidRPr="00490C53" w:rsidRDefault="00AC680C" w:rsidP="00AC680C">
            <w:pPr>
              <w:pStyle w:val="Tabletext"/>
              <w:rPr>
                <w:lang w:eastAsia="en-GB"/>
              </w:rPr>
            </w:pPr>
          </w:p>
        </w:tc>
        <w:tc>
          <w:tcPr>
            <w:tcW w:w="0" w:type="dxa"/>
            <w:noWrap/>
            <w:vAlign w:val="center"/>
            <w:hideMark/>
          </w:tcPr>
          <w:p w14:paraId="258B9EF3" w14:textId="77777777" w:rsidR="00AC680C" w:rsidRPr="00490C53" w:rsidRDefault="00AC680C" w:rsidP="00AC680C">
            <w:pPr>
              <w:pStyle w:val="Tabletext"/>
              <w:rPr>
                <w:lang w:eastAsia="en-GB"/>
              </w:rPr>
            </w:pPr>
            <w:r w:rsidRPr="00490C53">
              <w:rPr>
                <w:lang w:eastAsia="en-GB"/>
              </w:rPr>
              <w:t>500,001 to 1m</w:t>
            </w:r>
          </w:p>
        </w:tc>
        <w:tc>
          <w:tcPr>
            <w:tcW w:w="0" w:type="dxa"/>
            <w:noWrap/>
            <w:hideMark/>
          </w:tcPr>
          <w:p w14:paraId="785D8420" w14:textId="2E63DF79" w:rsidR="00AC680C" w:rsidRPr="00490C53" w:rsidRDefault="00AC680C" w:rsidP="00AC680C">
            <w:pPr>
              <w:pStyle w:val="Tabletext"/>
              <w:jc w:val="right"/>
              <w:rPr>
                <w:rFonts w:cstheme="minorHAnsi"/>
                <w:szCs w:val="24"/>
                <w:lang w:eastAsia="en-GB"/>
              </w:rPr>
            </w:pPr>
            <w:r w:rsidRPr="00846F78">
              <w:rPr>
                <w:rFonts w:cstheme="minorHAnsi"/>
                <w:szCs w:val="24"/>
              </w:rPr>
              <w:t>2%</w:t>
            </w:r>
          </w:p>
        </w:tc>
        <w:tc>
          <w:tcPr>
            <w:tcW w:w="0" w:type="dxa"/>
            <w:noWrap/>
            <w:hideMark/>
          </w:tcPr>
          <w:p w14:paraId="36A2B424" w14:textId="3A692CD3" w:rsidR="00AC680C" w:rsidRPr="00490C53" w:rsidRDefault="00AC680C" w:rsidP="00AC680C">
            <w:pPr>
              <w:pStyle w:val="Tabletext"/>
              <w:jc w:val="right"/>
              <w:rPr>
                <w:rFonts w:cstheme="minorHAnsi"/>
                <w:szCs w:val="24"/>
                <w:lang w:eastAsia="en-GB"/>
              </w:rPr>
            </w:pPr>
            <w:r w:rsidRPr="00846F78">
              <w:rPr>
                <w:rFonts w:cstheme="minorHAnsi"/>
                <w:szCs w:val="24"/>
              </w:rPr>
              <w:t>3%</w:t>
            </w:r>
          </w:p>
        </w:tc>
      </w:tr>
      <w:tr w:rsidR="00AC680C" w:rsidRPr="00490C53" w14:paraId="0CBF98A7" w14:textId="77777777" w:rsidTr="00846F78">
        <w:tblPrEx>
          <w:tblCellMar>
            <w:left w:w="108" w:type="dxa"/>
            <w:right w:w="108" w:type="dxa"/>
          </w:tblCellMar>
        </w:tblPrEx>
        <w:trPr>
          <w:trHeight w:val="290"/>
        </w:trPr>
        <w:tc>
          <w:tcPr>
            <w:tcW w:w="0" w:type="dxa"/>
            <w:noWrap/>
            <w:vAlign w:val="center"/>
          </w:tcPr>
          <w:p w14:paraId="73830740" w14:textId="77777777" w:rsidR="00AC680C" w:rsidRPr="00490C53" w:rsidRDefault="00AC680C" w:rsidP="00AC680C">
            <w:pPr>
              <w:pStyle w:val="Tabletext"/>
              <w:rPr>
                <w:lang w:eastAsia="en-GB"/>
              </w:rPr>
            </w:pPr>
          </w:p>
        </w:tc>
        <w:tc>
          <w:tcPr>
            <w:tcW w:w="0" w:type="dxa"/>
            <w:noWrap/>
            <w:vAlign w:val="center"/>
            <w:hideMark/>
          </w:tcPr>
          <w:p w14:paraId="04BA2501" w14:textId="77777777" w:rsidR="00AC680C" w:rsidRPr="00490C53" w:rsidRDefault="00AC680C" w:rsidP="00AC680C">
            <w:pPr>
              <w:pStyle w:val="Tabletext"/>
              <w:rPr>
                <w:lang w:eastAsia="en-GB"/>
              </w:rPr>
            </w:pPr>
            <w:r w:rsidRPr="00490C53">
              <w:rPr>
                <w:lang w:eastAsia="en-GB"/>
              </w:rPr>
              <w:t>1m to 5m</w:t>
            </w:r>
          </w:p>
        </w:tc>
        <w:tc>
          <w:tcPr>
            <w:tcW w:w="0" w:type="dxa"/>
            <w:noWrap/>
            <w:hideMark/>
          </w:tcPr>
          <w:p w14:paraId="742A497D" w14:textId="177F4C80" w:rsidR="00AC680C" w:rsidRPr="00490C53" w:rsidRDefault="00AC680C" w:rsidP="00AC680C">
            <w:pPr>
              <w:pStyle w:val="Tabletext"/>
              <w:jc w:val="right"/>
              <w:rPr>
                <w:rFonts w:cstheme="minorHAnsi"/>
                <w:szCs w:val="24"/>
                <w:lang w:eastAsia="en-GB"/>
              </w:rPr>
            </w:pPr>
            <w:r w:rsidRPr="00846F78">
              <w:rPr>
                <w:rFonts w:cstheme="minorHAnsi"/>
                <w:szCs w:val="24"/>
              </w:rPr>
              <w:t>2%</w:t>
            </w:r>
          </w:p>
        </w:tc>
        <w:tc>
          <w:tcPr>
            <w:tcW w:w="0" w:type="dxa"/>
            <w:noWrap/>
            <w:hideMark/>
          </w:tcPr>
          <w:p w14:paraId="15522E1C" w14:textId="6A7473F4" w:rsidR="00AC680C" w:rsidRPr="00490C53" w:rsidRDefault="00AC680C" w:rsidP="00AC680C">
            <w:pPr>
              <w:pStyle w:val="Tabletext"/>
              <w:jc w:val="right"/>
              <w:rPr>
                <w:rFonts w:cstheme="minorHAnsi"/>
                <w:szCs w:val="24"/>
                <w:lang w:eastAsia="en-GB"/>
              </w:rPr>
            </w:pPr>
            <w:r w:rsidRPr="00846F78">
              <w:rPr>
                <w:rFonts w:cstheme="minorHAnsi"/>
                <w:szCs w:val="24"/>
              </w:rPr>
              <w:t>3%</w:t>
            </w:r>
          </w:p>
        </w:tc>
      </w:tr>
      <w:tr w:rsidR="00AC680C" w:rsidRPr="00490C53" w14:paraId="01E6816E"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2D500627" w14:textId="77777777" w:rsidR="00AC680C" w:rsidRPr="00490C53" w:rsidRDefault="00AC680C" w:rsidP="00AC680C">
            <w:pPr>
              <w:pStyle w:val="Tabletext"/>
              <w:rPr>
                <w:lang w:eastAsia="en-GB"/>
              </w:rPr>
            </w:pPr>
          </w:p>
        </w:tc>
        <w:tc>
          <w:tcPr>
            <w:tcW w:w="0" w:type="dxa"/>
            <w:noWrap/>
            <w:vAlign w:val="center"/>
            <w:hideMark/>
          </w:tcPr>
          <w:p w14:paraId="7208C495" w14:textId="77777777" w:rsidR="00AC680C" w:rsidRPr="00490C53" w:rsidRDefault="00AC680C" w:rsidP="00AC680C">
            <w:pPr>
              <w:pStyle w:val="Tabletext"/>
              <w:rPr>
                <w:lang w:eastAsia="en-GB"/>
              </w:rPr>
            </w:pPr>
            <w:r w:rsidRPr="00490C53">
              <w:rPr>
                <w:lang w:eastAsia="en-GB"/>
              </w:rPr>
              <w:t>5m to 25m</w:t>
            </w:r>
          </w:p>
        </w:tc>
        <w:tc>
          <w:tcPr>
            <w:tcW w:w="0" w:type="dxa"/>
            <w:noWrap/>
            <w:hideMark/>
          </w:tcPr>
          <w:p w14:paraId="556A6DBB" w14:textId="09A68758"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6F008475" w14:textId="2DA84768"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31508641" w14:textId="77777777" w:rsidTr="00846F78">
        <w:tblPrEx>
          <w:tblCellMar>
            <w:left w:w="108" w:type="dxa"/>
            <w:right w:w="108" w:type="dxa"/>
          </w:tblCellMar>
        </w:tblPrEx>
        <w:trPr>
          <w:trHeight w:val="290"/>
        </w:trPr>
        <w:tc>
          <w:tcPr>
            <w:tcW w:w="0" w:type="dxa"/>
            <w:noWrap/>
            <w:vAlign w:val="center"/>
          </w:tcPr>
          <w:p w14:paraId="0300156F" w14:textId="77777777" w:rsidR="00AC680C" w:rsidRPr="00490C53" w:rsidRDefault="00AC680C" w:rsidP="00AC680C">
            <w:pPr>
              <w:pStyle w:val="Tabletext"/>
              <w:rPr>
                <w:lang w:eastAsia="en-GB"/>
              </w:rPr>
            </w:pPr>
          </w:p>
        </w:tc>
        <w:tc>
          <w:tcPr>
            <w:tcW w:w="0" w:type="dxa"/>
            <w:noWrap/>
            <w:vAlign w:val="center"/>
            <w:hideMark/>
          </w:tcPr>
          <w:p w14:paraId="3542E6D8" w14:textId="77777777" w:rsidR="00AC680C" w:rsidRPr="00490C53" w:rsidRDefault="00AC680C" w:rsidP="00AC680C">
            <w:pPr>
              <w:pStyle w:val="Tabletext"/>
              <w:rPr>
                <w:lang w:eastAsia="en-GB"/>
              </w:rPr>
            </w:pPr>
            <w:r w:rsidRPr="00490C53">
              <w:rPr>
                <w:lang w:eastAsia="en-GB"/>
              </w:rPr>
              <w:t>25m to 50m</w:t>
            </w:r>
          </w:p>
        </w:tc>
        <w:tc>
          <w:tcPr>
            <w:tcW w:w="0" w:type="dxa"/>
            <w:noWrap/>
            <w:hideMark/>
          </w:tcPr>
          <w:p w14:paraId="629EBAB0" w14:textId="54A30153"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7E6CDC68" w14:textId="3BC2B455"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74F5F49E"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noWrap/>
            <w:vAlign w:val="center"/>
          </w:tcPr>
          <w:p w14:paraId="793B4AD8" w14:textId="77777777" w:rsidR="00AC680C" w:rsidRPr="00490C53" w:rsidRDefault="00AC680C" w:rsidP="00AC680C">
            <w:pPr>
              <w:pStyle w:val="Tabletext"/>
              <w:rPr>
                <w:lang w:eastAsia="en-GB"/>
              </w:rPr>
            </w:pPr>
          </w:p>
        </w:tc>
        <w:tc>
          <w:tcPr>
            <w:tcW w:w="0" w:type="dxa"/>
            <w:noWrap/>
            <w:vAlign w:val="center"/>
            <w:hideMark/>
          </w:tcPr>
          <w:p w14:paraId="72B33B80" w14:textId="77777777" w:rsidR="00AC680C" w:rsidRPr="00490C53" w:rsidRDefault="00AC680C" w:rsidP="00AC680C">
            <w:pPr>
              <w:pStyle w:val="Tabletext"/>
              <w:rPr>
                <w:lang w:eastAsia="en-GB"/>
              </w:rPr>
            </w:pPr>
            <w:r w:rsidRPr="00490C53">
              <w:rPr>
                <w:lang w:eastAsia="en-GB"/>
              </w:rPr>
              <w:t>50m to 200m</w:t>
            </w:r>
          </w:p>
        </w:tc>
        <w:tc>
          <w:tcPr>
            <w:tcW w:w="0" w:type="dxa"/>
            <w:noWrap/>
            <w:hideMark/>
          </w:tcPr>
          <w:p w14:paraId="60FE813A" w14:textId="0C76BC80"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1EB08549" w14:textId="33171D93"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229A0AC0" w14:textId="77777777" w:rsidTr="00846F78">
        <w:tblPrEx>
          <w:tblCellMar>
            <w:left w:w="108" w:type="dxa"/>
            <w:right w:w="108" w:type="dxa"/>
          </w:tblCellMar>
        </w:tblPrEx>
        <w:trPr>
          <w:trHeight w:val="290"/>
        </w:trPr>
        <w:tc>
          <w:tcPr>
            <w:tcW w:w="0" w:type="dxa"/>
            <w:noWrap/>
            <w:vAlign w:val="center"/>
          </w:tcPr>
          <w:p w14:paraId="1AB64CF5" w14:textId="77777777" w:rsidR="00AC680C" w:rsidRPr="00490C53" w:rsidRDefault="00AC680C" w:rsidP="00AC680C">
            <w:pPr>
              <w:pStyle w:val="Tabletext"/>
              <w:rPr>
                <w:lang w:eastAsia="en-GB"/>
              </w:rPr>
            </w:pPr>
          </w:p>
        </w:tc>
        <w:tc>
          <w:tcPr>
            <w:tcW w:w="0" w:type="dxa"/>
            <w:noWrap/>
            <w:vAlign w:val="center"/>
            <w:hideMark/>
          </w:tcPr>
          <w:p w14:paraId="5EB31AB5" w14:textId="77777777" w:rsidR="00AC680C" w:rsidRPr="00490C53" w:rsidRDefault="00AC680C" w:rsidP="00AC680C">
            <w:pPr>
              <w:pStyle w:val="Tabletext"/>
              <w:rPr>
                <w:lang w:eastAsia="en-GB"/>
              </w:rPr>
            </w:pPr>
            <w:r w:rsidRPr="00490C53">
              <w:rPr>
                <w:lang w:eastAsia="en-GB"/>
              </w:rPr>
              <w:t>&gt;200m</w:t>
            </w:r>
          </w:p>
        </w:tc>
        <w:tc>
          <w:tcPr>
            <w:tcW w:w="0" w:type="dxa"/>
            <w:noWrap/>
            <w:hideMark/>
          </w:tcPr>
          <w:p w14:paraId="18148B71" w14:textId="422A2AD4" w:rsidR="00AC680C" w:rsidRPr="00490C53" w:rsidRDefault="00AC680C" w:rsidP="00AC680C">
            <w:pPr>
              <w:pStyle w:val="Tabletext"/>
              <w:jc w:val="right"/>
              <w:rPr>
                <w:rFonts w:cstheme="minorHAnsi"/>
                <w:szCs w:val="24"/>
                <w:lang w:eastAsia="en-GB"/>
              </w:rPr>
            </w:pPr>
            <w:r w:rsidRPr="00846F78">
              <w:rPr>
                <w:rFonts w:cstheme="minorHAnsi"/>
                <w:szCs w:val="24"/>
              </w:rPr>
              <w:t> </w:t>
            </w:r>
          </w:p>
        </w:tc>
        <w:tc>
          <w:tcPr>
            <w:tcW w:w="0" w:type="dxa"/>
            <w:noWrap/>
            <w:hideMark/>
          </w:tcPr>
          <w:p w14:paraId="673620ED" w14:textId="716F43F5" w:rsidR="00AC680C" w:rsidRPr="00490C53" w:rsidRDefault="00AC680C" w:rsidP="00AC680C">
            <w:pPr>
              <w:pStyle w:val="Tabletext"/>
              <w:jc w:val="right"/>
              <w:rPr>
                <w:rFonts w:cstheme="minorHAnsi"/>
                <w:szCs w:val="24"/>
                <w:lang w:eastAsia="en-GB"/>
              </w:rPr>
            </w:pPr>
            <w:r w:rsidRPr="00846F78">
              <w:rPr>
                <w:rFonts w:cstheme="minorHAnsi"/>
                <w:szCs w:val="24"/>
              </w:rPr>
              <w:t>0%</w:t>
            </w:r>
          </w:p>
        </w:tc>
      </w:tr>
      <w:tr w:rsidR="00AC680C" w:rsidRPr="00490C53" w14:paraId="61D70B8F"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dxa"/>
            <w:tcBorders>
              <w:bottom w:val="single" w:sz="4" w:space="0" w:color="0054BA" w:themeColor="accent2"/>
            </w:tcBorders>
            <w:noWrap/>
            <w:vAlign w:val="center"/>
          </w:tcPr>
          <w:p w14:paraId="0A9B3BC0" w14:textId="77777777" w:rsidR="00AC680C" w:rsidRPr="00490C53" w:rsidRDefault="00AC680C" w:rsidP="00AC680C">
            <w:pPr>
              <w:pStyle w:val="Tabletext"/>
              <w:rPr>
                <w:lang w:eastAsia="en-GB"/>
              </w:rPr>
            </w:pPr>
          </w:p>
        </w:tc>
        <w:tc>
          <w:tcPr>
            <w:tcW w:w="0" w:type="dxa"/>
            <w:tcBorders>
              <w:bottom w:val="single" w:sz="4" w:space="0" w:color="0054BA" w:themeColor="accent2"/>
            </w:tcBorders>
            <w:noWrap/>
            <w:vAlign w:val="center"/>
            <w:hideMark/>
          </w:tcPr>
          <w:p w14:paraId="004FD99E" w14:textId="77777777" w:rsidR="00AC680C" w:rsidRPr="00490C53" w:rsidRDefault="00AC680C" w:rsidP="00AC680C">
            <w:pPr>
              <w:pStyle w:val="Tabletext"/>
              <w:rPr>
                <w:lang w:eastAsia="en-GB"/>
              </w:rPr>
            </w:pPr>
            <w:r w:rsidRPr="00490C53">
              <w:rPr>
                <w:lang w:eastAsia="en-GB"/>
              </w:rPr>
              <w:t>Weighted average</w:t>
            </w:r>
          </w:p>
        </w:tc>
        <w:tc>
          <w:tcPr>
            <w:tcW w:w="0" w:type="dxa"/>
            <w:tcBorders>
              <w:bottom w:val="single" w:sz="4" w:space="0" w:color="0054BA" w:themeColor="accent2"/>
            </w:tcBorders>
            <w:noWrap/>
            <w:hideMark/>
          </w:tcPr>
          <w:p w14:paraId="125C43F7" w14:textId="04DCD8C2" w:rsidR="00AC680C" w:rsidRPr="00490C53" w:rsidRDefault="00AC680C" w:rsidP="00AC680C">
            <w:pPr>
              <w:pStyle w:val="Tabletext"/>
              <w:jc w:val="right"/>
              <w:rPr>
                <w:rFonts w:cstheme="minorHAnsi"/>
                <w:szCs w:val="24"/>
                <w:lang w:eastAsia="en-GB"/>
              </w:rPr>
            </w:pPr>
            <w:r w:rsidRPr="00846F78">
              <w:rPr>
                <w:rFonts w:cstheme="minorHAnsi"/>
                <w:szCs w:val="24"/>
              </w:rPr>
              <w:t>3%</w:t>
            </w:r>
          </w:p>
        </w:tc>
        <w:tc>
          <w:tcPr>
            <w:tcW w:w="0" w:type="dxa"/>
            <w:tcBorders>
              <w:bottom w:val="single" w:sz="4" w:space="0" w:color="0054BA" w:themeColor="accent2"/>
            </w:tcBorders>
            <w:noWrap/>
            <w:hideMark/>
          </w:tcPr>
          <w:p w14:paraId="78A80BBB" w14:textId="0B6C43AF" w:rsidR="00AC680C" w:rsidRPr="00490C53" w:rsidRDefault="00AC680C" w:rsidP="00AC680C">
            <w:pPr>
              <w:pStyle w:val="Tabletext"/>
              <w:jc w:val="right"/>
              <w:rPr>
                <w:rFonts w:cstheme="minorHAnsi"/>
                <w:szCs w:val="24"/>
                <w:lang w:eastAsia="en-GB"/>
              </w:rPr>
            </w:pPr>
            <w:r w:rsidRPr="00846F78">
              <w:rPr>
                <w:rFonts w:cstheme="minorHAnsi"/>
                <w:szCs w:val="24"/>
              </w:rPr>
              <w:t>3%</w:t>
            </w:r>
          </w:p>
        </w:tc>
      </w:tr>
    </w:tbl>
    <w:p w14:paraId="703FD35D" w14:textId="5E20E5BE" w:rsidR="00750F0B" w:rsidRPr="00490C53" w:rsidRDefault="0033642C" w:rsidP="00750F0B">
      <w:pPr>
        <w:pStyle w:val="Caption"/>
      </w:pPr>
      <w:r w:rsidRPr="00490C53">
        <w:rPr>
          <w:lang w:eastAsia="en-GB"/>
        </w:rPr>
        <w:t>Weighted average calculated using PSM weight and turnover band</w:t>
      </w:r>
      <w:r w:rsidR="00974DFE" w:rsidRPr="00490C53">
        <w:rPr>
          <w:lang w:eastAsia="en-GB"/>
        </w:rPr>
        <w:t>, assuming a common turnover band distribution among borrowers across sectors</w:t>
      </w:r>
      <w:r w:rsidRPr="00490C53">
        <w:rPr>
          <w:lang w:eastAsia="en-GB"/>
        </w:rPr>
        <w:t>.</w:t>
      </w:r>
      <w:r w:rsidR="00974DFE" w:rsidRPr="00490C53">
        <w:rPr>
          <w:rStyle w:val="FootnoteReference"/>
          <w:lang w:eastAsia="en-GB"/>
        </w:rPr>
        <w:footnoteReference w:id="164"/>
      </w:r>
      <w:r w:rsidR="00B03F2B" w:rsidRPr="00490C53">
        <w:rPr>
          <w:lang w:eastAsia="en-GB"/>
        </w:rPr>
        <w:t xml:space="preserve"> Firms with turnover greater than £5m are not included in the BBLS analysis. Otherwise, where a value is missing this is due to insufficient sample. Figures are rounded to the nearest whole number percentage.</w:t>
      </w:r>
      <w:r w:rsidR="00750F0B" w:rsidRPr="00490C53">
        <w:rPr>
          <w:lang w:eastAsia="en-GB"/>
        </w:rPr>
        <w:t xml:space="preserve"> </w:t>
      </w:r>
      <w:r w:rsidR="00750F0B" w:rsidRPr="00490C53">
        <w:t>Source: London Economics’ analysis of IDBR data</w:t>
      </w:r>
      <w:r w:rsidR="009E6E8F">
        <w:t xml:space="preserve">, BBB Management Information and BBB Portal Data. </w:t>
      </w:r>
    </w:p>
    <w:p w14:paraId="07900A16" w14:textId="1C2F6F30" w:rsidR="00765B0D" w:rsidRPr="00490C53" w:rsidRDefault="00765B0D" w:rsidP="00765B0D">
      <w:pPr>
        <w:pStyle w:val="Heading5"/>
      </w:pPr>
      <w:r w:rsidRPr="00490C53">
        <w:t xml:space="preserve">Table </w:t>
      </w:r>
      <w:r w:rsidRPr="00846F78">
        <w:fldChar w:fldCharType="begin"/>
      </w:r>
      <w:r w:rsidRPr="00490C53">
        <w:instrText xml:space="preserve"> SEQ Table \* ARABIC </w:instrText>
      </w:r>
      <w:r w:rsidRPr="00846F78">
        <w:fldChar w:fldCharType="separate"/>
      </w:r>
      <w:r w:rsidR="00397D49">
        <w:rPr>
          <w:noProof/>
        </w:rPr>
        <w:t>42</w:t>
      </w:r>
      <w:r w:rsidRPr="00846F78">
        <w:fldChar w:fldCharType="end"/>
      </w:r>
      <w:r w:rsidRPr="00490C53">
        <w:t xml:space="preserve">: Difference in </w:t>
      </w:r>
      <w:r w:rsidR="004550ED">
        <w:t>closure</w:t>
      </w:r>
      <w:r w:rsidR="004550ED" w:rsidRPr="00490C53">
        <w:t xml:space="preserve"> </w:t>
      </w:r>
      <w:r w:rsidRPr="00490C53">
        <w:t>rates by region and turnover band</w:t>
      </w:r>
    </w:p>
    <w:tbl>
      <w:tblPr>
        <w:tblStyle w:val="TableGrid"/>
        <w:tblW w:w="5000" w:type="pct"/>
        <w:tblLayout w:type="fixed"/>
        <w:tblLook w:val="04A0" w:firstRow="1" w:lastRow="0" w:firstColumn="1" w:lastColumn="0" w:noHBand="0" w:noVBand="1"/>
      </w:tblPr>
      <w:tblGrid>
        <w:gridCol w:w="2125"/>
        <w:gridCol w:w="2411"/>
        <w:gridCol w:w="2809"/>
        <w:gridCol w:w="2809"/>
      </w:tblGrid>
      <w:tr w:rsidR="00765B0D" w:rsidRPr="00490C53" w14:paraId="37CF54FB"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1046" w:type="pct"/>
            <w:noWrap/>
            <w:vAlign w:val="center"/>
            <w:hideMark/>
          </w:tcPr>
          <w:p w14:paraId="3BDF9A6D" w14:textId="77777777" w:rsidR="00765B0D" w:rsidRPr="00490C53" w:rsidRDefault="00765B0D">
            <w:pPr>
              <w:pStyle w:val="Tablecolumnheading-white"/>
              <w:rPr>
                <w:lang w:eastAsia="en-GB"/>
              </w:rPr>
            </w:pPr>
            <w:r w:rsidRPr="00490C53">
              <w:rPr>
                <w:lang w:eastAsia="en-GB"/>
              </w:rPr>
              <w:t>Region</w:t>
            </w:r>
          </w:p>
        </w:tc>
        <w:tc>
          <w:tcPr>
            <w:tcW w:w="1187" w:type="pct"/>
            <w:noWrap/>
            <w:vAlign w:val="center"/>
            <w:hideMark/>
          </w:tcPr>
          <w:p w14:paraId="0C34166D" w14:textId="77777777" w:rsidR="00765B0D" w:rsidRPr="00490C53" w:rsidRDefault="00765B0D">
            <w:pPr>
              <w:pStyle w:val="Tablecolumnheading-white"/>
              <w:rPr>
                <w:lang w:eastAsia="en-GB"/>
              </w:rPr>
            </w:pPr>
            <w:r w:rsidRPr="00490C53">
              <w:rPr>
                <w:lang w:eastAsia="en-GB"/>
              </w:rPr>
              <w:t>Turnover band</w:t>
            </w:r>
          </w:p>
        </w:tc>
        <w:tc>
          <w:tcPr>
            <w:tcW w:w="1383" w:type="pct"/>
            <w:noWrap/>
            <w:vAlign w:val="center"/>
            <w:hideMark/>
          </w:tcPr>
          <w:p w14:paraId="454D0A5F" w14:textId="0EA1BD96" w:rsidR="00765B0D" w:rsidRPr="00490C53" w:rsidRDefault="00765B0D">
            <w:pPr>
              <w:pStyle w:val="Tablecolumnheading-white"/>
              <w:jc w:val="right"/>
              <w:rPr>
                <w:lang w:eastAsia="en-GB"/>
              </w:rPr>
            </w:pPr>
            <w:r w:rsidRPr="00490C53">
              <w:rPr>
                <w:lang w:eastAsia="en-GB"/>
              </w:rPr>
              <w:t xml:space="preserve">Difference in </w:t>
            </w:r>
            <w:r w:rsidR="004550ED">
              <w:rPr>
                <w:lang w:eastAsia="en-GB"/>
              </w:rPr>
              <w:t>closure</w:t>
            </w:r>
            <w:r w:rsidR="004550ED" w:rsidRPr="00490C53">
              <w:rPr>
                <w:lang w:eastAsia="en-GB"/>
              </w:rPr>
              <w:t xml:space="preserve"> </w:t>
            </w:r>
            <w:r w:rsidRPr="00490C53">
              <w:rPr>
                <w:lang w:eastAsia="en-GB"/>
              </w:rPr>
              <w:t xml:space="preserve">rate between BBLS </w:t>
            </w:r>
            <w:r w:rsidR="00585D0C">
              <w:rPr>
                <w:lang w:eastAsia="en-GB"/>
              </w:rPr>
              <w:t>borrower</w:t>
            </w:r>
            <w:r w:rsidR="00585D0C" w:rsidRPr="00490C53">
              <w:rPr>
                <w:lang w:eastAsia="en-GB"/>
              </w:rPr>
              <w:t xml:space="preserve"> </w:t>
            </w:r>
            <w:r w:rsidRPr="00490C53">
              <w:rPr>
                <w:lang w:eastAsia="en-GB"/>
              </w:rPr>
              <w:t xml:space="preserve">and </w:t>
            </w:r>
            <w:r w:rsidR="00585D0C">
              <w:rPr>
                <w:lang w:eastAsia="en-GB"/>
              </w:rPr>
              <w:t xml:space="preserve">non-borrower </w:t>
            </w:r>
            <w:r w:rsidRPr="00490C53">
              <w:rPr>
                <w:lang w:eastAsia="en-GB"/>
              </w:rPr>
              <w:t>businesses</w:t>
            </w:r>
          </w:p>
        </w:tc>
        <w:tc>
          <w:tcPr>
            <w:tcW w:w="1383" w:type="pct"/>
            <w:noWrap/>
            <w:vAlign w:val="center"/>
            <w:hideMark/>
          </w:tcPr>
          <w:p w14:paraId="3793AFE2" w14:textId="6DF2ED25" w:rsidR="00765B0D" w:rsidRPr="00490C53" w:rsidRDefault="00765B0D">
            <w:pPr>
              <w:pStyle w:val="Tablecolumnheading-white"/>
              <w:jc w:val="right"/>
              <w:rPr>
                <w:lang w:eastAsia="en-GB"/>
              </w:rPr>
            </w:pPr>
            <w:r w:rsidRPr="00490C53">
              <w:rPr>
                <w:lang w:eastAsia="en-GB"/>
              </w:rPr>
              <w:t xml:space="preserve">Difference in </w:t>
            </w:r>
            <w:r w:rsidR="004550ED">
              <w:rPr>
                <w:lang w:eastAsia="en-GB"/>
              </w:rPr>
              <w:t>closure</w:t>
            </w:r>
            <w:r w:rsidR="004550ED" w:rsidRPr="00490C53">
              <w:rPr>
                <w:lang w:eastAsia="en-GB"/>
              </w:rPr>
              <w:t xml:space="preserve"> </w:t>
            </w:r>
            <w:r w:rsidRPr="00490C53">
              <w:rPr>
                <w:lang w:eastAsia="en-GB"/>
              </w:rPr>
              <w:t xml:space="preserve">rate between CBILS/CLBILS </w:t>
            </w:r>
            <w:r w:rsidR="00585D0C">
              <w:rPr>
                <w:lang w:eastAsia="en-GB"/>
              </w:rPr>
              <w:t xml:space="preserve">borrower </w:t>
            </w:r>
            <w:r w:rsidRPr="00490C53">
              <w:rPr>
                <w:lang w:eastAsia="en-GB"/>
              </w:rPr>
              <w:t xml:space="preserve">and </w:t>
            </w:r>
            <w:r w:rsidR="00585D0C">
              <w:rPr>
                <w:lang w:eastAsia="en-GB"/>
              </w:rPr>
              <w:t xml:space="preserve">non-borrower </w:t>
            </w:r>
            <w:r w:rsidRPr="00490C53">
              <w:rPr>
                <w:lang w:eastAsia="en-GB"/>
              </w:rPr>
              <w:t>businesses</w:t>
            </w:r>
          </w:p>
        </w:tc>
      </w:tr>
      <w:tr w:rsidR="00504E0F" w:rsidRPr="00490C53" w14:paraId="49A25795"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hideMark/>
          </w:tcPr>
          <w:p w14:paraId="27FBFFE5" w14:textId="77777777" w:rsidR="00504E0F" w:rsidRPr="00490C53" w:rsidRDefault="00504E0F" w:rsidP="00504E0F">
            <w:pPr>
              <w:pStyle w:val="Tabletext"/>
              <w:rPr>
                <w:lang w:eastAsia="en-GB"/>
              </w:rPr>
            </w:pPr>
            <w:r w:rsidRPr="00490C53">
              <w:rPr>
                <w:lang w:eastAsia="en-GB"/>
              </w:rPr>
              <w:t>East / Midlands</w:t>
            </w:r>
          </w:p>
        </w:tc>
        <w:tc>
          <w:tcPr>
            <w:tcW w:w="0" w:type="pct"/>
            <w:noWrap/>
            <w:vAlign w:val="center"/>
            <w:hideMark/>
          </w:tcPr>
          <w:p w14:paraId="0994BE73" w14:textId="77777777" w:rsidR="00504E0F" w:rsidRPr="00490C53" w:rsidRDefault="00504E0F" w:rsidP="00504E0F">
            <w:pPr>
              <w:pStyle w:val="Tabletext"/>
              <w:rPr>
                <w:lang w:eastAsia="en-GB"/>
              </w:rPr>
            </w:pPr>
            <w:r w:rsidRPr="00490C53">
              <w:rPr>
                <w:lang w:eastAsia="en-GB"/>
              </w:rPr>
              <w:t>Less than 50K</w:t>
            </w:r>
          </w:p>
        </w:tc>
        <w:tc>
          <w:tcPr>
            <w:tcW w:w="0" w:type="pct"/>
            <w:noWrap/>
            <w:hideMark/>
          </w:tcPr>
          <w:p w14:paraId="2A5AF57B" w14:textId="32EB274A" w:rsidR="00504E0F" w:rsidRPr="00490C53" w:rsidRDefault="00504E0F" w:rsidP="00504E0F">
            <w:pPr>
              <w:pStyle w:val="Tabletext"/>
              <w:jc w:val="right"/>
              <w:rPr>
                <w:rFonts w:cstheme="minorHAnsi"/>
                <w:szCs w:val="24"/>
                <w:lang w:eastAsia="en-GB"/>
              </w:rPr>
            </w:pPr>
            <w:r w:rsidRPr="00846F78">
              <w:rPr>
                <w:rFonts w:cstheme="minorHAnsi"/>
                <w:szCs w:val="24"/>
              </w:rPr>
              <w:t>10%</w:t>
            </w:r>
          </w:p>
        </w:tc>
        <w:tc>
          <w:tcPr>
            <w:tcW w:w="0" w:type="pct"/>
            <w:noWrap/>
            <w:hideMark/>
          </w:tcPr>
          <w:p w14:paraId="7E882FE5" w14:textId="09B37295" w:rsidR="00504E0F" w:rsidRPr="00490C53" w:rsidRDefault="00504E0F" w:rsidP="00504E0F">
            <w:pPr>
              <w:pStyle w:val="Tabletext"/>
              <w:jc w:val="right"/>
              <w:rPr>
                <w:rFonts w:cstheme="minorHAnsi"/>
                <w:szCs w:val="24"/>
                <w:lang w:eastAsia="en-GB"/>
              </w:rPr>
            </w:pPr>
            <w:r w:rsidRPr="00846F78">
              <w:rPr>
                <w:rFonts w:cstheme="minorHAnsi"/>
                <w:szCs w:val="24"/>
              </w:rPr>
              <w:t>16%</w:t>
            </w:r>
          </w:p>
        </w:tc>
      </w:tr>
      <w:tr w:rsidR="00504E0F" w:rsidRPr="00490C53" w14:paraId="2C513571" w14:textId="77777777" w:rsidTr="00846F78">
        <w:tblPrEx>
          <w:tblCellMar>
            <w:left w:w="108" w:type="dxa"/>
            <w:right w:w="108" w:type="dxa"/>
          </w:tblCellMar>
        </w:tblPrEx>
        <w:trPr>
          <w:trHeight w:val="290"/>
        </w:trPr>
        <w:tc>
          <w:tcPr>
            <w:tcW w:w="0" w:type="pct"/>
            <w:noWrap/>
            <w:vAlign w:val="center"/>
          </w:tcPr>
          <w:p w14:paraId="7406BE7A" w14:textId="77777777" w:rsidR="00504E0F" w:rsidRPr="00490C53" w:rsidRDefault="00504E0F" w:rsidP="00504E0F">
            <w:pPr>
              <w:pStyle w:val="Tabletext"/>
              <w:rPr>
                <w:lang w:eastAsia="en-GB"/>
              </w:rPr>
            </w:pPr>
          </w:p>
        </w:tc>
        <w:tc>
          <w:tcPr>
            <w:tcW w:w="0" w:type="pct"/>
            <w:noWrap/>
            <w:vAlign w:val="center"/>
            <w:hideMark/>
          </w:tcPr>
          <w:p w14:paraId="41C635DF" w14:textId="77777777" w:rsidR="00504E0F" w:rsidRPr="00490C53" w:rsidRDefault="00504E0F" w:rsidP="00504E0F">
            <w:pPr>
              <w:pStyle w:val="Tabletext"/>
              <w:rPr>
                <w:lang w:eastAsia="en-GB"/>
              </w:rPr>
            </w:pPr>
            <w:r w:rsidRPr="00490C53">
              <w:rPr>
                <w:lang w:eastAsia="en-GB"/>
              </w:rPr>
              <w:t>50,001 to 100K</w:t>
            </w:r>
          </w:p>
        </w:tc>
        <w:tc>
          <w:tcPr>
            <w:tcW w:w="0" w:type="pct"/>
            <w:noWrap/>
            <w:hideMark/>
          </w:tcPr>
          <w:p w14:paraId="6C0D870C" w14:textId="2C7201B6" w:rsidR="00504E0F" w:rsidRPr="00490C53" w:rsidRDefault="00504E0F" w:rsidP="00504E0F">
            <w:pPr>
              <w:pStyle w:val="Tabletext"/>
              <w:jc w:val="right"/>
              <w:rPr>
                <w:rFonts w:cstheme="minorHAnsi"/>
                <w:szCs w:val="24"/>
                <w:lang w:eastAsia="en-GB"/>
              </w:rPr>
            </w:pPr>
            <w:r w:rsidRPr="00846F78">
              <w:rPr>
                <w:rFonts w:cstheme="minorHAnsi"/>
                <w:szCs w:val="24"/>
              </w:rPr>
              <w:t>7%</w:t>
            </w:r>
          </w:p>
        </w:tc>
        <w:tc>
          <w:tcPr>
            <w:tcW w:w="0" w:type="pct"/>
            <w:noWrap/>
            <w:hideMark/>
          </w:tcPr>
          <w:p w14:paraId="5E02CBCC" w14:textId="4FB14798" w:rsidR="00504E0F" w:rsidRPr="00490C53" w:rsidRDefault="00504E0F" w:rsidP="00504E0F">
            <w:pPr>
              <w:pStyle w:val="Tabletext"/>
              <w:jc w:val="right"/>
              <w:rPr>
                <w:rFonts w:cstheme="minorHAnsi"/>
                <w:szCs w:val="24"/>
                <w:lang w:eastAsia="en-GB"/>
              </w:rPr>
            </w:pPr>
            <w:r w:rsidRPr="00846F78">
              <w:rPr>
                <w:rFonts w:cstheme="minorHAnsi"/>
                <w:szCs w:val="24"/>
              </w:rPr>
              <w:t>10%</w:t>
            </w:r>
          </w:p>
        </w:tc>
      </w:tr>
      <w:tr w:rsidR="00504E0F" w:rsidRPr="00490C53" w14:paraId="7C21C2DE"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427BEBD8" w14:textId="77777777" w:rsidR="00504E0F" w:rsidRPr="00490C53" w:rsidRDefault="00504E0F" w:rsidP="00504E0F">
            <w:pPr>
              <w:pStyle w:val="Tabletext"/>
              <w:rPr>
                <w:lang w:eastAsia="en-GB"/>
              </w:rPr>
            </w:pPr>
          </w:p>
        </w:tc>
        <w:tc>
          <w:tcPr>
            <w:tcW w:w="0" w:type="pct"/>
            <w:noWrap/>
            <w:vAlign w:val="center"/>
            <w:hideMark/>
          </w:tcPr>
          <w:p w14:paraId="2713955D" w14:textId="77777777" w:rsidR="00504E0F" w:rsidRPr="00490C53" w:rsidRDefault="00504E0F" w:rsidP="00504E0F">
            <w:pPr>
              <w:pStyle w:val="Tabletext"/>
              <w:rPr>
                <w:lang w:eastAsia="en-GB"/>
              </w:rPr>
            </w:pPr>
            <w:r w:rsidRPr="00490C53">
              <w:rPr>
                <w:lang w:eastAsia="en-GB"/>
              </w:rPr>
              <w:t>100,001 to 250K</w:t>
            </w:r>
          </w:p>
        </w:tc>
        <w:tc>
          <w:tcPr>
            <w:tcW w:w="0" w:type="pct"/>
            <w:noWrap/>
            <w:hideMark/>
          </w:tcPr>
          <w:p w14:paraId="3555C6BC" w14:textId="3D0BE6C4" w:rsidR="00504E0F" w:rsidRPr="00490C53" w:rsidRDefault="00504E0F" w:rsidP="00504E0F">
            <w:pPr>
              <w:pStyle w:val="Tabletext"/>
              <w:jc w:val="right"/>
              <w:rPr>
                <w:rFonts w:cstheme="minorHAnsi"/>
                <w:szCs w:val="24"/>
                <w:lang w:eastAsia="en-GB"/>
              </w:rPr>
            </w:pPr>
            <w:r w:rsidRPr="00846F78">
              <w:rPr>
                <w:rFonts w:cstheme="minorHAnsi"/>
                <w:szCs w:val="24"/>
              </w:rPr>
              <w:t>7%</w:t>
            </w:r>
          </w:p>
        </w:tc>
        <w:tc>
          <w:tcPr>
            <w:tcW w:w="0" w:type="pct"/>
            <w:noWrap/>
            <w:hideMark/>
          </w:tcPr>
          <w:p w14:paraId="36B5EBBF" w14:textId="2E3D24B7" w:rsidR="00504E0F" w:rsidRPr="00490C53" w:rsidRDefault="00504E0F" w:rsidP="00504E0F">
            <w:pPr>
              <w:pStyle w:val="Tabletext"/>
              <w:jc w:val="right"/>
              <w:rPr>
                <w:rFonts w:cstheme="minorHAnsi"/>
                <w:szCs w:val="24"/>
                <w:lang w:eastAsia="en-GB"/>
              </w:rPr>
            </w:pPr>
            <w:r w:rsidRPr="00846F78">
              <w:rPr>
                <w:rFonts w:cstheme="minorHAnsi"/>
                <w:szCs w:val="24"/>
              </w:rPr>
              <w:t>4%</w:t>
            </w:r>
          </w:p>
        </w:tc>
      </w:tr>
      <w:tr w:rsidR="00504E0F" w:rsidRPr="00490C53" w14:paraId="3E5B8EA4" w14:textId="77777777" w:rsidTr="00846F78">
        <w:tblPrEx>
          <w:tblCellMar>
            <w:left w:w="108" w:type="dxa"/>
            <w:right w:w="108" w:type="dxa"/>
          </w:tblCellMar>
        </w:tblPrEx>
        <w:trPr>
          <w:trHeight w:val="290"/>
        </w:trPr>
        <w:tc>
          <w:tcPr>
            <w:tcW w:w="0" w:type="pct"/>
            <w:noWrap/>
            <w:vAlign w:val="center"/>
          </w:tcPr>
          <w:p w14:paraId="363DBF9A" w14:textId="77777777" w:rsidR="00504E0F" w:rsidRPr="00490C53" w:rsidRDefault="00504E0F" w:rsidP="00504E0F">
            <w:pPr>
              <w:pStyle w:val="Tabletext"/>
              <w:rPr>
                <w:lang w:eastAsia="en-GB"/>
              </w:rPr>
            </w:pPr>
          </w:p>
        </w:tc>
        <w:tc>
          <w:tcPr>
            <w:tcW w:w="0" w:type="pct"/>
            <w:noWrap/>
            <w:vAlign w:val="center"/>
            <w:hideMark/>
          </w:tcPr>
          <w:p w14:paraId="79EC41A5" w14:textId="77777777" w:rsidR="00504E0F" w:rsidRPr="00490C53" w:rsidRDefault="00504E0F" w:rsidP="00504E0F">
            <w:pPr>
              <w:pStyle w:val="Tabletext"/>
              <w:rPr>
                <w:lang w:eastAsia="en-GB"/>
              </w:rPr>
            </w:pPr>
            <w:r w:rsidRPr="00490C53">
              <w:rPr>
                <w:lang w:eastAsia="en-GB"/>
              </w:rPr>
              <w:t>250,001 to 500K</w:t>
            </w:r>
          </w:p>
        </w:tc>
        <w:tc>
          <w:tcPr>
            <w:tcW w:w="0" w:type="pct"/>
            <w:noWrap/>
            <w:hideMark/>
          </w:tcPr>
          <w:p w14:paraId="779F5AD0" w14:textId="0D1AF887" w:rsidR="00504E0F" w:rsidRPr="00490C53" w:rsidRDefault="00504E0F" w:rsidP="00504E0F">
            <w:pPr>
              <w:pStyle w:val="Tabletext"/>
              <w:jc w:val="right"/>
              <w:rPr>
                <w:rFonts w:cstheme="minorHAnsi"/>
                <w:szCs w:val="24"/>
                <w:lang w:eastAsia="en-GB"/>
              </w:rPr>
            </w:pPr>
            <w:r w:rsidRPr="00846F78">
              <w:rPr>
                <w:rFonts w:cstheme="minorHAnsi"/>
                <w:szCs w:val="24"/>
              </w:rPr>
              <w:t>5%</w:t>
            </w:r>
          </w:p>
        </w:tc>
        <w:tc>
          <w:tcPr>
            <w:tcW w:w="0" w:type="pct"/>
            <w:noWrap/>
            <w:hideMark/>
          </w:tcPr>
          <w:p w14:paraId="376BD1C7" w14:textId="40BC6D13" w:rsidR="00504E0F" w:rsidRPr="00490C53" w:rsidRDefault="00504E0F" w:rsidP="00504E0F">
            <w:pPr>
              <w:pStyle w:val="Tabletext"/>
              <w:jc w:val="right"/>
              <w:rPr>
                <w:rFonts w:cstheme="minorHAnsi"/>
                <w:szCs w:val="24"/>
                <w:lang w:eastAsia="en-GB"/>
              </w:rPr>
            </w:pPr>
            <w:r w:rsidRPr="00846F78">
              <w:rPr>
                <w:rFonts w:cstheme="minorHAnsi"/>
                <w:szCs w:val="24"/>
              </w:rPr>
              <w:t>5%</w:t>
            </w:r>
          </w:p>
        </w:tc>
      </w:tr>
      <w:tr w:rsidR="00504E0F" w:rsidRPr="00490C53" w14:paraId="7BCD1A93"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597C1121" w14:textId="77777777" w:rsidR="00504E0F" w:rsidRPr="00490C53" w:rsidRDefault="00504E0F" w:rsidP="00504E0F">
            <w:pPr>
              <w:pStyle w:val="Tabletext"/>
              <w:rPr>
                <w:lang w:eastAsia="en-GB"/>
              </w:rPr>
            </w:pPr>
          </w:p>
        </w:tc>
        <w:tc>
          <w:tcPr>
            <w:tcW w:w="0" w:type="pct"/>
            <w:noWrap/>
            <w:vAlign w:val="center"/>
            <w:hideMark/>
          </w:tcPr>
          <w:p w14:paraId="07A9F9E1" w14:textId="77777777" w:rsidR="00504E0F" w:rsidRPr="00490C53" w:rsidRDefault="00504E0F" w:rsidP="00504E0F">
            <w:pPr>
              <w:pStyle w:val="Tabletext"/>
              <w:rPr>
                <w:lang w:eastAsia="en-GB"/>
              </w:rPr>
            </w:pPr>
            <w:r w:rsidRPr="00490C53">
              <w:rPr>
                <w:lang w:eastAsia="en-GB"/>
              </w:rPr>
              <w:t>500,001 to 1m</w:t>
            </w:r>
          </w:p>
        </w:tc>
        <w:tc>
          <w:tcPr>
            <w:tcW w:w="0" w:type="pct"/>
            <w:noWrap/>
            <w:hideMark/>
          </w:tcPr>
          <w:p w14:paraId="1EE3ECE1" w14:textId="1581C48D" w:rsidR="00504E0F" w:rsidRPr="00490C53" w:rsidRDefault="00504E0F" w:rsidP="00504E0F">
            <w:pPr>
              <w:pStyle w:val="Tabletext"/>
              <w:jc w:val="right"/>
              <w:rPr>
                <w:rFonts w:cstheme="minorHAnsi"/>
                <w:szCs w:val="24"/>
                <w:lang w:eastAsia="en-GB"/>
              </w:rPr>
            </w:pPr>
            <w:r w:rsidRPr="00846F78">
              <w:rPr>
                <w:rFonts w:cstheme="minorHAnsi"/>
                <w:szCs w:val="24"/>
              </w:rPr>
              <w:t>5%</w:t>
            </w:r>
          </w:p>
        </w:tc>
        <w:tc>
          <w:tcPr>
            <w:tcW w:w="0" w:type="pct"/>
            <w:noWrap/>
            <w:hideMark/>
          </w:tcPr>
          <w:p w14:paraId="290339CC" w14:textId="05CADFAF" w:rsidR="00504E0F" w:rsidRPr="00490C53" w:rsidRDefault="00504E0F" w:rsidP="00504E0F">
            <w:pPr>
              <w:pStyle w:val="Tabletext"/>
              <w:jc w:val="right"/>
              <w:rPr>
                <w:rFonts w:cstheme="minorHAnsi"/>
                <w:szCs w:val="24"/>
                <w:lang w:eastAsia="en-GB"/>
              </w:rPr>
            </w:pPr>
            <w:r w:rsidRPr="00846F78">
              <w:rPr>
                <w:rFonts w:cstheme="minorHAnsi"/>
                <w:szCs w:val="24"/>
              </w:rPr>
              <w:t>4%</w:t>
            </w:r>
          </w:p>
        </w:tc>
      </w:tr>
      <w:tr w:rsidR="00504E0F" w:rsidRPr="00490C53" w14:paraId="2FF80333" w14:textId="77777777" w:rsidTr="00846F78">
        <w:tblPrEx>
          <w:tblCellMar>
            <w:left w:w="108" w:type="dxa"/>
            <w:right w:w="108" w:type="dxa"/>
          </w:tblCellMar>
        </w:tblPrEx>
        <w:trPr>
          <w:trHeight w:val="290"/>
        </w:trPr>
        <w:tc>
          <w:tcPr>
            <w:tcW w:w="0" w:type="pct"/>
            <w:noWrap/>
            <w:vAlign w:val="center"/>
          </w:tcPr>
          <w:p w14:paraId="068186F2" w14:textId="77777777" w:rsidR="00504E0F" w:rsidRPr="00490C53" w:rsidRDefault="00504E0F" w:rsidP="00504E0F">
            <w:pPr>
              <w:pStyle w:val="Tabletext"/>
              <w:rPr>
                <w:lang w:eastAsia="en-GB"/>
              </w:rPr>
            </w:pPr>
          </w:p>
        </w:tc>
        <w:tc>
          <w:tcPr>
            <w:tcW w:w="0" w:type="pct"/>
            <w:noWrap/>
            <w:vAlign w:val="center"/>
            <w:hideMark/>
          </w:tcPr>
          <w:p w14:paraId="3222AA09" w14:textId="77777777" w:rsidR="00504E0F" w:rsidRPr="00490C53" w:rsidRDefault="00504E0F" w:rsidP="00504E0F">
            <w:pPr>
              <w:pStyle w:val="Tabletext"/>
              <w:rPr>
                <w:lang w:eastAsia="en-GB"/>
              </w:rPr>
            </w:pPr>
            <w:r w:rsidRPr="00490C53">
              <w:rPr>
                <w:lang w:eastAsia="en-GB"/>
              </w:rPr>
              <w:t>1m to 5m</w:t>
            </w:r>
          </w:p>
        </w:tc>
        <w:tc>
          <w:tcPr>
            <w:tcW w:w="0" w:type="pct"/>
            <w:noWrap/>
            <w:hideMark/>
          </w:tcPr>
          <w:p w14:paraId="76E1F6FB" w14:textId="695822FF"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55CCE19C" w14:textId="74BCE3D7" w:rsidR="00504E0F" w:rsidRPr="00490C53" w:rsidRDefault="00504E0F" w:rsidP="00504E0F">
            <w:pPr>
              <w:pStyle w:val="Tabletext"/>
              <w:jc w:val="right"/>
              <w:rPr>
                <w:rFonts w:cstheme="minorHAnsi"/>
                <w:szCs w:val="24"/>
                <w:lang w:eastAsia="en-GB"/>
              </w:rPr>
            </w:pPr>
            <w:r w:rsidRPr="00846F78">
              <w:rPr>
                <w:rFonts w:cstheme="minorHAnsi"/>
                <w:szCs w:val="24"/>
              </w:rPr>
              <w:t>5%</w:t>
            </w:r>
          </w:p>
        </w:tc>
      </w:tr>
      <w:tr w:rsidR="00504E0F" w:rsidRPr="00490C53" w14:paraId="7C0B12AF"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589F9A16" w14:textId="77777777" w:rsidR="00504E0F" w:rsidRPr="00490C53" w:rsidRDefault="00504E0F" w:rsidP="00504E0F">
            <w:pPr>
              <w:pStyle w:val="Tabletext"/>
              <w:rPr>
                <w:lang w:eastAsia="en-GB"/>
              </w:rPr>
            </w:pPr>
          </w:p>
        </w:tc>
        <w:tc>
          <w:tcPr>
            <w:tcW w:w="0" w:type="pct"/>
            <w:noWrap/>
            <w:vAlign w:val="center"/>
            <w:hideMark/>
          </w:tcPr>
          <w:p w14:paraId="7DE720AB" w14:textId="77777777" w:rsidR="00504E0F" w:rsidRPr="00490C53" w:rsidRDefault="00504E0F" w:rsidP="00504E0F">
            <w:pPr>
              <w:pStyle w:val="Tabletext"/>
              <w:rPr>
                <w:lang w:eastAsia="en-GB"/>
              </w:rPr>
            </w:pPr>
            <w:r w:rsidRPr="00490C53">
              <w:rPr>
                <w:lang w:eastAsia="en-GB"/>
              </w:rPr>
              <w:t>5m to 25m</w:t>
            </w:r>
          </w:p>
        </w:tc>
        <w:tc>
          <w:tcPr>
            <w:tcW w:w="0" w:type="pct"/>
            <w:noWrap/>
            <w:hideMark/>
          </w:tcPr>
          <w:p w14:paraId="26DD48CB" w14:textId="75438E37"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123E5337" w14:textId="255A2DE3" w:rsidR="00504E0F" w:rsidRPr="00490C53" w:rsidRDefault="00504E0F" w:rsidP="00504E0F">
            <w:pPr>
              <w:pStyle w:val="Tabletext"/>
              <w:jc w:val="right"/>
              <w:rPr>
                <w:rFonts w:cstheme="minorHAnsi"/>
                <w:szCs w:val="24"/>
                <w:lang w:eastAsia="en-GB"/>
              </w:rPr>
            </w:pPr>
            <w:r w:rsidRPr="00846F78">
              <w:rPr>
                <w:rFonts w:cstheme="minorHAnsi"/>
                <w:szCs w:val="24"/>
              </w:rPr>
              <w:t>1%</w:t>
            </w:r>
          </w:p>
        </w:tc>
      </w:tr>
      <w:tr w:rsidR="00504E0F" w:rsidRPr="00490C53" w14:paraId="6AA7B5BA" w14:textId="77777777" w:rsidTr="00846F78">
        <w:tblPrEx>
          <w:tblCellMar>
            <w:left w:w="108" w:type="dxa"/>
            <w:right w:w="108" w:type="dxa"/>
          </w:tblCellMar>
        </w:tblPrEx>
        <w:trPr>
          <w:trHeight w:val="290"/>
        </w:trPr>
        <w:tc>
          <w:tcPr>
            <w:tcW w:w="0" w:type="pct"/>
            <w:noWrap/>
            <w:vAlign w:val="center"/>
          </w:tcPr>
          <w:p w14:paraId="4FD8BC22" w14:textId="77777777" w:rsidR="00504E0F" w:rsidRPr="00490C53" w:rsidRDefault="00504E0F" w:rsidP="00504E0F">
            <w:pPr>
              <w:pStyle w:val="Tabletext"/>
              <w:rPr>
                <w:lang w:eastAsia="en-GB"/>
              </w:rPr>
            </w:pPr>
          </w:p>
        </w:tc>
        <w:tc>
          <w:tcPr>
            <w:tcW w:w="0" w:type="pct"/>
            <w:noWrap/>
            <w:vAlign w:val="center"/>
            <w:hideMark/>
          </w:tcPr>
          <w:p w14:paraId="48B6483B" w14:textId="77777777" w:rsidR="00504E0F" w:rsidRPr="00490C53" w:rsidRDefault="00504E0F" w:rsidP="00504E0F">
            <w:pPr>
              <w:pStyle w:val="Tabletext"/>
              <w:rPr>
                <w:lang w:eastAsia="en-GB"/>
              </w:rPr>
            </w:pPr>
            <w:r w:rsidRPr="00490C53">
              <w:rPr>
                <w:lang w:eastAsia="en-GB"/>
              </w:rPr>
              <w:t>25m to 50m</w:t>
            </w:r>
          </w:p>
        </w:tc>
        <w:tc>
          <w:tcPr>
            <w:tcW w:w="0" w:type="pct"/>
            <w:noWrap/>
            <w:hideMark/>
          </w:tcPr>
          <w:p w14:paraId="13FDDE25" w14:textId="3BB3BE4E"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0D3FFBB3" w14:textId="64B89AF4" w:rsidR="00504E0F" w:rsidRPr="00490C53" w:rsidRDefault="00504E0F" w:rsidP="00504E0F">
            <w:pPr>
              <w:pStyle w:val="Tabletext"/>
              <w:jc w:val="right"/>
              <w:rPr>
                <w:rFonts w:cstheme="minorHAnsi"/>
                <w:szCs w:val="24"/>
                <w:lang w:eastAsia="en-GB"/>
              </w:rPr>
            </w:pPr>
            <w:r w:rsidRPr="00846F78">
              <w:rPr>
                <w:rFonts w:cstheme="minorHAnsi"/>
                <w:szCs w:val="24"/>
              </w:rPr>
              <w:t>3%</w:t>
            </w:r>
          </w:p>
        </w:tc>
      </w:tr>
      <w:tr w:rsidR="00504E0F" w:rsidRPr="00490C53" w14:paraId="3BCA8226"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3EF38726" w14:textId="77777777" w:rsidR="00504E0F" w:rsidRPr="00490C53" w:rsidRDefault="00504E0F" w:rsidP="00504E0F">
            <w:pPr>
              <w:pStyle w:val="Tabletext"/>
              <w:rPr>
                <w:lang w:eastAsia="en-GB"/>
              </w:rPr>
            </w:pPr>
          </w:p>
        </w:tc>
        <w:tc>
          <w:tcPr>
            <w:tcW w:w="0" w:type="pct"/>
            <w:noWrap/>
            <w:vAlign w:val="center"/>
            <w:hideMark/>
          </w:tcPr>
          <w:p w14:paraId="1F9489D5" w14:textId="77777777" w:rsidR="00504E0F" w:rsidRPr="00490C53" w:rsidRDefault="00504E0F" w:rsidP="00504E0F">
            <w:pPr>
              <w:pStyle w:val="Tabletext"/>
              <w:rPr>
                <w:lang w:eastAsia="en-GB"/>
              </w:rPr>
            </w:pPr>
            <w:r w:rsidRPr="00490C53">
              <w:rPr>
                <w:lang w:eastAsia="en-GB"/>
              </w:rPr>
              <w:t>50m to 200m</w:t>
            </w:r>
          </w:p>
        </w:tc>
        <w:tc>
          <w:tcPr>
            <w:tcW w:w="0" w:type="pct"/>
            <w:noWrap/>
            <w:hideMark/>
          </w:tcPr>
          <w:p w14:paraId="20787FBB" w14:textId="79988695"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49C8EA1F" w14:textId="18FE2F00"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3DE83AC4" w14:textId="77777777" w:rsidTr="00846F78">
        <w:tblPrEx>
          <w:tblCellMar>
            <w:left w:w="108" w:type="dxa"/>
            <w:right w:w="108" w:type="dxa"/>
          </w:tblCellMar>
        </w:tblPrEx>
        <w:trPr>
          <w:trHeight w:val="290"/>
        </w:trPr>
        <w:tc>
          <w:tcPr>
            <w:tcW w:w="0" w:type="pct"/>
            <w:noWrap/>
            <w:vAlign w:val="center"/>
          </w:tcPr>
          <w:p w14:paraId="62EFD24E" w14:textId="77777777" w:rsidR="00504E0F" w:rsidRPr="00490C53" w:rsidRDefault="00504E0F" w:rsidP="00504E0F">
            <w:pPr>
              <w:pStyle w:val="Tabletext"/>
              <w:rPr>
                <w:lang w:eastAsia="en-GB"/>
              </w:rPr>
            </w:pPr>
          </w:p>
        </w:tc>
        <w:tc>
          <w:tcPr>
            <w:tcW w:w="0" w:type="pct"/>
            <w:noWrap/>
            <w:vAlign w:val="center"/>
            <w:hideMark/>
          </w:tcPr>
          <w:p w14:paraId="2563E6C2" w14:textId="77777777" w:rsidR="00504E0F" w:rsidRPr="00490C53" w:rsidRDefault="00504E0F" w:rsidP="00504E0F">
            <w:pPr>
              <w:pStyle w:val="Tabletext"/>
              <w:rPr>
                <w:lang w:eastAsia="en-GB"/>
              </w:rPr>
            </w:pPr>
            <w:r w:rsidRPr="00490C53">
              <w:rPr>
                <w:lang w:eastAsia="en-GB"/>
              </w:rPr>
              <w:t>&gt;200m</w:t>
            </w:r>
          </w:p>
        </w:tc>
        <w:tc>
          <w:tcPr>
            <w:tcW w:w="0" w:type="pct"/>
            <w:noWrap/>
            <w:hideMark/>
          </w:tcPr>
          <w:p w14:paraId="049873F3" w14:textId="6B6FF092"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67A4F217" w14:textId="2E0C4008"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7D7CCA95"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112345F3" w14:textId="77777777" w:rsidR="00504E0F" w:rsidRPr="00490C53" w:rsidRDefault="00504E0F" w:rsidP="00504E0F">
            <w:pPr>
              <w:pStyle w:val="Tabletext"/>
              <w:rPr>
                <w:lang w:eastAsia="en-GB"/>
              </w:rPr>
            </w:pPr>
          </w:p>
        </w:tc>
        <w:tc>
          <w:tcPr>
            <w:tcW w:w="0" w:type="pct"/>
            <w:noWrap/>
            <w:vAlign w:val="center"/>
            <w:hideMark/>
          </w:tcPr>
          <w:p w14:paraId="113F3F77" w14:textId="77777777" w:rsidR="00504E0F" w:rsidRPr="00490C53" w:rsidRDefault="00504E0F" w:rsidP="00504E0F">
            <w:pPr>
              <w:pStyle w:val="Tabletext"/>
              <w:rPr>
                <w:lang w:eastAsia="en-GB"/>
              </w:rPr>
            </w:pPr>
            <w:r w:rsidRPr="00490C53">
              <w:rPr>
                <w:lang w:eastAsia="en-GB"/>
              </w:rPr>
              <w:t>Weighted average</w:t>
            </w:r>
          </w:p>
        </w:tc>
        <w:tc>
          <w:tcPr>
            <w:tcW w:w="0" w:type="pct"/>
            <w:noWrap/>
            <w:hideMark/>
          </w:tcPr>
          <w:p w14:paraId="427276F2" w14:textId="31BFDA58" w:rsidR="00504E0F" w:rsidRPr="00490C53" w:rsidRDefault="00504E0F" w:rsidP="00504E0F">
            <w:pPr>
              <w:pStyle w:val="Tabletext"/>
              <w:jc w:val="right"/>
              <w:rPr>
                <w:rFonts w:cstheme="minorHAnsi"/>
                <w:szCs w:val="24"/>
                <w:lang w:eastAsia="en-GB"/>
              </w:rPr>
            </w:pPr>
            <w:r w:rsidRPr="00846F78">
              <w:rPr>
                <w:rFonts w:cstheme="minorHAnsi"/>
                <w:szCs w:val="24"/>
              </w:rPr>
              <w:t>7%</w:t>
            </w:r>
          </w:p>
        </w:tc>
        <w:tc>
          <w:tcPr>
            <w:tcW w:w="0" w:type="pct"/>
            <w:noWrap/>
            <w:hideMark/>
          </w:tcPr>
          <w:p w14:paraId="3C49FD07" w14:textId="76BC3AA2" w:rsidR="00504E0F" w:rsidRPr="00490C53" w:rsidRDefault="00504E0F" w:rsidP="00504E0F">
            <w:pPr>
              <w:pStyle w:val="Tabletext"/>
              <w:jc w:val="right"/>
              <w:rPr>
                <w:rFonts w:cstheme="minorHAnsi"/>
                <w:szCs w:val="24"/>
                <w:lang w:eastAsia="en-GB"/>
              </w:rPr>
            </w:pPr>
            <w:r w:rsidRPr="00846F78">
              <w:rPr>
                <w:rFonts w:cstheme="minorHAnsi"/>
                <w:szCs w:val="24"/>
              </w:rPr>
              <w:t>4%</w:t>
            </w:r>
          </w:p>
        </w:tc>
      </w:tr>
      <w:tr w:rsidR="00504E0F" w:rsidRPr="00490C53" w14:paraId="75D7D132" w14:textId="77777777" w:rsidTr="00846F78">
        <w:tblPrEx>
          <w:tblCellMar>
            <w:left w:w="108" w:type="dxa"/>
            <w:right w:w="108" w:type="dxa"/>
          </w:tblCellMar>
        </w:tblPrEx>
        <w:trPr>
          <w:trHeight w:val="290"/>
        </w:trPr>
        <w:tc>
          <w:tcPr>
            <w:tcW w:w="0" w:type="pct"/>
            <w:noWrap/>
            <w:vAlign w:val="center"/>
            <w:hideMark/>
          </w:tcPr>
          <w:p w14:paraId="3774BC8D" w14:textId="77777777" w:rsidR="00504E0F" w:rsidRPr="00490C53" w:rsidRDefault="00504E0F" w:rsidP="00504E0F">
            <w:pPr>
              <w:pStyle w:val="Tabletext"/>
              <w:rPr>
                <w:lang w:eastAsia="en-GB"/>
              </w:rPr>
            </w:pPr>
            <w:r w:rsidRPr="00490C53">
              <w:rPr>
                <w:lang w:eastAsia="en-GB"/>
              </w:rPr>
              <w:t>London</w:t>
            </w:r>
          </w:p>
        </w:tc>
        <w:tc>
          <w:tcPr>
            <w:tcW w:w="0" w:type="pct"/>
            <w:noWrap/>
            <w:vAlign w:val="center"/>
            <w:hideMark/>
          </w:tcPr>
          <w:p w14:paraId="147241F8" w14:textId="77777777" w:rsidR="00504E0F" w:rsidRPr="00490C53" w:rsidRDefault="00504E0F" w:rsidP="00504E0F">
            <w:pPr>
              <w:pStyle w:val="Tabletext"/>
              <w:rPr>
                <w:lang w:eastAsia="en-GB"/>
              </w:rPr>
            </w:pPr>
            <w:r w:rsidRPr="00490C53">
              <w:rPr>
                <w:lang w:eastAsia="en-GB"/>
              </w:rPr>
              <w:t>Less than 50K</w:t>
            </w:r>
          </w:p>
        </w:tc>
        <w:tc>
          <w:tcPr>
            <w:tcW w:w="0" w:type="pct"/>
            <w:noWrap/>
            <w:hideMark/>
          </w:tcPr>
          <w:p w14:paraId="7E598B46" w14:textId="26CE10F0" w:rsidR="00504E0F" w:rsidRPr="00490C53" w:rsidRDefault="00504E0F" w:rsidP="00504E0F">
            <w:pPr>
              <w:pStyle w:val="Tabletext"/>
              <w:jc w:val="right"/>
              <w:rPr>
                <w:rFonts w:cstheme="minorHAnsi"/>
                <w:szCs w:val="24"/>
                <w:lang w:eastAsia="en-GB"/>
              </w:rPr>
            </w:pPr>
            <w:r w:rsidRPr="00846F78">
              <w:rPr>
                <w:rFonts w:cstheme="minorHAnsi"/>
                <w:szCs w:val="24"/>
              </w:rPr>
              <w:t>6%</w:t>
            </w:r>
          </w:p>
        </w:tc>
        <w:tc>
          <w:tcPr>
            <w:tcW w:w="0" w:type="pct"/>
            <w:noWrap/>
            <w:hideMark/>
          </w:tcPr>
          <w:p w14:paraId="4C4107DF" w14:textId="78490E09" w:rsidR="00504E0F" w:rsidRPr="00490C53" w:rsidRDefault="00504E0F" w:rsidP="00504E0F">
            <w:pPr>
              <w:pStyle w:val="Tabletext"/>
              <w:jc w:val="right"/>
              <w:rPr>
                <w:rFonts w:cstheme="minorHAnsi"/>
                <w:szCs w:val="24"/>
                <w:lang w:eastAsia="en-GB"/>
              </w:rPr>
            </w:pPr>
            <w:r w:rsidRPr="00846F78">
              <w:rPr>
                <w:rFonts w:cstheme="minorHAnsi"/>
                <w:szCs w:val="24"/>
              </w:rPr>
              <w:t>11%</w:t>
            </w:r>
          </w:p>
        </w:tc>
      </w:tr>
      <w:tr w:rsidR="00504E0F" w:rsidRPr="00490C53" w14:paraId="186E9809"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73816D89" w14:textId="77777777" w:rsidR="00504E0F" w:rsidRPr="00490C53" w:rsidRDefault="00504E0F" w:rsidP="00504E0F">
            <w:pPr>
              <w:pStyle w:val="Tabletext"/>
              <w:rPr>
                <w:lang w:eastAsia="en-GB"/>
              </w:rPr>
            </w:pPr>
          </w:p>
        </w:tc>
        <w:tc>
          <w:tcPr>
            <w:tcW w:w="0" w:type="pct"/>
            <w:noWrap/>
            <w:vAlign w:val="center"/>
            <w:hideMark/>
          </w:tcPr>
          <w:p w14:paraId="47542312" w14:textId="77777777" w:rsidR="00504E0F" w:rsidRPr="00490C53" w:rsidRDefault="00504E0F" w:rsidP="00504E0F">
            <w:pPr>
              <w:pStyle w:val="Tabletext"/>
              <w:rPr>
                <w:lang w:eastAsia="en-GB"/>
              </w:rPr>
            </w:pPr>
            <w:r w:rsidRPr="00490C53">
              <w:rPr>
                <w:lang w:eastAsia="en-GB"/>
              </w:rPr>
              <w:t>50,001 to 100K</w:t>
            </w:r>
          </w:p>
        </w:tc>
        <w:tc>
          <w:tcPr>
            <w:tcW w:w="0" w:type="pct"/>
            <w:noWrap/>
            <w:hideMark/>
          </w:tcPr>
          <w:p w14:paraId="01D23E96" w14:textId="4308CB1F" w:rsidR="00504E0F" w:rsidRPr="00490C53" w:rsidRDefault="00504E0F" w:rsidP="00504E0F">
            <w:pPr>
              <w:pStyle w:val="Tabletext"/>
              <w:jc w:val="right"/>
              <w:rPr>
                <w:rFonts w:cstheme="minorHAnsi"/>
                <w:szCs w:val="24"/>
                <w:lang w:eastAsia="en-GB"/>
              </w:rPr>
            </w:pPr>
            <w:r w:rsidRPr="00846F78">
              <w:rPr>
                <w:rFonts w:cstheme="minorHAnsi"/>
                <w:szCs w:val="24"/>
              </w:rPr>
              <w:t>3%</w:t>
            </w:r>
          </w:p>
        </w:tc>
        <w:tc>
          <w:tcPr>
            <w:tcW w:w="0" w:type="pct"/>
            <w:noWrap/>
            <w:hideMark/>
          </w:tcPr>
          <w:p w14:paraId="79B7BA2F" w14:textId="64CCD4CD" w:rsidR="00504E0F" w:rsidRPr="00490C53" w:rsidRDefault="00504E0F" w:rsidP="00504E0F">
            <w:pPr>
              <w:pStyle w:val="Tabletext"/>
              <w:jc w:val="right"/>
              <w:rPr>
                <w:rFonts w:cstheme="minorHAnsi"/>
                <w:szCs w:val="24"/>
                <w:lang w:eastAsia="en-GB"/>
              </w:rPr>
            </w:pPr>
            <w:r w:rsidRPr="00846F78">
              <w:rPr>
                <w:rFonts w:cstheme="minorHAnsi"/>
                <w:szCs w:val="24"/>
              </w:rPr>
              <w:t>7%</w:t>
            </w:r>
          </w:p>
        </w:tc>
      </w:tr>
      <w:tr w:rsidR="00504E0F" w:rsidRPr="00490C53" w14:paraId="4B71AE91" w14:textId="77777777" w:rsidTr="00846F78">
        <w:tblPrEx>
          <w:tblCellMar>
            <w:left w:w="108" w:type="dxa"/>
            <w:right w:w="108" w:type="dxa"/>
          </w:tblCellMar>
        </w:tblPrEx>
        <w:trPr>
          <w:trHeight w:val="290"/>
        </w:trPr>
        <w:tc>
          <w:tcPr>
            <w:tcW w:w="0" w:type="pct"/>
            <w:noWrap/>
            <w:vAlign w:val="center"/>
          </w:tcPr>
          <w:p w14:paraId="65CB5E85" w14:textId="77777777" w:rsidR="00504E0F" w:rsidRPr="00490C53" w:rsidRDefault="00504E0F" w:rsidP="00504E0F">
            <w:pPr>
              <w:pStyle w:val="Tabletext"/>
              <w:rPr>
                <w:lang w:eastAsia="en-GB"/>
              </w:rPr>
            </w:pPr>
          </w:p>
        </w:tc>
        <w:tc>
          <w:tcPr>
            <w:tcW w:w="0" w:type="pct"/>
            <w:noWrap/>
            <w:vAlign w:val="center"/>
            <w:hideMark/>
          </w:tcPr>
          <w:p w14:paraId="45F5F892" w14:textId="77777777" w:rsidR="00504E0F" w:rsidRPr="00490C53" w:rsidRDefault="00504E0F" w:rsidP="00504E0F">
            <w:pPr>
              <w:pStyle w:val="Tabletext"/>
              <w:rPr>
                <w:lang w:eastAsia="en-GB"/>
              </w:rPr>
            </w:pPr>
            <w:r w:rsidRPr="00490C53">
              <w:rPr>
                <w:lang w:eastAsia="en-GB"/>
              </w:rPr>
              <w:t>100,001 to 250K</w:t>
            </w:r>
          </w:p>
        </w:tc>
        <w:tc>
          <w:tcPr>
            <w:tcW w:w="0" w:type="pct"/>
            <w:noWrap/>
            <w:hideMark/>
          </w:tcPr>
          <w:p w14:paraId="084DD43B" w14:textId="1F344FCD" w:rsidR="00504E0F" w:rsidRPr="00490C53" w:rsidRDefault="00504E0F" w:rsidP="00504E0F">
            <w:pPr>
              <w:pStyle w:val="Tabletext"/>
              <w:jc w:val="right"/>
              <w:rPr>
                <w:rFonts w:cstheme="minorHAnsi"/>
                <w:szCs w:val="24"/>
                <w:lang w:eastAsia="en-GB"/>
              </w:rPr>
            </w:pPr>
            <w:r w:rsidRPr="00846F78">
              <w:rPr>
                <w:rFonts w:cstheme="minorHAnsi"/>
                <w:szCs w:val="24"/>
              </w:rPr>
              <w:t>5%</w:t>
            </w:r>
          </w:p>
        </w:tc>
        <w:tc>
          <w:tcPr>
            <w:tcW w:w="0" w:type="pct"/>
            <w:noWrap/>
            <w:hideMark/>
          </w:tcPr>
          <w:p w14:paraId="2CD39115" w14:textId="7D5950ED" w:rsidR="00504E0F" w:rsidRPr="00490C53" w:rsidRDefault="00504E0F" w:rsidP="00504E0F">
            <w:pPr>
              <w:pStyle w:val="Tabletext"/>
              <w:jc w:val="right"/>
              <w:rPr>
                <w:rFonts w:cstheme="minorHAnsi"/>
                <w:szCs w:val="24"/>
                <w:lang w:eastAsia="en-GB"/>
              </w:rPr>
            </w:pPr>
            <w:r w:rsidRPr="00846F78">
              <w:rPr>
                <w:rFonts w:cstheme="minorHAnsi"/>
                <w:szCs w:val="24"/>
              </w:rPr>
              <w:t>7%</w:t>
            </w:r>
          </w:p>
        </w:tc>
      </w:tr>
      <w:tr w:rsidR="00504E0F" w:rsidRPr="00490C53" w14:paraId="4D00117A"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6342C5A5" w14:textId="77777777" w:rsidR="00504E0F" w:rsidRPr="00490C53" w:rsidRDefault="00504E0F" w:rsidP="00504E0F">
            <w:pPr>
              <w:pStyle w:val="Tabletext"/>
              <w:rPr>
                <w:lang w:eastAsia="en-GB"/>
              </w:rPr>
            </w:pPr>
          </w:p>
        </w:tc>
        <w:tc>
          <w:tcPr>
            <w:tcW w:w="0" w:type="pct"/>
            <w:noWrap/>
            <w:vAlign w:val="center"/>
            <w:hideMark/>
          </w:tcPr>
          <w:p w14:paraId="13A52409" w14:textId="77777777" w:rsidR="00504E0F" w:rsidRPr="00490C53" w:rsidRDefault="00504E0F" w:rsidP="00504E0F">
            <w:pPr>
              <w:pStyle w:val="Tabletext"/>
              <w:rPr>
                <w:lang w:eastAsia="en-GB"/>
              </w:rPr>
            </w:pPr>
            <w:r w:rsidRPr="00490C53">
              <w:rPr>
                <w:lang w:eastAsia="en-GB"/>
              </w:rPr>
              <w:t>250,001 to 500K</w:t>
            </w:r>
          </w:p>
        </w:tc>
        <w:tc>
          <w:tcPr>
            <w:tcW w:w="0" w:type="pct"/>
            <w:noWrap/>
            <w:hideMark/>
          </w:tcPr>
          <w:p w14:paraId="41641F9F" w14:textId="7ACE06FD" w:rsidR="00504E0F" w:rsidRPr="00490C53" w:rsidRDefault="00504E0F" w:rsidP="00504E0F">
            <w:pPr>
              <w:pStyle w:val="Tabletext"/>
              <w:jc w:val="right"/>
              <w:rPr>
                <w:rFonts w:cstheme="minorHAnsi"/>
                <w:szCs w:val="24"/>
                <w:lang w:eastAsia="en-GB"/>
              </w:rPr>
            </w:pPr>
            <w:r w:rsidRPr="00846F78">
              <w:rPr>
                <w:rFonts w:cstheme="minorHAnsi"/>
                <w:szCs w:val="24"/>
              </w:rPr>
              <w:t>7%</w:t>
            </w:r>
          </w:p>
        </w:tc>
        <w:tc>
          <w:tcPr>
            <w:tcW w:w="0" w:type="pct"/>
            <w:noWrap/>
            <w:hideMark/>
          </w:tcPr>
          <w:p w14:paraId="391DF300" w14:textId="39E206C2" w:rsidR="00504E0F" w:rsidRPr="00490C53" w:rsidRDefault="00504E0F" w:rsidP="00504E0F">
            <w:pPr>
              <w:pStyle w:val="Tabletext"/>
              <w:jc w:val="right"/>
              <w:rPr>
                <w:rFonts w:cstheme="minorHAnsi"/>
                <w:szCs w:val="24"/>
                <w:lang w:eastAsia="en-GB"/>
              </w:rPr>
            </w:pPr>
            <w:r w:rsidRPr="00846F78">
              <w:rPr>
                <w:rFonts w:cstheme="minorHAnsi"/>
                <w:szCs w:val="24"/>
              </w:rPr>
              <w:t>8%</w:t>
            </w:r>
          </w:p>
        </w:tc>
      </w:tr>
      <w:tr w:rsidR="00504E0F" w:rsidRPr="00490C53" w14:paraId="2DD6AC61" w14:textId="77777777" w:rsidTr="00846F78">
        <w:tblPrEx>
          <w:tblCellMar>
            <w:left w:w="108" w:type="dxa"/>
            <w:right w:w="108" w:type="dxa"/>
          </w:tblCellMar>
        </w:tblPrEx>
        <w:trPr>
          <w:trHeight w:val="290"/>
        </w:trPr>
        <w:tc>
          <w:tcPr>
            <w:tcW w:w="0" w:type="pct"/>
            <w:noWrap/>
            <w:vAlign w:val="center"/>
          </w:tcPr>
          <w:p w14:paraId="16AB644B" w14:textId="77777777" w:rsidR="00504E0F" w:rsidRPr="00490C53" w:rsidRDefault="00504E0F" w:rsidP="00504E0F">
            <w:pPr>
              <w:pStyle w:val="Tabletext"/>
              <w:rPr>
                <w:lang w:eastAsia="en-GB"/>
              </w:rPr>
            </w:pPr>
          </w:p>
        </w:tc>
        <w:tc>
          <w:tcPr>
            <w:tcW w:w="0" w:type="pct"/>
            <w:noWrap/>
            <w:vAlign w:val="center"/>
            <w:hideMark/>
          </w:tcPr>
          <w:p w14:paraId="48334519" w14:textId="77777777" w:rsidR="00504E0F" w:rsidRPr="00490C53" w:rsidRDefault="00504E0F" w:rsidP="00504E0F">
            <w:pPr>
              <w:pStyle w:val="Tabletext"/>
              <w:rPr>
                <w:lang w:eastAsia="en-GB"/>
              </w:rPr>
            </w:pPr>
            <w:r w:rsidRPr="00490C53">
              <w:rPr>
                <w:lang w:eastAsia="en-GB"/>
              </w:rPr>
              <w:t>500,001 to 1m</w:t>
            </w:r>
          </w:p>
        </w:tc>
        <w:tc>
          <w:tcPr>
            <w:tcW w:w="0" w:type="pct"/>
            <w:noWrap/>
            <w:hideMark/>
          </w:tcPr>
          <w:p w14:paraId="71EE9E3B" w14:textId="0C827697"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6A392894" w14:textId="7CA80DF3" w:rsidR="00504E0F" w:rsidRPr="00490C53" w:rsidRDefault="00504E0F" w:rsidP="00504E0F">
            <w:pPr>
              <w:pStyle w:val="Tabletext"/>
              <w:jc w:val="right"/>
              <w:rPr>
                <w:rFonts w:cstheme="minorHAnsi"/>
                <w:szCs w:val="24"/>
                <w:lang w:eastAsia="en-GB"/>
              </w:rPr>
            </w:pPr>
            <w:r w:rsidRPr="00846F78">
              <w:rPr>
                <w:rFonts w:cstheme="minorHAnsi"/>
                <w:szCs w:val="24"/>
              </w:rPr>
              <w:t>7%</w:t>
            </w:r>
          </w:p>
        </w:tc>
      </w:tr>
      <w:tr w:rsidR="00504E0F" w:rsidRPr="00490C53" w14:paraId="6E3317A5"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1F9FCD52" w14:textId="77777777" w:rsidR="00504E0F" w:rsidRPr="00490C53" w:rsidRDefault="00504E0F" w:rsidP="00504E0F">
            <w:pPr>
              <w:pStyle w:val="Tabletext"/>
              <w:rPr>
                <w:lang w:eastAsia="en-GB"/>
              </w:rPr>
            </w:pPr>
          </w:p>
        </w:tc>
        <w:tc>
          <w:tcPr>
            <w:tcW w:w="0" w:type="pct"/>
            <w:noWrap/>
            <w:vAlign w:val="center"/>
            <w:hideMark/>
          </w:tcPr>
          <w:p w14:paraId="50949296" w14:textId="77777777" w:rsidR="00504E0F" w:rsidRPr="00490C53" w:rsidRDefault="00504E0F" w:rsidP="00504E0F">
            <w:pPr>
              <w:pStyle w:val="Tabletext"/>
              <w:rPr>
                <w:lang w:eastAsia="en-GB"/>
              </w:rPr>
            </w:pPr>
            <w:r w:rsidRPr="00490C53">
              <w:rPr>
                <w:lang w:eastAsia="en-GB"/>
              </w:rPr>
              <w:t>1m to 5m</w:t>
            </w:r>
          </w:p>
        </w:tc>
        <w:tc>
          <w:tcPr>
            <w:tcW w:w="0" w:type="pct"/>
            <w:noWrap/>
            <w:hideMark/>
          </w:tcPr>
          <w:p w14:paraId="6EC86F7D" w14:textId="6643B266" w:rsidR="00504E0F" w:rsidRPr="00490C53" w:rsidRDefault="00504E0F" w:rsidP="00504E0F">
            <w:pPr>
              <w:pStyle w:val="Tabletext"/>
              <w:jc w:val="right"/>
              <w:rPr>
                <w:rFonts w:cstheme="minorHAnsi"/>
                <w:szCs w:val="24"/>
                <w:lang w:eastAsia="en-GB"/>
              </w:rPr>
            </w:pPr>
            <w:r w:rsidRPr="00846F78">
              <w:rPr>
                <w:rFonts w:cstheme="minorHAnsi"/>
                <w:szCs w:val="24"/>
              </w:rPr>
              <w:t>2%</w:t>
            </w:r>
          </w:p>
        </w:tc>
        <w:tc>
          <w:tcPr>
            <w:tcW w:w="0" w:type="pct"/>
            <w:noWrap/>
            <w:hideMark/>
          </w:tcPr>
          <w:p w14:paraId="1A69F6F0" w14:textId="74856C6F" w:rsidR="00504E0F" w:rsidRPr="00490C53" w:rsidRDefault="00504E0F" w:rsidP="00504E0F">
            <w:pPr>
              <w:pStyle w:val="Tabletext"/>
              <w:jc w:val="right"/>
              <w:rPr>
                <w:rFonts w:cstheme="minorHAnsi"/>
                <w:szCs w:val="24"/>
                <w:lang w:eastAsia="en-GB"/>
              </w:rPr>
            </w:pPr>
            <w:r w:rsidRPr="00846F78">
              <w:rPr>
                <w:rFonts w:cstheme="minorHAnsi"/>
                <w:szCs w:val="24"/>
              </w:rPr>
              <w:t>5%</w:t>
            </w:r>
          </w:p>
        </w:tc>
      </w:tr>
      <w:tr w:rsidR="00504E0F" w:rsidRPr="00490C53" w14:paraId="010677D4" w14:textId="77777777" w:rsidTr="00846F78">
        <w:tblPrEx>
          <w:tblCellMar>
            <w:left w:w="108" w:type="dxa"/>
            <w:right w:w="108" w:type="dxa"/>
          </w:tblCellMar>
        </w:tblPrEx>
        <w:trPr>
          <w:trHeight w:val="290"/>
        </w:trPr>
        <w:tc>
          <w:tcPr>
            <w:tcW w:w="0" w:type="pct"/>
            <w:noWrap/>
            <w:vAlign w:val="center"/>
          </w:tcPr>
          <w:p w14:paraId="391F1991" w14:textId="77777777" w:rsidR="00504E0F" w:rsidRPr="00490C53" w:rsidRDefault="00504E0F" w:rsidP="00504E0F">
            <w:pPr>
              <w:pStyle w:val="Tabletext"/>
              <w:rPr>
                <w:lang w:eastAsia="en-GB"/>
              </w:rPr>
            </w:pPr>
          </w:p>
        </w:tc>
        <w:tc>
          <w:tcPr>
            <w:tcW w:w="0" w:type="pct"/>
            <w:noWrap/>
            <w:vAlign w:val="center"/>
            <w:hideMark/>
          </w:tcPr>
          <w:p w14:paraId="792496A1" w14:textId="77777777" w:rsidR="00504E0F" w:rsidRPr="00490C53" w:rsidRDefault="00504E0F" w:rsidP="00504E0F">
            <w:pPr>
              <w:pStyle w:val="Tabletext"/>
              <w:rPr>
                <w:lang w:eastAsia="en-GB"/>
              </w:rPr>
            </w:pPr>
            <w:r w:rsidRPr="00490C53">
              <w:rPr>
                <w:lang w:eastAsia="en-GB"/>
              </w:rPr>
              <w:t>5m to 25m</w:t>
            </w:r>
          </w:p>
        </w:tc>
        <w:tc>
          <w:tcPr>
            <w:tcW w:w="0" w:type="pct"/>
            <w:noWrap/>
            <w:hideMark/>
          </w:tcPr>
          <w:p w14:paraId="0BB39F38" w14:textId="4E1FD85B"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04EFDD39" w14:textId="698BF419" w:rsidR="00504E0F" w:rsidRPr="00490C53" w:rsidRDefault="00504E0F" w:rsidP="00504E0F">
            <w:pPr>
              <w:pStyle w:val="Tabletext"/>
              <w:jc w:val="right"/>
              <w:rPr>
                <w:rFonts w:cstheme="minorHAnsi"/>
                <w:szCs w:val="24"/>
                <w:lang w:eastAsia="en-GB"/>
              </w:rPr>
            </w:pPr>
            <w:r w:rsidRPr="00846F78">
              <w:rPr>
                <w:rFonts w:cstheme="minorHAnsi"/>
                <w:szCs w:val="24"/>
              </w:rPr>
              <w:t>2%</w:t>
            </w:r>
          </w:p>
        </w:tc>
      </w:tr>
      <w:tr w:rsidR="00504E0F" w:rsidRPr="00490C53" w14:paraId="491A9ECE"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702FA241" w14:textId="77777777" w:rsidR="00504E0F" w:rsidRPr="00490C53" w:rsidRDefault="00504E0F" w:rsidP="00504E0F">
            <w:pPr>
              <w:pStyle w:val="Tabletext"/>
              <w:rPr>
                <w:lang w:eastAsia="en-GB"/>
              </w:rPr>
            </w:pPr>
          </w:p>
        </w:tc>
        <w:tc>
          <w:tcPr>
            <w:tcW w:w="0" w:type="pct"/>
            <w:noWrap/>
            <w:vAlign w:val="center"/>
            <w:hideMark/>
          </w:tcPr>
          <w:p w14:paraId="6E709830" w14:textId="77777777" w:rsidR="00504E0F" w:rsidRPr="00490C53" w:rsidRDefault="00504E0F" w:rsidP="00504E0F">
            <w:pPr>
              <w:pStyle w:val="Tabletext"/>
              <w:rPr>
                <w:lang w:eastAsia="en-GB"/>
              </w:rPr>
            </w:pPr>
            <w:r w:rsidRPr="00490C53">
              <w:rPr>
                <w:lang w:eastAsia="en-GB"/>
              </w:rPr>
              <w:t>25m to 50m</w:t>
            </w:r>
          </w:p>
        </w:tc>
        <w:tc>
          <w:tcPr>
            <w:tcW w:w="0" w:type="pct"/>
            <w:noWrap/>
            <w:hideMark/>
          </w:tcPr>
          <w:p w14:paraId="708B697D" w14:textId="36BC0B14"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2F5ACA96" w14:textId="2A515BE9"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5E551D12" w14:textId="77777777" w:rsidTr="00846F78">
        <w:tblPrEx>
          <w:tblCellMar>
            <w:left w:w="108" w:type="dxa"/>
            <w:right w:w="108" w:type="dxa"/>
          </w:tblCellMar>
        </w:tblPrEx>
        <w:trPr>
          <w:trHeight w:val="290"/>
        </w:trPr>
        <w:tc>
          <w:tcPr>
            <w:tcW w:w="0" w:type="pct"/>
            <w:noWrap/>
            <w:vAlign w:val="center"/>
          </w:tcPr>
          <w:p w14:paraId="1D4B1529" w14:textId="77777777" w:rsidR="00504E0F" w:rsidRPr="00490C53" w:rsidRDefault="00504E0F" w:rsidP="00504E0F">
            <w:pPr>
              <w:pStyle w:val="Tabletext"/>
              <w:rPr>
                <w:lang w:eastAsia="en-GB"/>
              </w:rPr>
            </w:pPr>
          </w:p>
        </w:tc>
        <w:tc>
          <w:tcPr>
            <w:tcW w:w="0" w:type="pct"/>
            <w:noWrap/>
            <w:vAlign w:val="center"/>
            <w:hideMark/>
          </w:tcPr>
          <w:p w14:paraId="647794F1" w14:textId="77777777" w:rsidR="00504E0F" w:rsidRPr="00490C53" w:rsidRDefault="00504E0F" w:rsidP="00504E0F">
            <w:pPr>
              <w:pStyle w:val="Tabletext"/>
              <w:rPr>
                <w:lang w:eastAsia="en-GB"/>
              </w:rPr>
            </w:pPr>
            <w:r w:rsidRPr="00490C53">
              <w:rPr>
                <w:lang w:eastAsia="en-GB"/>
              </w:rPr>
              <w:t>50m to 200m</w:t>
            </w:r>
          </w:p>
        </w:tc>
        <w:tc>
          <w:tcPr>
            <w:tcW w:w="0" w:type="pct"/>
            <w:noWrap/>
            <w:hideMark/>
          </w:tcPr>
          <w:p w14:paraId="5A99D397" w14:textId="6701C6F2"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5A57333A" w14:textId="3D489FC5" w:rsidR="00504E0F" w:rsidRPr="00490C53" w:rsidRDefault="00504E0F" w:rsidP="00504E0F">
            <w:pPr>
              <w:pStyle w:val="Tabletext"/>
              <w:jc w:val="right"/>
              <w:rPr>
                <w:rFonts w:cstheme="minorHAnsi"/>
                <w:szCs w:val="24"/>
                <w:lang w:eastAsia="en-GB"/>
              </w:rPr>
            </w:pPr>
            <w:r w:rsidRPr="00846F78">
              <w:rPr>
                <w:rFonts w:cstheme="minorHAnsi"/>
                <w:szCs w:val="24"/>
              </w:rPr>
              <w:t>1%</w:t>
            </w:r>
          </w:p>
        </w:tc>
      </w:tr>
      <w:tr w:rsidR="00504E0F" w:rsidRPr="00490C53" w14:paraId="279A0F12"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0249360D" w14:textId="77777777" w:rsidR="00504E0F" w:rsidRPr="00490C53" w:rsidRDefault="00504E0F" w:rsidP="00504E0F">
            <w:pPr>
              <w:pStyle w:val="Tabletext"/>
              <w:rPr>
                <w:lang w:eastAsia="en-GB"/>
              </w:rPr>
            </w:pPr>
          </w:p>
        </w:tc>
        <w:tc>
          <w:tcPr>
            <w:tcW w:w="0" w:type="pct"/>
            <w:noWrap/>
            <w:vAlign w:val="center"/>
            <w:hideMark/>
          </w:tcPr>
          <w:p w14:paraId="4DAB4386" w14:textId="77777777" w:rsidR="00504E0F" w:rsidRPr="00490C53" w:rsidRDefault="00504E0F" w:rsidP="00504E0F">
            <w:pPr>
              <w:pStyle w:val="Tabletext"/>
              <w:rPr>
                <w:lang w:eastAsia="en-GB"/>
              </w:rPr>
            </w:pPr>
            <w:r w:rsidRPr="00490C53">
              <w:rPr>
                <w:lang w:eastAsia="en-GB"/>
              </w:rPr>
              <w:t>&gt;200m</w:t>
            </w:r>
          </w:p>
        </w:tc>
        <w:tc>
          <w:tcPr>
            <w:tcW w:w="0" w:type="pct"/>
            <w:noWrap/>
            <w:hideMark/>
          </w:tcPr>
          <w:p w14:paraId="3E4A4B5E" w14:textId="4A3A1319"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433A1DE7" w14:textId="1D7BFE8E"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69A50BBC" w14:textId="77777777" w:rsidTr="00846F78">
        <w:tblPrEx>
          <w:tblCellMar>
            <w:left w:w="108" w:type="dxa"/>
            <w:right w:w="108" w:type="dxa"/>
          </w:tblCellMar>
        </w:tblPrEx>
        <w:trPr>
          <w:trHeight w:val="290"/>
        </w:trPr>
        <w:tc>
          <w:tcPr>
            <w:tcW w:w="0" w:type="pct"/>
            <w:noWrap/>
            <w:vAlign w:val="center"/>
          </w:tcPr>
          <w:p w14:paraId="5C40EB72" w14:textId="77777777" w:rsidR="00504E0F" w:rsidRPr="00490C53" w:rsidRDefault="00504E0F" w:rsidP="00504E0F">
            <w:pPr>
              <w:pStyle w:val="Tabletext"/>
              <w:rPr>
                <w:lang w:eastAsia="en-GB"/>
              </w:rPr>
            </w:pPr>
          </w:p>
        </w:tc>
        <w:tc>
          <w:tcPr>
            <w:tcW w:w="0" w:type="pct"/>
            <w:noWrap/>
            <w:vAlign w:val="center"/>
            <w:hideMark/>
          </w:tcPr>
          <w:p w14:paraId="41956050" w14:textId="77777777" w:rsidR="00504E0F" w:rsidRPr="00490C53" w:rsidRDefault="00504E0F" w:rsidP="00504E0F">
            <w:pPr>
              <w:pStyle w:val="Tabletext"/>
              <w:rPr>
                <w:lang w:eastAsia="en-GB"/>
              </w:rPr>
            </w:pPr>
            <w:r w:rsidRPr="00490C53">
              <w:rPr>
                <w:lang w:eastAsia="en-GB"/>
              </w:rPr>
              <w:t>Weighted average</w:t>
            </w:r>
          </w:p>
        </w:tc>
        <w:tc>
          <w:tcPr>
            <w:tcW w:w="0" w:type="pct"/>
            <w:noWrap/>
            <w:hideMark/>
          </w:tcPr>
          <w:p w14:paraId="1A9CA61F" w14:textId="3908CDB2" w:rsidR="00504E0F" w:rsidRPr="00490C53" w:rsidRDefault="00504E0F" w:rsidP="00504E0F">
            <w:pPr>
              <w:pStyle w:val="Tabletext"/>
              <w:jc w:val="right"/>
              <w:rPr>
                <w:rFonts w:cstheme="minorHAnsi"/>
                <w:szCs w:val="24"/>
                <w:lang w:eastAsia="en-GB"/>
              </w:rPr>
            </w:pPr>
            <w:r w:rsidRPr="00846F78">
              <w:rPr>
                <w:rFonts w:cstheme="minorHAnsi"/>
                <w:szCs w:val="24"/>
              </w:rPr>
              <w:t>5%</w:t>
            </w:r>
          </w:p>
        </w:tc>
        <w:tc>
          <w:tcPr>
            <w:tcW w:w="0" w:type="pct"/>
            <w:noWrap/>
            <w:hideMark/>
          </w:tcPr>
          <w:p w14:paraId="069DAA90" w14:textId="3572AA03" w:rsidR="00504E0F" w:rsidRPr="00490C53" w:rsidRDefault="00504E0F" w:rsidP="00504E0F">
            <w:pPr>
              <w:pStyle w:val="Tabletext"/>
              <w:jc w:val="right"/>
              <w:rPr>
                <w:rFonts w:cstheme="minorHAnsi"/>
                <w:szCs w:val="24"/>
                <w:lang w:eastAsia="en-GB"/>
              </w:rPr>
            </w:pPr>
            <w:r w:rsidRPr="00846F78">
              <w:rPr>
                <w:rFonts w:cstheme="minorHAnsi"/>
                <w:szCs w:val="24"/>
              </w:rPr>
              <w:t>5%</w:t>
            </w:r>
          </w:p>
        </w:tc>
      </w:tr>
      <w:tr w:rsidR="00504E0F" w:rsidRPr="00490C53" w14:paraId="184B9279"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hideMark/>
          </w:tcPr>
          <w:p w14:paraId="7BC018B0" w14:textId="77777777" w:rsidR="00504E0F" w:rsidRPr="00490C53" w:rsidRDefault="00504E0F" w:rsidP="00504E0F">
            <w:pPr>
              <w:pStyle w:val="Tabletext"/>
              <w:rPr>
                <w:lang w:eastAsia="en-GB"/>
              </w:rPr>
            </w:pPr>
            <w:r w:rsidRPr="00490C53">
              <w:rPr>
                <w:lang w:eastAsia="en-GB"/>
              </w:rPr>
              <w:t>North / Yorkshire</w:t>
            </w:r>
          </w:p>
        </w:tc>
        <w:tc>
          <w:tcPr>
            <w:tcW w:w="0" w:type="pct"/>
            <w:noWrap/>
            <w:vAlign w:val="center"/>
            <w:hideMark/>
          </w:tcPr>
          <w:p w14:paraId="13801FA3" w14:textId="77777777" w:rsidR="00504E0F" w:rsidRPr="00490C53" w:rsidRDefault="00504E0F" w:rsidP="00504E0F">
            <w:pPr>
              <w:pStyle w:val="Tabletext"/>
              <w:rPr>
                <w:lang w:eastAsia="en-GB"/>
              </w:rPr>
            </w:pPr>
            <w:r w:rsidRPr="00490C53">
              <w:rPr>
                <w:lang w:eastAsia="en-GB"/>
              </w:rPr>
              <w:t>Less than 50K</w:t>
            </w:r>
          </w:p>
        </w:tc>
        <w:tc>
          <w:tcPr>
            <w:tcW w:w="0" w:type="pct"/>
            <w:noWrap/>
            <w:hideMark/>
          </w:tcPr>
          <w:p w14:paraId="354A61E5" w14:textId="0EA5006E" w:rsidR="00504E0F" w:rsidRPr="00490C53" w:rsidRDefault="00504E0F" w:rsidP="00504E0F">
            <w:pPr>
              <w:pStyle w:val="Tabletext"/>
              <w:jc w:val="right"/>
              <w:rPr>
                <w:rFonts w:cstheme="minorHAnsi"/>
                <w:szCs w:val="24"/>
                <w:lang w:eastAsia="en-GB"/>
              </w:rPr>
            </w:pPr>
            <w:r w:rsidRPr="00846F78">
              <w:rPr>
                <w:rFonts w:cstheme="minorHAnsi"/>
                <w:szCs w:val="24"/>
              </w:rPr>
              <w:t>10%</w:t>
            </w:r>
          </w:p>
        </w:tc>
        <w:tc>
          <w:tcPr>
            <w:tcW w:w="0" w:type="pct"/>
            <w:noWrap/>
            <w:hideMark/>
          </w:tcPr>
          <w:p w14:paraId="019A5215" w14:textId="58BD6156" w:rsidR="00504E0F" w:rsidRPr="00490C53" w:rsidRDefault="00504E0F" w:rsidP="00504E0F">
            <w:pPr>
              <w:pStyle w:val="Tabletext"/>
              <w:jc w:val="right"/>
              <w:rPr>
                <w:rFonts w:cstheme="minorHAnsi"/>
                <w:szCs w:val="24"/>
                <w:lang w:eastAsia="en-GB"/>
              </w:rPr>
            </w:pPr>
            <w:r w:rsidRPr="00846F78">
              <w:rPr>
                <w:rFonts w:cstheme="minorHAnsi"/>
                <w:szCs w:val="24"/>
              </w:rPr>
              <w:t>9%</w:t>
            </w:r>
          </w:p>
        </w:tc>
      </w:tr>
      <w:tr w:rsidR="00504E0F" w:rsidRPr="00490C53" w14:paraId="10166AF7" w14:textId="77777777" w:rsidTr="00846F78">
        <w:tblPrEx>
          <w:tblCellMar>
            <w:left w:w="108" w:type="dxa"/>
            <w:right w:w="108" w:type="dxa"/>
          </w:tblCellMar>
        </w:tblPrEx>
        <w:trPr>
          <w:trHeight w:val="290"/>
        </w:trPr>
        <w:tc>
          <w:tcPr>
            <w:tcW w:w="0" w:type="pct"/>
            <w:noWrap/>
            <w:vAlign w:val="center"/>
          </w:tcPr>
          <w:p w14:paraId="263EF132" w14:textId="77777777" w:rsidR="00504E0F" w:rsidRPr="00490C53" w:rsidRDefault="00504E0F" w:rsidP="00504E0F">
            <w:pPr>
              <w:pStyle w:val="Tabletext"/>
              <w:rPr>
                <w:lang w:eastAsia="en-GB"/>
              </w:rPr>
            </w:pPr>
          </w:p>
        </w:tc>
        <w:tc>
          <w:tcPr>
            <w:tcW w:w="0" w:type="pct"/>
            <w:noWrap/>
            <w:vAlign w:val="center"/>
            <w:hideMark/>
          </w:tcPr>
          <w:p w14:paraId="57B7C3D9" w14:textId="77777777" w:rsidR="00504E0F" w:rsidRPr="00490C53" w:rsidRDefault="00504E0F" w:rsidP="00504E0F">
            <w:pPr>
              <w:pStyle w:val="Tabletext"/>
              <w:rPr>
                <w:lang w:eastAsia="en-GB"/>
              </w:rPr>
            </w:pPr>
            <w:r w:rsidRPr="00490C53">
              <w:rPr>
                <w:lang w:eastAsia="en-GB"/>
              </w:rPr>
              <w:t>50,001 to 100K</w:t>
            </w:r>
          </w:p>
        </w:tc>
        <w:tc>
          <w:tcPr>
            <w:tcW w:w="0" w:type="pct"/>
            <w:noWrap/>
            <w:hideMark/>
          </w:tcPr>
          <w:p w14:paraId="3FE13243" w14:textId="1A418D3C" w:rsidR="00504E0F" w:rsidRPr="00490C53" w:rsidRDefault="00504E0F" w:rsidP="00504E0F">
            <w:pPr>
              <w:pStyle w:val="Tabletext"/>
              <w:jc w:val="right"/>
              <w:rPr>
                <w:rFonts w:cstheme="minorHAnsi"/>
                <w:szCs w:val="24"/>
                <w:lang w:eastAsia="en-GB"/>
              </w:rPr>
            </w:pPr>
            <w:r w:rsidRPr="00846F78">
              <w:rPr>
                <w:rFonts w:cstheme="minorHAnsi"/>
                <w:szCs w:val="24"/>
              </w:rPr>
              <w:t>5%</w:t>
            </w:r>
          </w:p>
        </w:tc>
        <w:tc>
          <w:tcPr>
            <w:tcW w:w="0" w:type="pct"/>
            <w:noWrap/>
            <w:hideMark/>
          </w:tcPr>
          <w:p w14:paraId="3D520F01" w14:textId="22E81C3E" w:rsidR="00504E0F" w:rsidRPr="00490C53" w:rsidRDefault="00504E0F" w:rsidP="00504E0F">
            <w:pPr>
              <w:pStyle w:val="Tabletext"/>
              <w:jc w:val="right"/>
              <w:rPr>
                <w:rFonts w:cstheme="minorHAnsi"/>
                <w:szCs w:val="24"/>
                <w:lang w:eastAsia="en-GB"/>
              </w:rPr>
            </w:pPr>
            <w:r w:rsidRPr="00846F78">
              <w:rPr>
                <w:rFonts w:cstheme="minorHAnsi"/>
                <w:szCs w:val="24"/>
              </w:rPr>
              <w:t>11%</w:t>
            </w:r>
          </w:p>
        </w:tc>
      </w:tr>
      <w:tr w:rsidR="00504E0F" w:rsidRPr="00490C53" w14:paraId="24260C70"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471231CA" w14:textId="77777777" w:rsidR="00504E0F" w:rsidRPr="00490C53" w:rsidRDefault="00504E0F" w:rsidP="00504E0F">
            <w:pPr>
              <w:pStyle w:val="Tabletext"/>
              <w:rPr>
                <w:lang w:eastAsia="en-GB"/>
              </w:rPr>
            </w:pPr>
          </w:p>
        </w:tc>
        <w:tc>
          <w:tcPr>
            <w:tcW w:w="0" w:type="pct"/>
            <w:noWrap/>
            <w:vAlign w:val="center"/>
            <w:hideMark/>
          </w:tcPr>
          <w:p w14:paraId="200CE4BB" w14:textId="77777777" w:rsidR="00504E0F" w:rsidRPr="00490C53" w:rsidRDefault="00504E0F" w:rsidP="00504E0F">
            <w:pPr>
              <w:pStyle w:val="Tabletext"/>
              <w:rPr>
                <w:lang w:eastAsia="en-GB"/>
              </w:rPr>
            </w:pPr>
            <w:r w:rsidRPr="00490C53">
              <w:rPr>
                <w:lang w:eastAsia="en-GB"/>
              </w:rPr>
              <w:t>100,001 to 250K</w:t>
            </w:r>
          </w:p>
        </w:tc>
        <w:tc>
          <w:tcPr>
            <w:tcW w:w="0" w:type="pct"/>
            <w:noWrap/>
            <w:hideMark/>
          </w:tcPr>
          <w:p w14:paraId="29AFA550" w14:textId="5F22D8DC"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5265BD90" w14:textId="5F770A5C" w:rsidR="00504E0F" w:rsidRPr="00490C53" w:rsidRDefault="00504E0F" w:rsidP="00504E0F">
            <w:pPr>
              <w:pStyle w:val="Tabletext"/>
              <w:jc w:val="right"/>
              <w:rPr>
                <w:rFonts w:cstheme="minorHAnsi"/>
                <w:szCs w:val="24"/>
                <w:lang w:eastAsia="en-GB"/>
              </w:rPr>
            </w:pPr>
            <w:r w:rsidRPr="00846F78">
              <w:rPr>
                <w:rFonts w:cstheme="minorHAnsi"/>
                <w:szCs w:val="24"/>
              </w:rPr>
              <w:t>3%</w:t>
            </w:r>
          </w:p>
        </w:tc>
      </w:tr>
      <w:tr w:rsidR="00504E0F" w:rsidRPr="00490C53" w14:paraId="0002A87E" w14:textId="77777777" w:rsidTr="00846F78">
        <w:tblPrEx>
          <w:tblCellMar>
            <w:left w:w="108" w:type="dxa"/>
            <w:right w:w="108" w:type="dxa"/>
          </w:tblCellMar>
        </w:tblPrEx>
        <w:trPr>
          <w:trHeight w:val="290"/>
        </w:trPr>
        <w:tc>
          <w:tcPr>
            <w:tcW w:w="0" w:type="pct"/>
            <w:noWrap/>
            <w:vAlign w:val="center"/>
          </w:tcPr>
          <w:p w14:paraId="62B7F755" w14:textId="77777777" w:rsidR="00504E0F" w:rsidRPr="00490C53" w:rsidRDefault="00504E0F" w:rsidP="00504E0F">
            <w:pPr>
              <w:pStyle w:val="Tabletext"/>
              <w:rPr>
                <w:lang w:eastAsia="en-GB"/>
              </w:rPr>
            </w:pPr>
          </w:p>
        </w:tc>
        <w:tc>
          <w:tcPr>
            <w:tcW w:w="0" w:type="pct"/>
            <w:noWrap/>
            <w:vAlign w:val="center"/>
            <w:hideMark/>
          </w:tcPr>
          <w:p w14:paraId="46985F21" w14:textId="77777777" w:rsidR="00504E0F" w:rsidRPr="00490C53" w:rsidRDefault="00504E0F" w:rsidP="00504E0F">
            <w:pPr>
              <w:pStyle w:val="Tabletext"/>
              <w:rPr>
                <w:lang w:eastAsia="en-GB"/>
              </w:rPr>
            </w:pPr>
            <w:r w:rsidRPr="00490C53">
              <w:rPr>
                <w:lang w:eastAsia="en-GB"/>
              </w:rPr>
              <w:t>250,001 to 500K</w:t>
            </w:r>
          </w:p>
        </w:tc>
        <w:tc>
          <w:tcPr>
            <w:tcW w:w="0" w:type="pct"/>
            <w:noWrap/>
            <w:hideMark/>
          </w:tcPr>
          <w:p w14:paraId="5E865A5D" w14:textId="5E26B2CD" w:rsidR="00504E0F" w:rsidRPr="00490C53" w:rsidRDefault="00504E0F" w:rsidP="00504E0F">
            <w:pPr>
              <w:pStyle w:val="Tabletext"/>
              <w:jc w:val="right"/>
              <w:rPr>
                <w:rFonts w:cstheme="minorHAnsi"/>
                <w:szCs w:val="24"/>
                <w:lang w:eastAsia="en-GB"/>
              </w:rPr>
            </w:pPr>
            <w:r w:rsidRPr="00846F78">
              <w:rPr>
                <w:rFonts w:cstheme="minorHAnsi"/>
                <w:szCs w:val="24"/>
              </w:rPr>
              <w:t>6%</w:t>
            </w:r>
          </w:p>
        </w:tc>
        <w:tc>
          <w:tcPr>
            <w:tcW w:w="0" w:type="pct"/>
            <w:noWrap/>
            <w:hideMark/>
          </w:tcPr>
          <w:p w14:paraId="634598C5" w14:textId="36449C33" w:rsidR="00504E0F" w:rsidRPr="00490C53" w:rsidRDefault="00504E0F" w:rsidP="00504E0F">
            <w:pPr>
              <w:pStyle w:val="Tabletext"/>
              <w:jc w:val="right"/>
              <w:rPr>
                <w:rFonts w:cstheme="minorHAnsi"/>
                <w:szCs w:val="24"/>
                <w:lang w:eastAsia="en-GB"/>
              </w:rPr>
            </w:pPr>
            <w:r w:rsidRPr="00846F78">
              <w:rPr>
                <w:rFonts w:cstheme="minorHAnsi"/>
                <w:szCs w:val="24"/>
              </w:rPr>
              <w:t>6%</w:t>
            </w:r>
          </w:p>
        </w:tc>
      </w:tr>
      <w:tr w:rsidR="00504E0F" w:rsidRPr="00490C53" w14:paraId="1BF88532"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0106A4F9" w14:textId="77777777" w:rsidR="00504E0F" w:rsidRPr="00490C53" w:rsidRDefault="00504E0F" w:rsidP="00504E0F">
            <w:pPr>
              <w:pStyle w:val="Tabletext"/>
              <w:rPr>
                <w:lang w:eastAsia="en-GB"/>
              </w:rPr>
            </w:pPr>
          </w:p>
        </w:tc>
        <w:tc>
          <w:tcPr>
            <w:tcW w:w="0" w:type="pct"/>
            <w:noWrap/>
            <w:vAlign w:val="center"/>
            <w:hideMark/>
          </w:tcPr>
          <w:p w14:paraId="76F3849A" w14:textId="77777777" w:rsidR="00504E0F" w:rsidRPr="00490C53" w:rsidRDefault="00504E0F" w:rsidP="00504E0F">
            <w:pPr>
              <w:pStyle w:val="Tabletext"/>
              <w:rPr>
                <w:lang w:eastAsia="en-GB"/>
              </w:rPr>
            </w:pPr>
            <w:r w:rsidRPr="00490C53">
              <w:rPr>
                <w:lang w:eastAsia="en-GB"/>
              </w:rPr>
              <w:t>500,001 to 1m</w:t>
            </w:r>
          </w:p>
        </w:tc>
        <w:tc>
          <w:tcPr>
            <w:tcW w:w="0" w:type="pct"/>
            <w:noWrap/>
            <w:hideMark/>
          </w:tcPr>
          <w:p w14:paraId="7732ECB2" w14:textId="3E33916C" w:rsidR="00504E0F" w:rsidRPr="00490C53" w:rsidRDefault="00504E0F" w:rsidP="00504E0F">
            <w:pPr>
              <w:pStyle w:val="Tabletext"/>
              <w:jc w:val="right"/>
              <w:rPr>
                <w:rFonts w:cstheme="minorHAnsi"/>
                <w:szCs w:val="24"/>
                <w:lang w:eastAsia="en-GB"/>
              </w:rPr>
            </w:pPr>
            <w:r w:rsidRPr="00846F78">
              <w:rPr>
                <w:rFonts w:cstheme="minorHAnsi"/>
                <w:szCs w:val="24"/>
              </w:rPr>
              <w:t>5%</w:t>
            </w:r>
          </w:p>
        </w:tc>
        <w:tc>
          <w:tcPr>
            <w:tcW w:w="0" w:type="pct"/>
            <w:noWrap/>
            <w:hideMark/>
          </w:tcPr>
          <w:p w14:paraId="77AF5263" w14:textId="236DA845" w:rsidR="00504E0F" w:rsidRPr="00490C53" w:rsidRDefault="00504E0F" w:rsidP="00504E0F">
            <w:pPr>
              <w:pStyle w:val="Tabletext"/>
              <w:jc w:val="right"/>
              <w:rPr>
                <w:rFonts w:cstheme="minorHAnsi"/>
                <w:szCs w:val="24"/>
                <w:lang w:eastAsia="en-GB"/>
              </w:rPr>
            </w:pPr>
            <w:r w:rsidRPr="00846F78">
              <w:rPr>
                <w:rFonts w:cstheme="minorHAnsi"/>
                <w:szCs w:val="24"/>
              </w:rPr>
              <w:t>6%</w:t>
            </w:r>
          </w:p>
        </w:tc>
      </w:tr>
      <w:tr w:rsidR="00504E0F" w:rsidRPr="00490C53" w14:paraId="573491DD" w14:textId="77777777" w:rsidTr="00846F78">
        <w:tblPrEx>
          <w:tblCellMar>
            <w:left w:w="108" w:type="dxa"/>
            <w:right w:w="108" w:type="dxa"/>
          </w:tblCellMar>
        </w:tblPrEx>
        <w:trPr>
          <w:trHeight w:val="290"/>
        </w:trPr>
        <w:tc>
          <w:tcPr>
            <w:tcW w:w="0" w:type="pct"/>
            <w:noWrap/>
            <w:vAlign w:val="center"/>
          </w:tcPr>
          <w:p w14:paraId="281A91ED" w14:textId="77777777" w:rsidR="00504E0F" w:rsidRPr="00490C53" w:rsidRDefault="00504E0F" w:rsidP="00504E0F">
            <w:pPr>
              <w:pStyle w:val="Tabletext"/>
              <w:rPr>
                <w:lang w:eastAsia="en-GB"/>
              </w:rPr>
            </w:pPr>
          </w:p>
        </w:tc>
        <w:tc>
          <w:tcPr>
            <w:tcW w:w="0" w:type="pct"/>
            <w:noWrap/>
            <w:vAlign w:val="center"/>
            <w:hideMark/>
          </w:tcPr>
          <w:p w14:paraId="1E5D04DF" w14:textId="77777777" w:rsidR="00504E0F" w:rsidRPr="00490C53" w:rsidRDefault="00504E0F" w:rsidP="00504E0F">
            <w:pPr>
              <w:pStyle w:val="Tabletext"/>
              <w:rPr>
                <w:lang w:eastAsia="en-GB"/>
              </w:rPr>
            </w:pPr>
            <w:r w:rsidRPr="00490C53">
              <w:rPr>
                <w:lang w:eastAsia="en-GB"/>
              </w:rPr>
              <w:t>1m to 5m</w:t>
            </w:r>
          </w:p>
        </w:tc>
        <w:tc>
          <w:tcPr>
            <w:tcW w:w="0" w:type="pct"/>
            <w:noWrap/>
            <w:hideMark/>
          </w:tcPr>
          <w:p w14:paraId="71909555" w14:textId="5CF177C3" w:rsidR="00504E0F" w:rsidRPr="00490C53" w:rsidRDefault="00504E0F" w:rsidP="00504E0F">
            <w:pPr>
              <w:pStyle w:val="Tabletext"/>
              <w:jc w:val="right"/>
              <w:rPr>
                <w:rFonts w:cstheme="minorHAnsi"/>
                <w:szCs w:val="24"/>
                <w:lang w:eastAsia="en-GB"/>
              </w:rPr>
            </w:pPr>
            <w:r w:rsidRPr="00846F78">
              <w:rPr>
                <w:rFonts w:cstheme="minorHAnsi"/>
                <w:szCs w:val="24"/>
              </w:rPr>
              <w:t>3%</w:t>
            </w:r>
          </w:p>
        </w:tc>
        <w:tc>
          <w:tcPr>
            <w:tcW w:w="0" w:type="pct"/>
            <w:noWrap/>
            <w:hideMark/>
          </w:tcPr>
          <w:p w14:paraId="52BDD22B" w14:textId="00224D60" w:rsidR="00504E0F" w:rsidRPr="00490C53" w:rsidRDefault="00504E0F" w:rsidP="00504E0F">
            <w:pPr>
              <w:pStyle w:val="Tabletext"/>
              <w:jc w:val="right"/>
              <w:rPr>
                <w:rFonts w:cstheme="minorHAnsi"/>
                <w:szCs w:val="24"/>
                <w:lang w:eastAsia="en-GB"/>
              </w:rPr>
            </w:pPr>
            <w:r w:rsidRPr="00846F78">
              <w:rPr>
                <w:rFonts w:cstheme="minorHAnsi"/>
                <w:szCs w:val="24"/>
              </w:rPr>
              <w:t>4%</w:t>
            </w:r>
          </w:p>
        </w:tc>
      </w:tr>
      <w:tr w:rsidR="00504E0F" w:rsidRPr="00490C53" w14:paraId="2FD46FBD"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16CCA7C0" w14:textId="77777777" w:rsidR="00504E0F" w:rsidRPr="00490C53" w:rsidRDefault="00504E0F" w:rsidP="00504E0F">
            <w:pPr>
              <w:pStyle w:val="Tabletext"/>
              <w:rPr>
                <w:lang w:eastAsia="en-GB"/>
              </w:rPr>
            </w:pPr>
          </w:p>
        </w:tc>
        <w:tc>
          <w:tcPr>
            <w:tcW w:w="0" w:type="pct"/>
            <w:noWrap/>
            <w:vAlign w:val="center"/>
            <w:hideMark/>
          </w:tcPr>
          <w:p w14:paraId="444C29C5" w14:textId="77777777" w:rsidR="00504E0F" w:rsidRPr="00490C53" w:rsidRDefault="00504E0F" w:rsidP="00504E0F">
            <w:pPr>
              <w:pStyle w:val="Tabletext"/>
              <w:rPr>
                <w:lang w:eastAsia="en-GB"/>
              </w:rPr>
            </w:pPr>
            <w:r w:rsidRPr="00490C53">
              <w:rPr>
                <w:lang w:eastAsia="en-GB"/>
              </w:rPr>
              <w:t>5m to 25m</w:t>
            </w:r>
          </w:p>
        </w:tc>
        <w:tc>
          <w:tcPr>
            <w:tcW w:w="0" w:type="pct"/>
            <w:noWrap/>
            <w:hideMark/>
          </w:tcPr>
          <w:p w14:paraId="38EB4D2C" w14:textId="368C4E94"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35FC6C53" w14:textId="597B6730" w:rsidR="00504E0F" w:rsidRPr="00490C53" w:rsidRDefault="00504E0F" w:rsidP="00504E0F">
            <w:pPr>
              <w:pStyle w:val="Tabletext"/>
              <w:jc w:val="right"/>
              <w:rPr>
                <w:rFonts w:cstheme="minorHAnsi"/>
                <w:szCs w:val="24"/>
                <w:lang w:eastAsia="en-GB"/>
              </w:rPr>
            </w:pPr>
            <w:r w:rsidRPr="00846F78">
              <w:rPr>
                <w:rFonts w:cstheme="minorHAnsi"/>
                <w:szCs w:val="24"/>
              </w:rPr>
              <w:t>3%</w:t>
            </w:r>
          </w:p>
        </w:tc>
      </w:tr>
      <w:tr w:rsidR="00504E0F" w:rsidRPr="00490C53" w14:paraId="4982E9F1" w14:textId="77777777" w:rsidTr="00846F78">
        <w:tblPrEx>
          <w:tblCellMar>
            <w:left w:w="108" w:type="dxa"/>
            <w:right w:w="108" w:type="dxa"/>
          </w:tblCellMar>
        </w:tblPrEx>
        <w:trPr>
          <w:trHeight w:val="290"/>
        </w:trPr>
        <w:tc>
          <w:tcPr>
            <w:tcW w:w="0" w:type="pct"/>
            <w:noWrap/>
            <w:vAlign w:val="center"/>
          </w:tcPr>
          <w:p w14:paraId="03CF795C" w14:textId="77777777" w:rsidR="00504E0F" w:rsidRPr="00490C53" w:rsidRDefault="00504E0F" w:rsidP="00504E0F">
            <w:pPr>
              <w:pStyle w:val="Tabletext"/>
              <w:rPr>
                <w:lang w:eastAsia="en-GB"/>
              </w:rPr>
            </w:pPr>
          </w:p>
        </w:tc>
        <w:tc>
          <w:tcPr>
            <w:tcW w:w="0" w:type="pct"/>
            <w:noWrap/>
            <w:vAlign w:val="center"/>
            <w:hideMark/>
          </w:tcPr>
          <w:p w14:paraId="496F6DC7" w14:textId="77777777" w:rsidR="00504E0F" w:rsidRPr="00490C53" w:rsidRDefault="00504E0F" w:rsidP="00504E0F">
            <w:pPr>
              <w:pStyle w:val="Tabletext"/>
              <w:rPr>
                <w:lang w:eastAsia="en-GB"/>
              </w:rPr>
            </w:pPr>
            <w:r w:rsidRPr="00490C53">
              <w:rPr>
                <w:lang w:eastAsia="en-GB"/>
              </w:rPr>
              <w:t>25m to 50m</w:t>
            </w:r>
          </w:p>
        </w:tc>
        <w:tc>
          <w:tcPr>
            <w:tcW w:w="0" w:type="pct"/>
            <w:noWrap/>
            <w:hideMark/>
          </w:tcPr>
          <w:p w14:paraId="52D33D57" w14:textId="3FAF5C55"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0CE5087A" w14:textId="2212A668" w:rsidR="00504E0F" w:rsidRPr="00490C53" w:rsidRDefault="00504E0F" w:rsidP="00504E0F">
            <w:pPr>
              <w:pStyle w:val="Tabletext"/>
              <w:jc w:val="right"/>
              <w:rPr>
                <w:rFonts w:cstheme="minorHAnsi"/>
                <w:szCs w:val="24"/>
                <w:lang w:eastAsia="en-GB"/>
              </w:rPr>
            </w:pPr>
            <w:r w:rsidRPr="00846F78">
              <w:rPr>
                <w:rFonts w:cstheme="minorHAnsi"/>
                <w:szCs w:val="24"/>
              </w:rPr>
              <w:t>2%</w:t>
            </w:r>
          </w:p>
        </w:tc>
      </w:tr>
      <w:tr w:rsidR="00504E0F" w:rsidRPr="00490C53" w14:paraId="5C41D6EF"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3E55902D" w14:textId="77777777" w:rsidR="00504E0F" w:rsidRPr="00490C53" w:rsidRDefault="00504E0F" w:rsidP="00504E0F">
            <w:pPr>
              <w:pStyle w:val="Tabletext"/>
              <w:rPr>
                <w:lang w:eastAsia="en-GB"/>
              </w:rPr>
            </w:pPr>
          </w:p>
        </w:tc>
        <w:tc>
          <w:tcPr>
            <w:tcW w:w="0" w:type="pct"/>
            <w:noWrap/>
            <w:vAlign w:val="center"/>
            <w:hideMark/>
          </w:tcPr>
          <w:p w14:paraId="7388EF14" w14:textId="77777777" w:rsidR="00504E0F" w:rsidRPr="00490C53" w:rsidRDefault="00504E0F" w:rsidP="00504E0F">
            <w:pPr>
              <w:pStyle w:val="Tabletext"/>
              <w:rPr>
                <w:lang w:eastAsia="en-GB"/>
              </w:rPr>
            </w:pPr>
            <w:r w:rsidRPr="00490C53">
              <w:rPr>
                <w:lang w:eastAsia="en-GB"/>
              </w:rPr>
              <w:t>50m to 200m</w:t>
            </w:r>
          </w:p>
        </w:tc>
        <w:tc>
          <w:tcPr>
            <w:tcW w:w="0" w:type="pct"/>
            <w:noWrap/>
            <w:hideMark/>
          </w:tcPr>
          <w:p w14:paraId="6748BF36" w14:textId="4575F72E"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6CDC58A6" w14:textId="07348757"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688B0F0F" w14:textId="77777777" w:rsidTr="00846F78">
        <w:tblPrEx>
          <w:tblCellMar>
            <w:left w:w="108" w:type="dxa"/>
            <w:right w:w="108" w:type="dxa"/>
          </w:tblCellMar>
        </w:tblPrEx>
        <w:trPr>
          <w:trHeight w:val="290"/>
        </w:trPr>
        <w:tc>
          <w:tcPr>
            <w:tcW w:w="0" w:type="pct"/>
            <w:noWrap/>
            <w:vAlign w:val="center"/>
          </w:tcPr>
          <w:p w14:paraId="64DF67C3" w14:textId="77777777" w:rsidR="00504E0F" w:rsidRPr="00490C53" w:rsidRDefault="00504E0F" w:rsidP="00504E0F">
            <w:pPr>
              <w:pStyle w:val="Tabletext"/>
              <w:rPr>
                <w:lang w:eastAsia="en-GB"/>
              </w:rPr>
            </w:pPr>
          </w:p>
        </w:tc>
        <w:tc>
          <w:tcPr>
            <w:tcW w:w="0" w:type="pct"/>
            <w:noWrap/>
            <w:vAlign w:val="center"/>
            <w:hideMark/>
          </w:tcPr>
          <w:p w14:paraId="699C94FB" w14:textId="77777777" w:rsidR="00504E0F" w:rsidRPr="00490C53" w:rsidRDefault="00504E0F" w:rsidP="00504E0F">
            <w:pPr>
              <w:pStyle w:val="Tabletext"/>
              <w:rPr>
                <w:lang w:eastAsia="en-GB"/>
              </w:rPr>
            </w:pPr>
            <w:r w:rsidRPr="00490C53">
              <w:rPr>
                <w:lang w:eastAsia="en-GB"/>
              </w:rPr>
              <w:t>&gt;200m</w:t>
            </w:r>
          </w:p>
        </w:tc>
        <w:tc>
          <w:tcPr>
            <w:tcW w:w="0" w:type="pct"/>
            <w:noWrap/>
            <w:hideMark/>
          </w:tcPr>
          <w:p w14:paraId="370C45AA" w14:textId="5998726E"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6CD9547C" w14:textId="6FD64E7C"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467AA159"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39CD8F96" w14:textId="77777777" w:rsidR="00504E0F" w:rsidRPr="00490C53" w:rsidRDefault="00504E0F" w:rsidP="00504E0F">
            <w:pPr>
              <w:pStyle w:val="Tabletext"/>
              <w:rPr>
                <w:lang w:eastAsia="en-GB"/>
              </w:rPr>
            </w:pPr>
          </w:p>
        </w:tc>
        <w:tc>
          <w:tcPr>
            <w:tcW w:w="0" w:type="pct"/>
            <w:noWrap/>
            <w:vAlign w:val="center"/>
            <w:hideMark/>
          </w:tcPr>
          <w:p w14:paraId="1E0A3EDE" w14:textId="77777777" w:rsidR="00504E0F" w:rsidRPr="00490C53" w:rsidRDefault="00504E0F" w:rsidP="00504E0F">
            <w:pPr>
              <w:pStyle w:val="Tabletext"/>
              <w:rPr>
                <w:lang w:eastAsia="en-GB"/>
              </w:rPr>
            </w:pPr>
            <w:r w:rsidRPr="00490C53">
              <w:rPr>
                <w:lang w:eastAsia="en-GB"/>
              </w:rPr>
              <w:t>Weighted average</w:t>
            </w:r>
          </w:p>
        </w:tc>
        <w:tc>
          <w:tcPr>
            <w:tcW w:w="0" w:type="pct"/>
            <w:noWrap/>
            <w:hideMark/>
          </w:tcPr>
          <w:p w14:paraId="0A1A882B" w14:textId="455AC9F8" w:rsidR="00504E0F" w:rsidRPr="00490C53" w:rsidRDefault="00504E0F" w:rsidP="00504E0F">
            <w:pPr>
              <w:pStyle w:val="Tabletext"/>
              <w:jc w:val="right"/>
              <w:rPr>
                <w:rFonts w:cstheme="minorHAnsi"/>
                <w:szCs w:val="24"/>
                <w:lang w:eastAsia="en-GB"/>
              </w:rPr>
            </w:pPr>
            <w:r w:rsidRPr="00846F78">
              <w:rPr>
                <w:rFonts w:cstheme="minorHAnsi"/>
                <w:szCs w:val="24"/>
              </w:rPr>
              <w:t>6%</w:t>
            </w:r>
          </w:p>
        </w:tc>
        <w:tc>
          <w:tcPr>
            <w:tcW w:w="0" w:type="pct"/>
            <w:noWrap/>
            <w:hideMark/>
          </w:tcPr>
          <w:p w14:paraId="36E691F8" w14:textId="5EA94671" w:rsidR="00504E0F" w:rsidRPr="00490C53" w:rsidRDefault="00504E0F" w:rsidP="00504E0F">
            <w:pPr>
              <w:pStyle w:val="Tabletext"/>
              <w:jc w:val="right"/>
              <w:rPr>
                <w:rFonts w:cstheme="minorHAnsi"/>
                <w:szCs w:val="24"/>
                <w:lang w:eastAsia="en-GB"/>
              </w:rPr>
            </w:pPr>
            <w:r w:rsidRPr="00846F78">
              <w:rPr>
                <w:rFonts w:cstheme="minorHAnsi"/>
                <w:szCs w:val="24"/>
              </w:rPr>
              <w:t>5%</w:t>
            </w:r>
          </w:p>
        </w:tc>
      </w:tr>
      <w:tr w:rsidR="00504E0F" w:rsidRPr="00490C53" w14:paraId="553CE9CD" w14:textId="77777777" w:rsidTr="00846F78">
        <w:tblPrEx>
          <w:tblCellMar>
            <w:left w:w="108" w:type="dxa"/>
            <w:right w:w="108" w:type="dxa"/>
          </w:tblCellMar>
        </w:tblPrEx>
        <w:trPr>
          <w:trHeight w:val="290"/>
        </w:trPr>
        <w:tc>
          <w:tcPr>
            <w:tcW w:w="0" w:type="pct"/>
            <w:noWrap/>
            <w:vAlign w:val="center"/>
            <w:hideMark/>
          </w:tcPr>
          <w:p w14:paraId="698CAD65" w14:textId="77777777" w:rsidR="00504E0F" w:rsidRPr="00490C53" w:rsidRDefault="00504E0F" w:rsidP="00504E0F">
            <w:pPr>
              <w:pStyle w:val="Tabletext"/>
              <w:rPr>
                <w:lang w:eastAsia="en-GB"/>
              </w:rPr>
            </w:pPr>
            <w:r w:rsidRPr="00490C53">
              <w:rPr>
                <w:lang w:eastAsia="en-GB"/>
              </w:rPr>
              <w:t>Northern Ireland</w:t>
            </w:r>
          </w:p>
        </w:tc>
        <w:tc>
          <w:tcPr>
            <w:tcW w:w="0" w:type="pct"/>
            <w:noWrap/>
            <w:vAlign w:val="center"/>
            <w:hideMark/>
          </w:tcPr>
          <w:p w14:paraId="54E4E244" w14:textId="77777777" w:rsidR="00504E0F" w:rsidRPr="00490C53" w:rsidRDefault="00504E0F" w:rsidP="00504E0F">
            <w:pPr>
              <w:pStyle w:val="Tabletext"/>
              <w:rPr>
                <w:lang w:eastAsia="en-GB"/>
              </w:rPr>
            </w:pPr>
            <w:r w:rsidRPr="00490C53">
              <w:rPr>
                <w:lang w:eastAsia="en-GB"/>
              </w:rPr>
              <w:t>Less than 50K</w:t>
            </w:r>
          </w:p>
        </w:tc>
        <w:tc>
          <w:tcPr>
            <w:tcW w:w="0" w:type="pct"/>
            <w:noWrap/>
            <w:hideMark/>
          </w:tcPr>
          <w:p w14:paraId="6BC93E17" w14:textId="592759C1" w:rsidR="00504E0F" w:rsidRPr="00490C53" w:rsidRDefault="00504E0F" w:rsidP="00504E0F">
            <w:pPr>
              <w:pStyle w:val="Tabletext"/>
              <w:jc w:val="right"/>
              <w:rPr>
                <w:rFonts w:cstheme="minorHAnsi"/>
                <w:szCs w:val="24"/>
                <w:lang w:eastAsia="en-GB"/>
              </w:rPr>
            </w:pPr>
            <w:r w:rsidRPr="00846F78">
              <w:rPr>
                <w:rFonts w:cstheme="minorHAnsi"/>
                <w:szCs w:val="24"/>
              </w:rPr>
              <w:t>-3%</w:t>
            </w:r>
          </w:p>
        </w:tc>
        <w:tc>
          <w:tcPr>
            <w:tcW w:w="0" w:type="pct"/>
            <w:noWrap/>
            <w:hideMark/>
          </w:tcPr>
          <w:p w14:paraId="225FEE12" w14:textId="6B57002C" w:rsidR="00504E0F" w:rsidRPr="00490C53" w:rsidRDefault="00504E0F" w:rsidP="00504E0F">
            <w:pPr>
              <w:pStyle w:val="Tabletext"/>
              <w:jc w:val="right"/>
              <w:rPr>
                <w:rFonts w:cstheme="minorHAnsi"/>
                <w:szCs w:val="24"/>
                <w:lang w:eastAsia="en-GB"/>
              </w:rPr>
            </w:pPr>
            <w:r w:rsidRPr="00846F78">
              <w:rPr>
                <w:rFonts w:cstheme="minorHAnsi"/>
                <w:szCs w:val="24"/>
              </w:rPr>
              <w:t>-25%</w:t>
            </w:r>
          </w:p>
        </w:tc>
      </w:tr>
      <w:tr w:rsidR="00504E0F" w:rsidRPr="00490C53" w14:paraId="107EAB92"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1CE23F55" w14:textId="77777777" w:rsidR="00504E0F" w:rsidRPr="00490C53" w:rsidRDefault="00504E0F" w:rsidP="00504E0F">
            <w:pPr>
              <w:pStyle w:val="Tabletext"/>
              <w:rPr>
                <w:lang w:eastAsia="en-GB"/>
              </w:rPr>
            </w:pPr>
          </w:p>
        </w:tc>
        <w:tc>
          <w:tcPr>
            <w:tcW w:w="0" w:type="pct"/>
            <w:noWrap/>
            <w:vAlign w:val="center"/>
            <w:hideMark/>
          </w:tcPr>
          <w:p w14:paraId="2EA45BE6" w14:textId="77777777" w:rsidR="00504E0F" w:rsidRPr="00490C53" w:rsidRDefault="00504E0F" w:rsidP="00504E0F">
            <w:pPr>
              <w:pStyle w:val="Tabletext"/>
              <w:rPr>
                <w:lang w:eastAsia="en-GB"/>
              </w:rPr>
            </w:pPr>
            <w:r w:rsidRPr="00490C53">
              <w:rPr>
                <w:lang w:eastAsia="en-GB"/>
              </w:rPr>
              <w:t>50,001 to 100K</w:t>
            </w:r>
          </w:p>
        </w:tc>
        <w:tc>
          <w:tcPr>
            <w:tcW w:w="0" w:type="pct"/>
            <w:noWrap/>
            <w:hideMark/>
          </w:tcPr>
          <w:p w14:paraId="72664CFC" w14:textId="24072858" w:rsidR="00504E0F" w:rsidRPr="00490C53" w:rsidRDefault="00504E0F" w:rsidP="00504E0F">
            <w:pPr>
              <w:pStyle w:val="Tabletext"/>
              <w:jc w:val="right"/>
              <w:rPr>
                <w:rFonts w:cstheme="minorHAnsi"/>
                <w:szCs w:val="24"/>
                <w:lang w:eastAsia="en-GB"/>
              </w:rPr>
            </w:pPr>
            <w:r w:rsidRPr="00846F78">
              <w:rPr>
                <w:rFonts w:cstheme="minorHAnsi"/>
                <w:szCs w:val="24"/>
              </w:rPr>
              <w:t>10%</w:t>
            </w:r>
          </w:p>
        </w:tc>
        <w:tc>
          <w:tcPr>
            <w:tcW w:w="0" w:type="pct"/>
            <w:noWrap/>
            <w:hideMark/>
          </w:tcPr>
          <w:p w14:paraId="59A455DB" w14:textId="596DB980" w:rsidR="00504E0F" w:rsidRPr="00490C53" w:rsidRDefault="00504E0F" w:rsidP="00504E0F">
            <w:pPr>
              <w:pStyle w:val="Tabletext"/>
              <w:jc w:val="right"/>
              <w:rPr>
                <w:rFonts w:cstheme="minorHAnsi"/>
                <w:szCs w:val="24"/>
                <w:lang w:eastAsia="en-GB"/>
              </w:rPr>
            </w:pPr>
            <w:r w:rsidRPr="00846F78">
              <w:rPr>
                <w:rFonts w:cstheme="minorHAnsi"/>
                <w:szCs w:val="24"/>
              </w:rPr>
              <w:t>20%</w:t>
            </w:r>
          </w:p>
        </w:tc>
      </w:tr>
      <w:tr w:rsidR="00504E0F" w:rsidRPr="00490C53" w14:paraId="0B1F9084" w14:textId="77777777" w:rsidTr="00846F78">
        <w:tblPrEx>
          <w:tblCellMar>
            <w:left w:w="108" w:type="dxa"/>
            <w:right w:w="108" w:type="dxa"/>
          </w:tblCellMar>
        </w:tblPrEx>
        <w:trPr>
          <w:trHeight w:val="290"/>
        </w:trPr>
        <w:tc>
          <w:tcPr>
            <w:tcW w:w="0" w:type="pct"/>
            <w:noWrap/>
            <w:vAlign w:val="center"/>
          </w:tcPr>
          <w:p w14:paraId="6688C0ED" w14:textId="77777777" w:rsidR="00504E0F" w:rsidRPr="00490C53" w:rsidRDefault="00504E0F" w:rsidP="00504E0F">
            <w:pPr>
              <w:pStyle w:val="Tabletext"/>
              <w:rPr>
                <w:lang w:eastAsia="en-GB"/>
              </w:rPr>
            </w:pPr>
          </w:p>
        </w:tc>
        <w:tc>
          <w:tcPr>
            <w:tcW w:w="0" w:type="pct"/>
            <w:noWrap/>
            <w:vAlign w:val="center"/>
            <w:hideMark/>
          </w:tcPr>
          <w:p w14:paraId="275E297A" w14:textId="77777777" w:rsidR="00504E0F" w:rsidRPr="00490C53" w:rsidRDefault="00504E0F" w:rsidP="00504E0F">
            <w:pPr>
              <w:pStyle w:val="Tabletext"/>
              <w:rPr>
                <w:lang w:eastAsia="en-GB"/>
              </w:rPr>
            </w:pPr>
            <w:r w:rsidRPr="00490C53">
              <w:rPr>
                <w:lang w:eastAsia="en-GB"/>
              </w:rPr>
              <w:t>100,001 to 250K</w:t>
            </w:r>
          </w:p>
        </w:tc>
        <w:tc>
          <w:tcPr>
            <w:tcW w:w="0" w:type="pct"/>
            <w:noWrap/>
            <w:hideMark/>
          </w:tcPr>
          <w:p w14:paraId="6269FDF1" w14:textId="3809E74F"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173FF17A" w14:textId="77FE14E2" w:rsidR="00504E0F" w:rsidRPr="00490C53" w:rsidRDefault="00504E0F" w:rsidP="00504E0F">
            <w:pPr>
              <w:pStyle w:val="Tabletext"/>
              <w:jc w:val="right"/>
              <w:rPr>
                <w:rFonts w:cstheme="minorHAnsi"/>
                <w:szCs w:val="24"/>
                <w:lang w:eastAsia="en-GB"/>
              </w:rPr>
            </w:pPr>
            <w:r w:rsidRPr="00846F78">
              <w:rPr>
                <w:rFonts w:cstheme="minorHAnsi"/>
                <w:szCs w:val="24"/>
              </w:rPr>
              <w:t>9%</w:t>
            </w:r>
          </w:p>
        </w:tc>
      </w:tr>
      <w:tr w:rsidR="00504E0F" w:rsidRPr="00490C53" w14:paraId="39D0553A"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54F7DE76" w14:textId="77777777" w:rsidR="00504E0F" w:rsidRPr="00490C53" w:rsidRDefault="00504E0F" w:rsidP="00504E0F">
            <w:pPr>
              <w:pStyle w:val="Tabletext"/>
              <w:rPr>
                <w:lang w:eastAsia="en-GB"/>
              </w:rPr>
            </w:pPr>
          </w:p>
        </w:tc>
        <w:tc>
          <w:tcPr>
            <w:tcW w:w="0" w:type="pct"/>
            <w:noWrap/>
            <w:vAlign w:val="center"/>
            <w:hideMark/>
          </w:tcPr>
          <w:p w14:paraId="441E2BC9" w14:textId="77777777" w:rsidR="00504E0F" w:rsidRPr="00490C53" w:rsidRDefault="00504E0F" w:rsidP="00504E0F">
            <w:pPr>
              <w:pStyle w:val="Tabletext"/>
              <w:rPr>
                <w:lang w:eastAsia="en-GB"/>
              </w:rPr>
            </w:pPr>
            <w:r w:rsidRPr="00490C53">
              <w:rPr>
                <w:lang w:eastAsia="en-GB"/>
              </w:rPr>
              <w:t>250,001 to 500K</w:t>
            </w:r>
          </w:p>
        </w:tc>
        <w:tc>
          <w:tcPr>
            <w:tcW w:w="0" w:type="pct"/>
            <w:noWrap/>
            <w:hideMark/>
          </w:tcPr>
          <w:p w14:paraId="54828C78" w14:textId="4237F516" w:rsidR="00504E0F" w:rsidRPr="00490C53" w:rsidRDefault="00504E0F" w:rsidP="00504E0F">
            <w:pPr>
              <w:pStyle w:val="Tabletext"/>
              <w:jc w:val="right"/>
              <w:rPr>
                <w:rFonts w:cstheme="minorHAnsi"/>
                <w:szCs w:val="24"/>
                <w:lang w:eastAsia="en-GB"/>
              </w:rPr>
            </w:pPr>
            <w:r w:rsidRPr="00846F78">
              <w:rPr>
                <w:rFonts w:cstheme="minorHAnsi"/>
                <w:szCs w:val="24"/>
              </w:rPr>
              <w:t>2%</w:t>
            </w:r>
          </w:p>
        </w:tc>
        <w:tc>
          <w:tcPr>
            <w:tcW w:w="0" w:type="pct"/>
            <w:noWrap/>
            <w:hideMark/>
          </w:tcPr>
          <w:p w14:paraId="2F53B841" w14:textId="2882AE6E" w:rsidR="00504E0F" w:rsidRPr="00490C53" w:rsidRDefault="00504E0F" w:rsidP="00504E0F">
            <w:pPr>
              <w:pStyle w:val="Tabletext"/>
              <w:jc w:val="right"/>
              <w:rPr>
                <w:rFonts w:cstheme="minorHAnsi"/>
                <w:szCs w:val="24"/>
                <w:lang w:eastAsia="en-GB"/>
              </w:rPr>
            </w:pPr>
            <w:r w:rsidRPr="00846F78">
              <w:rPr>
                <w:rFonts w:cstheme="minorHAnsi"/>
                <w:szCs w:val="24"/>
              </w:rPr>
              <w:t>5%</w:t>
            </w:r>
          </w:p>
        </w:tc>
      </w:tr>
      <w:tr w:rsidR="00504E0F" w:rsidRPr="00490C53" w14:paraId="2E34DA24" w14:textId="77777777" w:rsidTr="00846F78">
        <w:tblPrEx>
          <w:tblCellMar>
            <w:left w:w="108" w:type="dxa"/>
            <w:right w:w="108" w:type="dxa"/>
          </w:tblCellMar>
        </w:tblPrEx>
        <w:trPr>
          <w:trHeight w:val="290"/>
        </w:trPr>
        <w:tc>
          <w:tcPr>
            <w:tcW w:w="0" w:type="pct"/>
            <w:noWrap/>
            <w:vAlign w:val="center"/>
          </w:tcPr>
          <w:p w14:paraId="08627415" w14:textId="77777777" w:rsidR="00504E0F" w:rsidRPr="00490C53" w:rsidRDefault="00504E0F" w:rsidP="00504E0F">
            <w:pPr>
              <w:pStyle w:val="Tabletext"/>
              <w:rPr>
                <w:lang w:eastAsia="en-GB"/>
              </w:rPr>
            </w:pPr>
          </w:p>
        </w:tc>
        <w:tc>
          <w:tcPr>
            <w:tcW w:w="0" w:type="pct"/>
            <w:noWrap/>
            <w:vAlign w:val="center"/>
            <w:hideMark/>
          </w:tcPr>
          <w:p w14:paraId="440BED38" w14:textId="77777777" w:rsidR="00504E0F" w:rsidRPr="00490C53" w:rsidRDefault="00504E0F" w:rsidP="00504E0F">
            <w:pPr>
              <w:pStyle w:val="Tabletext"/>
              <w:rPr>
                <w:lang w:eastAsia="en-GB"/>
              </w:rPr>
            </w:pPr>
            <w:r w:rsidRPr="00490C53">
              <w:rPr>
                <w:lang w:eastAsia="en-GB"/>
              </w:rPr>
              <w:t>500,001 to 1m</w:t>
            </w:r>
          </w:p>
        </w:tc>
        <w:tc>
          <w:tcPr>
            <w:tcW w:w="0" w:type="pct"/>
            <w:noWrap/>
            <w:hideMark/>
          </w:tcPr>
          <w:p w14:paraId="189861E6" w14:textId="6D221904" w:rsidR="00504E0F" w:rsidRPr="00490C53" w:rsidRDefault="00504E0F" w:rsidP="00504E0F">
            <w:pPr>
              <w:pStyle w:val="Tabletext"/>
              <w:jc w:val="right"/>
              <w:rPr>
                <w:rFonts w:cstheme="minorHAnsi"/>
                <w:szCs w:val="24"/>
                <w:lang w:eastAsia="en-GB"/>
              </w:rPr>
            </w:pPr>
            <w:r w:rsidRPr="00846F78">
              <w:rPr>
                <w:rFonts w:cstheme="minorHAnsi"/>
                <w:szCs w:val="24"/>
              </w:rPr>
              <w:t>8%</w:t>
            </w:r>
          </w:p>
        </w:tc>
        <w:tc>
          <w:tcPr>
            <w:tcW w:w="0" w:type="pct"/>
            <w:noWrap/>
            <w:hideMark/>
          </w:tcPr>
          <w:p w14:paraId="28F08541" w14:textId="68D5BC69" w:rsidR="00504E0F" w:rsidRPr="00490C53" w:rsidRDefault="00504E0F" w:rsidP="00504E0F">
            <w:pPr>
              <w:pStyle w:val="Tabletext"/>
              <w:jc w:val="right"/>
              <w:rPr>
                <w:rFonts w:cstheme="minorHAnsi"/>
                <w:szCs w:val="24"/>
                <w:lang w:eastAsia="en-GB"/>
              </w:rPr>
            </w:pPr>
            <w:r w:rsidRPr="00846F78">
              <w:rPr>
                <w:rFonts w:cstheme="minorHAnsi"/>
                <w:szCs w:val="24"/>
              </w:rPr>
              <w:t>3%</w:t>
            </w:r>
          </w:p>
        </w:tc>
      </w:tr>
      <w:tr w:rsidR="00504E0F" w:rsidRPr="00490C53" w14:paraId="6D986D43"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3CA17484" w14:textId="77777777" w:rsidR="00504E0F" w:rsidRPr="00490C53" w:rsidRDefault="00504E0F" w:rsidP="00504E0F">
            <w:pPr>
              <w:pStyle w:val="Tabletext"/>
              <w:rPr>
                <w:lang w:eastAsia="en-GB"/>
              </w:rPr>
            </w:pPr>
          </w:p>
        </w:tc>
        <w:tc>
          <w:tcPr>
            <w:tcW w:w="0" w:type="pct"/>
            <w:noWrap/>
            <w:vAlign w:val="center"/>
            <w:hideMark/>
          </w:tcPr>
          <w:p w14:paraId="18FFB2D7" w14:textId="77777777" w:rsidR="00504E0F" w:rsidRPr="00490C53" w:rsidRDefault="00504E0F" w:rsidP="00504E0F">
            <w:pPr>
              <w:pStyle w:val="Tabletext"/>
              <w:rPr>
                <w:lang w:eastAsia="en-GB"/>
              </w:rPr>
            </w:pPr>
            <w:r w:rsidRPr="00490C53">
              <w:rPr>
                <w:lang w:eastAsia="en-GB"/>
              </w:rPr>
              <w:t>1m to 5m</w:t>
            </w:r>
          </w:p>
        </w:tc>
        <w:tc>
          <w:tcPr>
            <w:tcW w:w="0" w:type="pct"/>
            <w:noWrap/>
            <w:hideMark/>
          </w:tcPr>
          <w:p w14:paraId="247C8F24" w14:textId="74B14FAD" w:rsidR="00504E0F" w:rsidRPr="00490C53" w:rsidRDefault="00504E0F" w:rsidP="00504E0F">
            <w:pPr>
              <w:pStyle w:val="Tabletext"/>
              <w:jc w:val="right"/>
              <w:rPr>
                <w:rFonts w:cstheme="minorHAnsi"/>
                <w:szCs w:val="24"/>
                <w:lang w:eastAsia="en-GB"/>
              </w:rPr>
            </w:pPr>
            <w:r w:rsidRPr="00846F78">
              <w:rPr>
                <w:rFonts w:cstheme="minorHAnsi"/>
                <w:szCs w:val="24"/>
              </w:rPr>
              <w:t>2%</w:t>
            </w:r>
          </w:p>
        </w:tc>
        <w:tc>
          <w:tcPr>
            <w:tcW w:w="0" w:type="pct"/>
            <w:noWrap/>
            <w:hideMark/>
          </w:tcPr>
          <w:p w14:paraId="598C11EC" w14:textId="18067065" w:rsidR="00504E0F" w:rsidRPr="00490C53" w:rsidRDefault="00504E0F" w:rsidP="00504E0F">
            <w:pPr>
              <w:pStyle w:val="Tabletext"/>
              <w:jc w:val="right"/>
              <w:rPr>
                <w:rFonts w:cstheme="minorHAnsi"/>
                <w:szCs w:val="24"/>
                <w:lang w:eastAsia="en-GB"/>
              </w:rPr>
            </w:pPr>
            <w:r w:rsidRPr="00846F78">
              <w:rPr>
                <w:rFonts w:cstheme="minorHAnsi"/>
                <w:szCs w:val="24"/>
              </w:rPr>
              <w:t>1%</w:t>
            </w:r>
          </w:p>
        </w:tc>
      </w:tr>
      <w:tr w:rsidR="00504E0F" w:rsidRPr="00490C53" w14:paraId="4125F6A6" w14:textId="77777777" w:rsidTr="00846F78">
        <w:tblPrEx>
          <w:tblCellMar>
            <w:left w:w="108" w:type="dxa"/>
            <w:right w:w="108" w:type="dxa"/>
          </w:tblCellMar>
        </w:tblPrEx>
        <w:trPr>
          <w:trHeight w:val="290"/>
        </w:trPr>
        <w:tc>
          <w:tcPr>
            <w:tcW w:w="0" w:type="pct"/>
            <w:noWrap/>
            <w:vAlign w:val="center"/>
          </w:tcPr>
          <w:p w14:paraId="0BA49E13" w14:textId="77777777" w:rsidR="00504E0F" w:rsidRPr="00490C53" w:rsidRDefault="00504E0F" w:rsidP="00504E0F">
            <w:pPr>
              <w:pStyle w:val="Tabletext"/>
              <w:rPr>
                <w:lang w:eastAsia="en-GB"/>
              </w:rPr>
            </w:pPr>
          </w:p>
        </w:tc>
        <w:tc>
          <w:tcPr>
            <w:tcW w:w="0" w:type="pct"/>
            <w:noWrap/>
            <w:vAlign w:val="center"/>
            <w:hideMark/>
          </w:tcPr>
          <w:p w14:paraId="455106C2" w14:textId="77777777" w:rsidR="00504E0F" w:rsidRPr="00490C53" w:rsidRDefault="00504E0F" w:rsidP="00504E0F">
            <w:pPr>
              <w:pStyle w:val="Tabletext"/>
              <w:rPr>
                <w:lang w:eastAsia="en-GB"/>
              </w:rPr>
            </w:pPr>
            <w:r w:rsidRPr="00490C53">
              <w:rPr>
                <w:lang w:eastAsia="en-GB"/>
              </w:rPr>
              <w:t>5m to 25m</w:t>
            </w:r>
          </w:p>
        </w:tc>
        <w:tc>
          <w:tcPr>
            <w:tcW w:w="0" w:type="pct"/>
            <w:noWrap/>
            <w:hideMark/>
          </w:tcPr>
          <w:p w14:paraId="507D21BC" w14:textId="514A8D64"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6B83FA4B" w14:textId="457AFCBB" w:rsidR="00504E0F" w:rsidRPr="00490C53" w:rsidRDefault="00504E0F" w:rsidP="00504E0F">
            <w:pPr>
              <w:pStyle w:val="Tabletext"/>
              <w:jc w:val="right"/>
              <w:rPr>
                <w:rFonts w:cstheme="minorHAnsi"/>
                <w:szCs w:val="24"/>
                <w:lang w:eastAsia="en-GB"/>
              </w:rPr>
            </w:pPr>
            <w:r w:rsidRPr="00846F78">
              <w:rPr>
                <w:rFonts w:cstheme="minorHAnsi"/>
                <w:szCs w:val="24"/>
              </w:rPr>
              <w:t>2%</w:t>
            </w:r>
          </w:p>
        </w:tc>
      </w:tr>
      <w:tr w:rsidR="00504E0F" w:rsidRPr="00490C53" w14:paraId="37E23470"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68740B41" w14:textId="77777777" w:rsidR="00504E0F" w:rsidRPr="00490C53" w:rsidRDefault="00504E0F" w:rsidP="00504E0F">
            <w:pPr>
              <w:pStyle w:val="Tabletext"/>
              <w:rPr>
                <w:lang w:eastAsia="en-GB"/>
              </w:rPr>
            </w:pPr>
          </w:p>
        </w:tc>
        <w:tc>
          <w:tcPr>
            <w:tcW w:w="0" w:type="pct"/>
            <w:noWrap/>
            <w:vAlign w:val="center"/>
            <w:hideMark/>
          </w:tcPr>
          <w:p w14:paraId="46E0AB5B" w14:textId="77777777" w:rsidR="00504E0F" w:rsidRPr="00490C53" w:rsidRDefault="00504E0F" w:rsidP="00504E0F">
            <w:pPr>
              <w:pStyle w:val="Tabletext"/>
              <w:rPr>
                <w:lang w:eastAsia="en-GB"/>
              </w:rPr>
            </w:pPr>
            <w:r w:rsidRPr="00490C53">
              <w:rPr>
                <w:lang w:eastAsia="en-GB"/>
              </w:rPr>
              <w:t>25m to 50m</w:t>
            </w:r>
          </w:p>
        </w:tc>
        <w:tc>
          <w:tcPr>
            <w:tcW w:w="0" w:type="pct"/>
            <w:noWrap/>
            <w:hideMark/>
          </w:tcPr>
          <w:p w14:paraId="341AADBB" w14:textId="341F24BF"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7E87B972" w14:textId="673242AE"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4AFB601F" w14:textId="77777777" w:rsidTr="00846F78">
        <w:tblPrEx>
          <w:tblCellMar>
            <w:left w:w="108" w:type="dxa"/>
            <w:right w:w="108" w:type="dxa"/>
          </w:tblCellMar>
        </w:tblPrEx>
        <w:trPr>
          <w:trHeight w:val="290"/>
        </w:trPr>
        <w:tc>
          <w:tcPr>
            <w:tcW w:w="0" w:type="pct"/>
            <w:noWrap/>
            <w:vAlign w:val="center"/>
          </w:tcPr>
          <w:p w14:paraId="7C02876C" w14:textId="77777777" w:rsidR="00504E0F" w:rsidRPr="00490C53" w:rsidRDefault="00504E0F" w:rsidP="00504E0F">
            <w:pPr>
              <w:pStyle w:val="Tabletext"/>
              <w:rPr>
                <w:lang w:eastAsia="en-GB"/>
              </w:rPr>
            </w:pPr>
          </w:p>
        </w:tc>
        <w:tc>
          <w:tcPr>
            <w:tcW w:w="0" w:type="pct"/>
            <w:noWrap/>
            <w:vAlign w:val="center"/>
            <w:hideMark/>
          </w:tcPr>
          <w:p w14:paraId="0812392B" w14:textId="77777777" w:rsidR="00504E0F" w:rsidRPr="00490C53" w:rsidRDefault="00504E0F" w:rsidP="00504E0F">
            <w:pPr>
              <w:pStyle w:val="Tabletext"/>
              <w:rPr>
                <w:lang w:eastAsia="en-GB"/>
              </w:rPr>
            </w:pPr>
            <w:r w:rsidRPr="00490C53">
              <w:rPr>
                <w:lang w:eastAsia="en-GB"/>
              </w:rPr>
              <w:t>50m to 200m</w:t>
            </w:r>
          </w:p>
        </w:tc>
        <w:tc>
          <w:tcPr>
            <w:tcW w:w="0" w:type="pct"/>
            <w:noWrap/>
            <w:hideMark/>
          </w:tcPr>
          <w:p w14:paraId="3E27CEB5" w14:textId="29D1910C"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1831D66A" w14:textId="1EC74CF1"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3BB41C25"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28A36745" w14:textId="77777777" w:rsidR="00504E0F" w:rsidRPr="00490C53" w:rsidRDefault="00504E0F" w:rsidP="00504E0F">
            <w:pPr>
              <w:pStyle w:val="Tabletext"/>
              <w:rPr>
                <w:lang w:eastAsia="en-GB"/>
              </w:rPr>
            </w:pPr>
          </w:p>
        </w:tc>
        <w:tc>
          <w:tcPr>
            <w:tcW w:w="0" w:type="pct"/>
            <w:noWrap/>
            <w:vAlign w:val="center"/>
            <w:hideMark/>
          </w:tcPr>
          <w:p w14:paraId="1FBD8C06" w14:textId="77777777" w:rsidR="00504E0F" w:rsidRPr="00490C53" w:rsidRDefault="00504E0F" w:rsidP="00504E0F">
            <w:pPr>
              <w:pStyle w:val="Tabletext"/>
              <w:rPr>
                <w:lang w:eastAsia="en-GB"/>
              </w:rPr>
            </w:pPr>
            <w:r w:rsidRPr="00490C53">
              <w:rPr>
                <w:lang w:eastAsia="en-GB"/>
              </w:rPr>
              <w:t>&gt;200m</w:t>
            </w:r>
          </w:p>
        </w:tc>
        <w:tc>
          <w:tcPr>
            <w:tcW w:w="0" w:type="pct"/>
            <w:noWrap/>
            <w:hideMark/>
          </w:tcPr>
          <w:p w14:paraId="45B1805F" w14:textId="67B65525"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45968D36" w14:textId="5EDF6B00" w:rsidR="00504E0F" w:rsidRPr="00490C53" w:rsidRDefault="00504E0F" w:rsidP="00504E0F">
            <w:pPr>
              <w:pStyle w:val="Tabletext"/>
              <w:jc w:val="right"/>
              <w:rPr>
                <w:rFonts w:cstheme="minorHAnsi"/>
                <w:szCs w:val="24"/>
                <w:lang w:eastAsia="en-GB"/>
              </w:rPr>
            </w:pPr>
            <w:r w:rsidRPr="00846F78">
              <w:rPr>
                <w:rFonts w:cstheme="minorHAnsi"/>
                <w:szCs w:val="24"/>
              </w:rPr>
              <w:t> </w:t>
            </w:r>
          </w:p>
        </w:tc>
      </w:tr>
      <w:tr w:rsidR="00504E0F" w:rsidRPr="00490C53" w14:paraId="7E8F4430" w14:textId="77777777" w:rsidTr="00846F78">
        <w:tblPrEx>
          <w:tblCellMar>
            <w:left w:w="108" w:type="dxa"/>
            <w:right w:w="108" w:type="dxa"/>
          </w:tblCellMar>
        </w:tblPrEx>
        <w:trPr>
          <w:trHeight w:val="290"/>
        </w:trPr>
        <w:tc>
          <w:tcPr>
            <w:tcW w:w="0" w:type="pct"/>
            <w:noWrap/>
            <w:vAlign w:val="center"/>
          </w:tcPr>
          <w:p w14:paraId="07A894E1" w14:textId="77777777" w:rsidR="00504E0F" w:rsidRPr="00490C53" w:rsidRDefault="00504E0F" w:rsidP="00504E0F">
            <w:pPr>
              <w:pStyle w:val="Tabletext"/>
              <w:rPr>
                <w:lang w:eastAsia="en-GB"/>
              </w:rPr>
            </w:pPr>
          </w:p>
        </w:tc>
        <w:tc>
          <w:tcPr>
            <w:tcW w:w="0" w:type="pct"/>
            <w:noWrap/>
            <w:vAlign w:val="center"/>
            <w:hideMark/>
          </w:tcPr>
          <w:p w14:paraId="6964429E" w14:textId="77777777" w:rsidR="00504E0F" w:rsidRPr="00490C53" w:rsidRDefault="00504E0F" w:rsidP="00504E0F">
            <w:pPr>
              <w:pStyle w:val="Tabletext"/>
              <w:rPr>
                <w:lang w:eastAsia="en-GB"/>
              </w:rPr>
            </w:pPr>
            <w:r w:rsidRPr="00490C53">
              <w:rPr>
                <w:lang w:eastAsia="en-GB"/>
              </w:rPr>
              <w:t>Weighted average</w:t>
            </w:r>
          </w:p>
        </w:tc>
        <w:tc>
          <w:tcPr>
            <w:tcW w:w="0" w:type="pct"/>
            <w:noWrap/>
            <w:hideMark/>
          </w:tcPr>
          <w:p w14:paraId="465CA128" w14:textId="249C4813"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6A9F5BBD" w14:textId="208B2753" w:rsidR="00504E0F" w:rsidRPr="00490C53" w:rsidRDefault="00504E0F" w:rsidP="00504E0F">
            <w:pPr>
              <w:pStyle w:val="Tabletext"/>
              <w:jc w:val="right"/>
              <w:rPr>
                <w:rFonts w:cstheme="minorHAnsi"/>
                <w:szCs w:val="24"/>
                <w:lang w:eastAsia="en-GB"/>
              </w:rPr>
            </w:pPr>
            <w:r w:rsidRPr="00846F78">
              <w:rPr>
                <w:rFonts w:cstheme="minorHAnsi"/>
                <w:szCs w:val="24"/>
              </w:rPr>
              <w:t>2%</w:t>
            </w:r>
          </w:p>
        </w:tc>
      </w:tr>
      <w:tr w:rsidR="00504E0F" w:rsidRPr="00490C53" w14:paraId="7D96FC0E"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hideMark/>
          </w:tcPr>
          <w:p w14:paraId="5937E02B" w14:textId="77777777" w:rsidR="00504E0F" w:rsidRPr="00490C53" w:rsidRDefault="00504E0F" w:rsidP="00504E0F">
            <w:pPr>
              <w:pStyle w:val="Tabletext"/>
              <w:rPr>
                <w:lang w:eastAsia="en-GB"/>
              </w:rPr>
            </w:pPr>
            <w:r w:rsidRPr="00490C53">
              <w:rPr>
                <w:lang w:eastAsia="en-GB"/>
              </w:rPr>
              <w:t>Scotland</w:t>
            </w:r>
          </w:p>
        </w:tc>
        <w:tc>
          <w:tcPr>
            <w:tcW w:w="0" w:type="pct"/>
            <w:noWrap/>
            <w:vAlign w:val="center"/>
            <w:hideMark/>
          </w:tcPr>
          <w:p w14:paraId="4F9FBFD7" w14:textId="77777777" w:rsidR="00504E0F" w:rsidRPr="00490C53" w:rsidRDefault="00504E0F" w:rsidP="00504E0F">
            <w:pPr>
              <w:pStyle w:val="Tabletext"/>
              <w:rPr>
                <w:lang w:eastAsia="en-GB"/>
              </w:rPr>
            </w:pPr>
            <w:r w:rsidRPr="00490C53">
              <w:rPr>
                <w:lang w:eastAsia="en-GB"/>
              </w:rPr>
              <w:t>Less than 50K</w:t>
            </w:r>
          </w:p>
        </w:tc>
        <w:tc>
          <w:tcPr>
            <w:tcW w:w="0" w:type="pct"/>
            <w:noWrap/>
            <w:hideMark/>
          </w:tcPr>
          <w:p w14:paraId="3E8F7C5D" w14:textId="1BDD9FEE" w:rsidR="00504E0F" w:rsidRPr="00490C53" w:rsidRDefault="00504E0F" w:rsidP="00504E0F">
            <w:pPr>
              <w:pStyle w:val="Tabletext"/>
              <w:jc w:val="right"/>
              <w:rPr>
                <w:rFonts w:cstheme="minorHAnsi"/>
                <w:szCs w:val="24"/>
                <w:lang w:eastAsia="en-GB"/>
              </w:rPr>
            </w:pPr>
            <w:r w:rsidRPr="00846F78">
              <w:rPr>
                <w:rFonts w:cstheme="minorHAnsi"/>
                <w:szCs w:val="24"/>
              </w:rPr>
              <w:t>5%</w:t>
            </w:r>
          </w:p>
        </w:tc>
        <w:tc>
          <w:tcPr>
            <w:tcW w:w="0" w:type="pct"/>
            <w:noWrap/>
            <w:hideMark/>
          </w:tcPr>
          <w:p w14:paraId="21A2CCC9" w14:textId="13036B74" w:rsidR="00504E0F" w:rsidRPr="00490C53" w:rsidRDefault="00504E0F" w:rsidP="00504E0F">
            <w:pPr>
              <w:pStyle w:val="Tabletext"/>
              <w:jc w:val="right"/>
              <w:rPr>
                <w:rFonts w:cstheme="minorHAnsi"/>
                <w:szCs w:val="24"/>
                <w:lang w:eastAsia="en-GB"/>
              </w:rPr>
            </w:pPr>
            <w:r w:rsidRPr="00846F78">
              <w:rPr>
                <w:rFonts w:cstheme="minorHAnsi"/>
                <w:szCs w:val="24"/>
              </w:rPr>
              <w:t>-16%</w:t>
            </w:r>
          </w:p>
        </w:tc>
      </w:tr>
      <w:tr w:rsidR="00504E0F" w:rsidRPr="00490C53" w14:paraId="0627A2DA" w14:textId="77777777" w:rsidTr="00846F78">
        <w:tblPrEx>
          <w:tblCellMar>
            <w:left w:w="108" w:type="dxa"/>
            <w:right w:w="108" w:type="dxa"/>
          </w:tblCellMar>
        </w:tblPrEx>
        <w:trPr>
          <w:trHeight w:val="290"/>
        </w:trPr>
        <w:tc>
          <w:tcPr>
            <w:tcW w:w="0" w:type="pct"/>
            <w:noWrap/>
            <w:vAlign w:val="center"/>
          </w:tcPr>
          <w:p w14:paraId="24509867" w14:textId="77777777" w:rsidR="00504E0F" w:rsidRPr="00490C53" w:rsidRDefault="00504E0F" w:rsidP="00504E0F">
            <w:pPr>
              <w:pStyle w:val="Tabletext"/>
              <w:rPr>
                <w:lang w:eastAsia="en-GB"/>
              </w:rPr>
            </w:pPr>
          </w:p>
        </w:tc>
        <w:tc>
          <w:tcPr>
            <w:tcW w:w="0" w:type="pct"/>
            <w:noWrap/>
            <w:vAlign w:val="center"/>
            <w:hideMark/>
          </w:tcPr>
          <w:p w14:paraId="42F36FE0" w14:textId="77777777" w:rsidR="00504E0F" w:rsidRPr="00490C53" w:rsidRDefault="00504E0F" w:rsidP="00504E0F">
            <w:pPr>
              <w:pStyle w:val="Tabletext"/>
              <w:rPr>
                <w:lang w:eastAsia="en-GB"/>
              </w:rPr>
            </w:pPr>
            <w:r w:rsidRPr="00490C53">
              <w:rPr>
                <w:lang w:eastAsia="en-GB"/>
              </w:rPr>
              <w:t>50,001 to 100K</w:t>
            </w:r>
          </w:p>
        </w:tc>
        <w:tc>
          <w:tcPr>
            <w:tcW w:w="0" w:type="pct"/>
            <w:noWrap/>
            <w:hideMark/>
          </w:tcPr>
          <w:p w14:paraId="1017B0A8" w14:textId="4DD51C3E"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77E0CD0F" w14:textId="35AD19C3" w:rsidR="00504E0F" w:rsidRPr="00490C53" w:rsidRDefault="00504E0F" w:rsidP="00504E0F">
            <w:pPr>
              <w:pStyle w:val="Tabletext"/>
              <w:jc w:val="right"/>
              <w:rPr>
                <w:rFonts w:cstheme="minorHAnsi"/>
                <w:szCs w:val="24"/>
                <w:lang w:eastAsia="en-GB"/>
              </w:rPr>
            </w:pPr>
            <w:r w:rsidRPr="00846F78">
              <w:rPr>
                <w:rFonts w:cstheme="minorHAnsi"/>
                <w:szCs w:val="24"/>
              </w:rPr>
              <w:t>8%</w:t>
            </w:r>
          </w:p>
        </w:tc>
      </w:tr>
      <w:tr w:rsidR="00504E0F" w:rsidRPr="00490C53" w14:paraId="58007DD6"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399F35F9" w14:textId="77777777" w:rsidR="00504E0F" w:rsidRPr="00490C53" w:rsidRDefault="00504E0F" w:rsidP="00504E0F">
            <w:pPr>
              <w:pStyle w:val="Tabletext"/>
              <w:rPr>
                <w:lang w:eastAsia="en-GB"/>
              </w:rPr>
            </w:pPr>
          </w:p>
        </w:tc>
        <w:tc>
          <w:tcPr>
            <w:tcW w:w="0" w:type="pct"/>
            <w:noWrap/>
            <w:vAlign w:val="center"/>
            <w:hideMark/>
          </w:tcPr>
          <w:p w14:paraId="2BE674D0" w14:textId="77777777" w:rsidR="00504E0F" w:rsidRPr="00490C53" w:rsidRDefault="00504E0F" w:rsidP="00504E0F">
            <w:pPr>
              <w:pStyle w:val="Tabletext"/>
              <w:rPr>
                <w:lang w:eastAsia="en-GB"/>
              </w:rPr>
            </w:pPr>
            <w:r w:rsidRPr="00490C53">
              <w:rPr>
                <w:lang w:eastAsia="en-GB"/>
              </w:rPr>
              <w:t>100,001 to 250K</w:t>
            </w:r>
          </w:p>
        </w:tc>
        <w:tc>
          <w:tcPr>
            <w:tcW w:w="0" w:type="pct"/>
            <w:noWrap/>
            <w:hideMark/>
          </w:tcPr>
          <w:p w14:paraId="431C23DB" w14:textId="1112763F" w:rsidR="00504E0F" w:rsidRPr="00490C53" w:rsidRDefault="00504E0F" w:rsidP="00504E0F">
            <w:pPr>
              <w:pStyle w:val="Tabletext"/>
              <w:jc w:val="right"/>
              <w:rPr>
                <w:rFonts w:cstheme="minorHAnsi"/>
                <w:szCs w:val="24"/>
                <w:lang w:eastAsia="en-GB"/>
              </w:rPr>
            </w:pPr>
            <w:r w:rsidRPr="00846F78">
              <w:rPr>
                <w:rFonts w:cstheme="minorHAnsi"/>
                <w:szCs w:val="24"/>
              </w:rPr>
              <w:t>6%</w:t>
            </w:r>
          </w:p>
        </w:tc>
        <w:tc>
          <w:tcPr>
            <w:tcW w:w="0" w:type="pct"/>
            <w:noWrap/>
            <w:hideMark/>
          </w:tcPr>
          <w:p w14:paraId="29986FA9" w14:textId="4B2F0149" w:rsidR="00504E0F" w:rsidRPr="00490C53" w:rsidRDefault="00504E0F" w:rsidP="00504E0F">
            <w:pPr>
              <w:pStyle w:val="Tabletext"/>
              <w:jc w:val="right"/>
              <w:rPr>
                <w:rFonts w:cstheme="minorHAnsi"/>
                <w:szCs w:val="24"/>
                <w:lang w:eastAsia="en-GB"/>
              </w:rPr>
            </w:pPr>
            <w:r w:rsidRPr="00846F78">
              <w:rPr>
                <w:rFonts w:cstheme="minorHAnsi"/>
                <w:szCs w:val="24"/>
              </w:rPr>
              <w:t>9%</w:t>
            </w:r>
          </w:p>
        </w:tc>
      </w:tr>
      <w:tr w:rsidR="00504E0F" w:rsidRPr="00490C53" w14:paraId="0BFE5F8D" w14:textId="77777777" w:rsidTr="00846F78">
        <w:tblPrEx>
          <w:tblCellMar>
            <w:left w:w="108" w:type="dxa"/>
            <w:right w:w="108" w:type="dxa"/>
          </w:tblCellMar>
        </w:tblPrEx>
        <w:trPr>
          <w:trHeight w:val="290"/>
        </w:trPr>
        <w:tc>
          <w:tcPr>
            <w:tcW w:w="0" w:type="pct"/>
            <w:noWrap/>
            <w:vAlign w:val="center"/>
          </w:tcPr>
          <w:p w14:paraId="25E8539C" w14:textId="77777777" w:rsidR="00504E0F" w:rsidRPr="00490C53" w:rsidRDefault="00504E0F" w:rsidP="00504E0F">
            <w:pPr>
              <w:pStyle w:val="Tabletext"/>
              <w:rPr>
                <w:lang w:eastAsia="en-GB"/>
              </w:rPr>
            </w:pPr>
          </w:p>
        </w:tc>
        <w:tc>
          <w:tcPr>
            <w:tcW w:w="0" w:type="pct"/>
            <w:noWrap/>
            <w:vAlign w:val="center"/>
            <w:hideMark/>
          </w:tcPr>
          <w:p w14:paraId="5CDC4B7B" w14:textId="77777777" w:rsidR="00504E0F" w:rsidRPr="00490C53" w:rsidRDefault="00504E0F" w:rsidP="00504E0F">
            <w:pPr>
              <w:pStyle w:val="Tabletext"/>
              <w:rPr>
                <w:lang w:eastAsia="en-GB"/>
              </w:rPr>
            </w:pPr>
            <w:r w:rsidRPr="00490C53">
              <w:rPr>
                <w:lang w:eastAsia="en-GB"/>
              </w:rPr>
              <w:t>250,001 to 500K</w:t>
            </w:r>
          </w:p>
        </w:tc>
        <w:tc>
          <w:tcPr>
            <w:tcW w:w="0" w:type="pct"/>
            <w:noWrap/>
            <w:hideMark/>
          </w:tcPr>
          <w:p w14:paraId="0A489649" w14:textId="4DE3DDEA" w:rsidR="00504E0F" w:rsidRPr="00490C53" w:rsidRDefault="00504E0F" w:rsidP="00504E0F">
            <w:pPr>
              <w:pStyle w:val="Tabletext"/>
              <w:jc w:val="right"/>
              <w:rPr>
                <w:rFonts w:cstheme="minorHAnsi"/>
                <w:szCs w:val="24"/>
                <w:lang w:eastAsia="en-GB"/>
              </w:rPr>
            </w:pPr>
            <w:r w:rsidRPr="00846F78">
              <w:rPr>
                <w:rFonts w:cstheme="minorHAnsi"/>
                <w:szCs w:val="24"/>
              </w:rPr>
              <w:t>3%</w:t>
            </w:r>
          </w:p>
        </w:tc>
        <w:tc>
          <w:tcPr>
            <w:tcW w:w="0" w:type="pct"/>
            <w:noWrap/>
            <w:hideMark/>
          </w:tcPr>
          <w:p w14:paraId="1DBA37E0" w14:textId="7582448A" w:rsidR="00504E0F" w:rsidRPr="00490C53" w:rsidRDefault="00504E0F" w:rsidP="00504E0F">
            <w:pPr>
              <w:pStyle w:val="Tabletext"/>
              <w:jc w:val="right"/>
              <w:rPr>
                <w:rFonts w:cstheme="minorHAnsi"/>
                <w:szCs w:val="24"/>
                <w:lang w:eastAsia="en-GB"/>
              </w:rPr>
            </w:pPr>
            <w:r w:rsidRPr="00846F78">
              <w:rPr>
                <w:rFonts w:cstheme="minorHAnsi"/>
                <w:szCs w:val="24"/>
              </w:rPr>
              <w:t>8%</w:t>
            </w:r>
          </w:p>
        </w:tc>
      </w:tr>
      <w:tr w:rsidR="00504E0F" w:rsidRPr="00490C53" w14:paraId="0FC5B767"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38A4492A" w14:textId="77777777" w:rsidR="00504E0F" w:rsidRPr="00490C53" w:rsidRDefault="00504E0F" w:rsidP="00504E0F">
            <w:pPr>
              <w:pStyle w:val="Tabletext"/>
              <w:rPr>
                <w:lang w:eastAsia="en-GB"/>
              </w:rPr>
            </w:pPr>
          </w:p>
        </w:tc>
        <w:tc>
          <w:tcPr>
            <w:tcW w:w="0" w:type="pct"/>
            <w:noWrap/>
            <w:vAlign w:val="center"/>
            <w:hideMark/>
          </w:tcPr>
          <w:p w14:paraId="119798CB" w14:textId="77777777" w:rsidR="00504E0F" w:rsidRPr="00490C53" w:rsidRDefault="00504E0F" w:rsidP="00504E0F">
            <w:pPr>
              <w:pStyle w:val="Tabletext"/>
              <w:rPr>
                <w:lang w:eastAsia="en-GB"/>
              </w:rPr>
            </w:pPr>
            <w:r w:rsidRPr="00490C53">
              <w:rPr>
                <w:lang w:eastAsia="en-GB"/>
              </w:rPr>
              <w:t>500,001 to 1m</w:t>
            </w:r>
          </w:p>
        </w:tc>
        <w:tc>
          <w:tcPr>
            <w:tcW w:w="0" w:type="pct"/>
            <w:noWrap/>
            <w:hideMark/>
          </w:tcPr>
          <w:p w14:paraId="7FCD50A0" w14:textId="5D8DFB90" w:rsidR="00504E0F" w:rsidRPr="00490C53" w:rsidRDefault="00504E0F" w:rsidP="00504E0F">
            <w:pPr>
              <w:pStyle w:val="Tabletext"/>
              <w:jc w:val="right"/>
              <w:rPr>
                <w:rFonts w:cstheme="minorHAnsi"/>
                <w:szCs w:val="24"/>
                <w:lang w:eastAsia="en-GB"/>
              </w:rPr>
            </w:pPr>
            <w:r w:rsidRPr="00846F78">
              <w:rPr>
                <w:rFonts w:cstheme="minorHAnsi"/>
                <w:szCs w:val="24"/>
              </w:rPr>
              <w:t>8%</w:t>
            </w:r>
          </w:p>
        </w:tc>
        <w:tc>
          <w:tcPr>
            <w:tcW w:w="0" w:type="pct"/>
            <w:noWrap/>
            <w:hideMark/>
          </w:tcPr>
          <w:p w14:paraId="029B02C3" w14:textId="1FEAA2E8" w:rsidR="00504E0F" w:rsidRPr="00490C53" w:rsidRDefault="00504E0F" w:rsidP="00504E0F">
            <w:pPr>
              <w:pStyle w:val="Tabletext"/>
              <w:jc w:val="right"/>
              <w:rPr>
                <w:rFonts w:cstheme="minorHAnsi"/>
                <w:szCs w:val="24"/>
                <w:lang w:eastAsia="en-GB"/>
              </w:rPr>
            </w:pPr>
            <w:r w:rsidRPr="00846F78">
              <w:rPr>
                <w:rFonts w:cstheme="minorHAnsi"/>
                <w:szCs w:val="24"/>
              </w:rPr>
              <w:t>7%</w:t>
            </w:r>
          </w:p>
        </w:tc>
      </w:tr>
      <w:tr w:rsidR="00504E0F" w:rsidRPr="00490C53" w14:paraId="29202EEA" w14:textId="77777777" w:rsidTr="00846F78">
        <w:tblPrEx>
          <w:tblCellMar>
            <w:left w:w="108" w:type="dxa"/>
            <w:right w:w="108" w:type="dxa"/>
          </w:tblCellMar>
        </w:tblPrEx>
        <w:trPr>
          <w:trHeight w:val="290"/>
        </w:trPr>
        <w:tc>
          <w:tcPr>
            <w:tcW w:w="0" w:type="pct"/>
            <w:noWrap/>
            <w:vAlign w:val="center"/>
          </w:tcPr>
          <w:p w14:paraId="2F19A59D" w14:textId="77777777" w:rsidR="00504E0F" w:rsidRPr="00490C53" w:rsidRDefault="00504E0F" w:rsidP="00504E0F">
            <w:pPr>
              <w:pStyle w:val="Tabletext"/>
              <w:rPr>
                <w:lang w:eastAsia="en-GB"/>
              </w:rPr>
            </w:pPr>
          </w:p>
        </w:tc>
        <w:tc>
          <w:tcPr>
            <w:tcW w:w="0" w:type="pct"/>
            <w:noWrap/>
            <w:vAlign w:val="center"/>
            <w:hideMark/>
          </w:tcPr>
          <w:p w14:paraId="05F3558D" w14:textId="77777777" w:rsidR="00504E0F" w:rsidRPr="00490C53" w:rsidRDefault="00504E0F" w:rsidP="00504E0F">
            <w:pPr>
              <w:pStyle w:val="Tabletext"/>
              <w:rPr>
                <w:lang w:eastAsia="en-GB"/>
              </w:rPr>
            </w:pPr>
            <w:r w:rsidRPr="00490C53">
              <w:rPr>
                <w:lang w:eastAsia="en-GB"/>
              </w:rPr>
              <w:t>1m to 5m</w:t>
            </w:r>
          </w:p>
        </w:tc>
        <w:tc>
          <w:tcPr>
            <w:tcW w:w="0" w:type="pct"/>
            <w:noWrap/>
            <w:hideMark/>
          </w:tcPr>
          <w:p w14:paraId="6325A9B5" w14:textId="20DC79E2" w:rsidR="00504E0F" w:rsidRPr="00490C53" w:rsidRDefault="00504E0F" w:rsidP="00504E0F">
            <w:pPr>
              <w:pStyle w:val="Tabletext"/>
              <w:jc w:val="right"/>
              <w:rPr>
                <w:rFonts w:cstheme="minorHAnsi"/>
                <w:szCs w:val="24"/>
                <w:lang w:eastAsia="en-GB"/>
              </w:rPr>
            </w:pPr>
            <w:r w:rsidRPr="00846F78">
              <w:rPr>
                <w:rFonts w:cstheme="minorHAnsi"/>
                <w:szCs w:val="24"/>
              </w:rPr>
              <w:t>2%</w:t>
            </w:r>
          </w:p>
        </w:tc>
        <w:tc>
          <w:tcPr>
            <w:tcW w:w="0" w:type="pct"/>
            <w:noWrap/>
            <w:hideMark/>
          </w:tcPr>
          <w:p w14:paraId="36EC7A64" w14:textId="31FE81F2" w:rsidR="00504E0F" w:rsidRPr="00490C53" w:rsidRDefault="00504E0F" w:rsidP="00504E0F">
            <w:pPr>
              <w:pStyle w:val="Tabletext"/>
              <w:jc w:val="right"/>
              <w:rPr>
                <w:rFonts w:cstheme="minorHAnsi"/>
                <w:szCs w:val="24"/>
                <w:lang w:eastAsia="en-GB"/>
              </w:rPr>
            </w:pPr>
            <w:r w:rsidRPr="00846F78">
              <w:rPr>
                <w:rFonts w:cstheme="minorHAnsi"/>
                <w:szCs w:val="24"/>
              </w:rPr>
              <w:t>2%</w:t>
            </w:r>
          </w:p>
        </w:tc>
      </w:tr>
      <w:tr w:rsidR="00504E0F" w:rsidRPr="00490C53" w14:paraId="39D3FE23"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52B47FA7" w14:textId="77777777" w:rsidR="00504E0F" w:rsidRPr="00490C53" w:rsidRDefault="00504E0F" w:rsidP="00504E0F">
            <w:pPr>
              <w:pStyle w:val="Tabletext"/>
              <w:rPr>
                <w:lang w:eastAsia="en-GB"/>
              </w:rPr>
            </w:pPr>
          </w:p>
        </w:tc>
        <w:tc>
          <w:tcPr>
            <w:tcW w:w="0" w:type="pct"/>
            <w:noWrap/>
            <w:vAlign w:val="center"/>
            <w:hideMark/>
          </w:tcPr>
          <w:p w14:paraId="71920FCB" w14:textId="77777777" w:rsidR="00504E0F" w:rsidRPr="00490C53" w:rsidRDefault="00504E0F" w:rsidP="00504E0F">
            <w:pPr>
              <w:pStyle w:val="Tabletext"/>
              <w:rPr>
                <w:lang w:eastAsia="en-GB"/>
              </w:rPr>
            </w:pPr>
            <w:r w:rsidRPr="00490C53">
              <w:rPr>
                <w:lang w:eastAsia="en-GB"/>
              </w:rPr>
              <w:t>5m to 25m</w:t>
            </w:r>
          </w:p>
        </w:tc>
        <w:tc>
          <w:tcPr>
            <w:tcW w:w="0" w:type="pct"/>
            <w:noWrap/>
            <w:hideMark/>
          </w:tcPr>
          <w:p w14:paraId="0B74CEB1" w14:textId="453C9065"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1B2A1E2A" w14:textId="2A1ABE67" w:rsidR="00504E0F" w:rsidRPr="00490C53" w:rsidRDefault="00504E0F" w:rsidP="00504E0F">
            <w:pPr>
              <w:pStyle w:val="Tabletext"/>
              <w:jc w:val="right"/>
              <w:rPr>
                <w:rFonts w:cstheme="minorHAnsi"/>
                <w:szCs w:val="24"/>
                <w:lang w:eastAsia="en-GB"/>
              </w:rPr>
            </w:pPr>
            <w:r w:rsidRPr="00846F78">
              <w:rPr>
                <w:rFonts w:cstheme="minorHAnsi"/>
                <w:szCs w:val="24"/>
              </w:rPr>
              <w:t>2%</w:t>
            </w:r>
          </w:p>
        </w:tc>
      </w:tr>
      <w:tr w:rsidR="00504E0F" w:rsidRPr="00490C53" w14:paraId="15B36056" w14:textId="77777777" w:rsidTr="00846F78">
        <w:tblPrEx>
          <w:tblCellMar>
            <w:left w:w="108" w:type="dxa"/>
            <w:right w:w="108" w:type="dxa"/>
          </w:tblCellMar>
        </w:tblPrEx>
        <w:trPr>
          <w:trHeight w:val="290"/>
        </w:trPr>
        <w:tc>
          <w:tcPr>
            <w:tcW w:w="0" w:type="pct"/>
            <w:noWrap/>
            <w:vAlign w:val="center"/>
          </w:tcPr>
          <w:p w14:paraId="14C94621" w14:textId="77777777" w:rsidR="00504E0F" w:rsidRPr="00490C53" w:rsidRDefault="00504E0F" w:rsidP="00504E0F">
            <w:pPr>
              <w:pStyle w:val="Tabletext"/>
              <w:rPr>
                <w:lang w:eastAsia="en-GB"/>
              </w:rPr>
            </w:pPr>
          </w:p>
        </w:tc>
        <w:tc>
          <w:tcPr>
            <w:tcW w:w="0" w:type="pct"/>
            <w:noWrap/>
            <w:vAlign w:val="center"/>
            <w:hideMark/>
          </w:tcPr>
          <w:p w14:paraId="0894296C" w14:textId="77777777" w:rsidR="00504E0F" w:rsidRPr="00490C53" w:rsidRDefault="00504E0F" w:rsidP="00504E0F">
            <w:pPr>
              <w:pStyle w:val="Tabletext"/>
              <w:rPr>
                <w:lang w:eastAsia="en-GB"/>
              </w:rPr>
            </w:pPr>
            <w:r w:rsidRPr="00490C53">
              <w:rPr>
                <w:lang w:eastAsia="en-GB"/>
              </w:rPr>
              <w:t>25m to 50m</w:t>
            </w:r>
          </w:p>
        </w:tc>
        <w:tc>
          <w:tcPr>
            <w:tcW w:w="0" w:type="pct"/>
            <w:noWrap/>
            <w:hideMark/>
          </w:tcPr>
          <w:p w14:paraId="3705C803" w14:textId="3F7C3C7F"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73D6E245" w14:textId="31738275"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59EA4465"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1D83930B" w14:textId="77777777" w:rsidR="00504E0F" w:rsidRPr="00490C53" w:rsidRDefault="00504E0F" w:rsidP="00504E0F">
            <w:pPr>
              <w:pStyle w:val="Tabletext"/>
              <w:rPr>
                <w:lang w:eastAsia="en-GB"/>
              </w:rPr>
            </w:pPr>
          </w:p>
        </w:tc>
        <w:tc>
          <w:tcPr>
            <w:tcW w:w="0" w:type="pct"/>
            <w:noWrap/>
            <w:vAlign w:val="center"/>
            <w:hideMark/>
          </w:tcPr>
          <w:p w14:paraId="5BACD1A1" w14:textId="77777777" w:rsidR="00504E0F" w:rsidRPr="00490C53" w:rsidRDefault="00504E0F" w:rsidP="00504E0F">
            <w:pPr>
              <w:pStyle w:val="Tabletext"/>
              <w:rPr>
                <w:lang w:eastAsia="en-GB"/>
              </w:rPr>
            </w:pPr>
            <w:r w:rsidRPr="00490C53">
              <w:rPr>
                <w:lang w:eastAsia="en-GB"/>
              </w:rPr>
              <w:t>50m to 200m</w:t>
            </w:r>
          </w:p>
        </w:tc>
        <w:tc>
          <w:tcPr>
            <w:tcW w:w="0" w:type="pct"/>
            <w:noWrap/>
            <w:hideMark/>
          </w:tcPr>
          <w:p w14:paraId="0FF2F604" w14:textId="1C29AAC2"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76D4B9D6" w14:textId="10634D41" w:rsidR="00504E0F" w:rsidRPr="00490C53" w:rsidRDefault="00504E0F" w:rsidP="00504E0F">
            <w:pPr>
              <w:pStyle w:val="Tabletext"/>
              <w:jc w:val="right"/>
              <w:rPr>
                <w:rFonts w:cstheme="minorHAnsi"/>
                <w:szCs w:val="24"/>
                <w:lang w:eastAsia="en-GB"/>
              </w:rPr>
            </w:pPr>
            <w:r w:rsidRPr="00846F78">
              <w:rPr>
                <w:rFonts w:cstheme="minorHAnsi"/>
                <w:szCs w:val="24"/>
              </w:rPr>
              <w:t>3%</w:t>
            </w:r>
          </w:p>
        </w:tc>
      </w:tr>
      <w:tr w:rsidR="00504E0F" w:rsidRPr="00490C53" w14:paraId="3AE14FBF" w14:textId="77777777" w:rsidTr="00846F78">
        <w:tblPrEx>
          <w:tblCellMar>
            <w:left w:w="108" w:type="dxa"/>
            <w:right w:w="108" w:type="dxa"/>
          </w:tblCellMar>
        </w:tblPrEx>
        <w:trPr>
          <w:trHeight w:val="290"/>
        </w:trPr>
        <w:tc>
          <w:tcPr>
            <w:tcW w:w="0" w:type="pct"/>
            <w:noWrap/>
            <w:vAlign w:val="center"/>
          </w:tcPr>
          <w:p w14:paraId="0B4EC810" w14:textId="77777777" w:rsidR="00504E0F" w:rsidRPr="00490C53" w:rsidRDefault="00504E0F" w:rsidP="00504E0F">
            <w:pPr>
              <w:pStyle w:val="Tabletext"/>
              <w:rPr>
                <w:lang w:eastAsia="en-GB"/>
              </w:rPr>
            </w:pPr>
          </w:p>
        </w:tc>
        <w:tc>
          <w:tcPr>
            <w:tcW w:w="0" w:type="pct"/>
            <w:noWrap/>
            <w:vAlign w:val="center"/>
            <w:hideMark/>
          </w:tcPr>
          <w:p w14:paraId="685DBA78" w14:textId="77777777" w:rsidR="00504E0F" w:rsidRPr="00490C53" w:rsidRDefault="00504E0F" w:rsidP="00504E0F">
            <w:pPr>
              <w:pStyle w:val="Tabletext"/>
              <w:rPr>
                <w:lang w:eastAsia="en-GB"/>
              </w:rPr>
            </w:pPr>
            <w:r w:rsidRPr="00490C53">
              <w:rPr>
                <w:lang w:eastAsia="en-GB"/>
              </w:rPr>
              <w:t>&gt;200m</w:t>
            </w:r>
          </w:p>
        </w:tc>
        <w:tc>
          <w:tcPr>
            <w:tcW w:w="0" w:type="pct"/>
            <w:noWrap/>
            <w:hideMark/>
          </w:tcPr>
          <w:p w14:paraId="6EC77152" w14:textId="0588870F"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74534DEC" w14:textId="6BA1F9ED"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1FC64554"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70BD1359" w14:textId="77777777" w:rsidR="00504E0F" w:rsidRPr="00490C53" w:rsidRDefault="00504E0F" w:rsidP="00504E0F">
            <w:pPr>
              <w:pStyle w:val="Tabletext"/>
              <w:rPr>
                <w:lang w:eastAsia="en-GB"/>
              </w:rPr>
            </w:pPr>
          </w:p>
        </w:tc>
        <w:tc>
          <w:tcPr>
            <w:tcW w:w="0" w:type="pct"/>
            <w:noWrap/>
            <w:vAlign w:val="center"/>
            <w:hideMark/>
          </w:tcPr>
          <w:p w14:paraId="209C29AE" w14:textId="77777777" w:rsidR="00504E0F" w:rsidRPr="00490C53" w:rsidRDefault="00504E0F" w:rsidP="00504E0F">
            <w:pPr>
              <w:pStyle w:val="Tabletext"/>
              <w:rPr>
                <w:lang w:eastAsia="en-GB"/>
              </w:rPr>
            </w:pPr>
            <w:r w:rsidRPr="00490C53">
              <w:rPr>
                <w:lang w:eastAsia="en-GB"/>
              </w:rPr>
              <w:t>Weighted average</w:t>
            </w:r>
          </w:p>
        </w:tc>
        <w:tc>
          <w:tcPr>
            <w:tcW w:w="0" w:type="pct"/>
            <w:noWrap/>
            <w:hideMark/>
          </w:tcPr>
          <w:p w14:paraId="21F7C4DD" w14:textId="022578C5" w:rsidR="00504E0F" w:rsidRPr="00490C53" w:rsidRDefault="00504E0F" w:rsidP="00504E0F">
            <w:pPr>
              <w:pStyle w:val="Tabletext"/>
              <w:jc w:val="right"/>
              <w:rPr>
                <w:rFonts w:cstheme="minorHAnsi"/>
                <w:szCs w:val="24"/>
                <w:lang w:eastAsia="en-GB"/>
              </w:rPr>
            </w:pPr>
            <w:r w:rsidRPr="00846F78">
              <w:rPr>
                <w:rFonts w:cstheme="minorHAnsi"/>
                <w:szCs w:val="24"/>
              </w:rPr>
              <w:t>5%</w:t>
            </w:r>
          </w:p>
        </w:tc>
        <w:tc>
          <w:tcPr>
            <w:tcW w:w="0" w:type="pct"/>
            <w:noWrap/>
            <w:hideMark/>
          </w:tcPr>
          <w:p w14:paraId="39482528" w14:textId="09A01B59" w:rsidR="00504E0F" w:rsidRPr="00490C53" w:rsidRDefault="00504E0F" w:rsidP="00504E0F">
            <w:pPr>
              <w:pStyle w:val="Tabletext"/>
              <w:jc w:val="right"/>
              <w:rPr>
                <w:rFonts w:cstheme="minorHAnsi"/>
                <w:szCs w:val="24"/>
                <w:lang w:eastAsia="en-GB"/>
              </w:rPr>
            </w:pPr>
            <w:r w:rsidRPr="00846F78">
              <w:rPr>
                <w:rFonts w:cstheme="minorHAnsi"/>
                <w:szCs w:val="24"/>
              </w:rPr>
              <w:t>4%</w:t>
            </w:r>
          </w:p>
        </w:tc>
      </w:tr>
      <w:tr w:rsidR="00504E0F" w:rsidRPr="00490C53" w14:paraId="1DCFA003" w14:textId="77777777" w:rsidTr="00846F78">
        <w:tblPrEx>
          <w:tblCellMar>
            <w:left w:w="108" w:type="dxa"/>
            <w:right w:w="108" w:type="dxa"/>
          </w:tblCellMar>
        </w:tblPrEx>
        <w:trPr>
          <w:trHeight w:val="290"/>
        </w:trPr>
        <w:tc>
          <w:tcPr>
            <w:tcW w:w="0" w:type="pct"/>
            <w:noWrap/>
            <w:vAlign w:val="center"/>
            <w:hideMark/>
          </w:tcPr>
          <w:p w14:paraId="145E5A2C" w14:textId="77777777" w:rsidR="00504E0F" w:rsidRPr="00490C53" w:rsidRDefault="00504E0F" w:rsidP="00504E0F">
            <w:pPr>
              <w:pStyle w:val="Tabletext"/>
              <w:rPr>
                <w:lang w:eastAsia="en-GB"/>
              </w:rPr>
            </w:pPr>
            <w:r w:rsidRPr="00490C53">
              <w:rPr>
                <w:lang w:eastAsia="en-GB"/>
              </w:rPr>
              <w:t>South</w:t>
            </w:r>
          </w:p>
        </w:tc>
        <w:tc>
          <w:tcPr>
            <w:tcW w:w="0" w:type="pct"/>
            <w:noWrap/>
            <w:vAlign w:val="center"/>
            <w:hideMark/>
          </w:tcPr>
          <w:p w14:paraId="02B5F55F" w14:textId="77777777" w:rsidR="00504E0F" w:rsidRPr="00490C53" w:rsidRDefault="00504E0F" w:rsidP="00504E0F">
            <w:pPr>
              <w:pStyle w:val="Tabletext"/>
              <w:rPr>
                <w:lang w:eastAsia="en-GB"/>
              </w:rPr>
            </w:pPr>
            <w:r w:rsidRPr="00490C53">
              <w:rPr>
                <w:lang w:eastAsia="en-GB"/>
              </w:rPr>
              <w:t>Less than 50K</w:t>
            </w:r>
          </w:p>
        </w:tc>
        <w:tc>
          <w:tcPr>
            <w:tcW w:w="0" w:type="pct"/>
            <w:noWrap/>
            <w:hideMark/>
          </w:tcPr>
          <w:p w14:paraId="1992F782" w14:textId="1C74607A"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362E0055" w14:textId="36D8032D" w:rsidR="00504E0F" w:rsidRPr="00490C53" w:rsidRDefault="00504E0F" w:rsidP="00504E0F">
            <w:pPr>
              <w:pStyle w:val="Tabletext"/>
              <w:jc w:val="right"/>
              <w:rPr>
                <w:rFonts w:cstheme="minorHAnsi"/>
                <w:szCs w:val="24"/>
                <w:lang w:eastAsia="en-GB"/>
              </w:rPr>
            </w:pPr>
            <w:r w:rsidRPr="00846F78">
              <w:rPr>
                <w:rFonts w:cstheme="minorHAnsi"/>
                <w:szCs w:val="24"/>
              </w:rPr>
              <w:t>9%</w:t>
            </w:r>
          </w:p>
        </w:tc>
      </w:tr>
      <w:tr w:rsidR="00504E0F" w:rsidRPr="00490C53" w14:paraId="23D205C0"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413A527B" w14:textId="77777777" w:rsidR="00504E0F" w:rsidRPr="00490C53" w:rsidRDefault="00504E0F" w:rsidP="00504E0F">
            <w:pPr>
              <w:pStyle w:val="Tabletext"/>
              <w:rPr>
                <w:lang w:eastAsia="en-GB"/>
              </w:rPr>
            </w:pPr>
          </w:p>
        </w:tc>
        <w:tc>
          <w:tcPr>
            <w:tcW w:w="0" w:type="pct"/>
            <w:noWrap/>
            <w:vAlign w:val="center"/>
            <w:hideMark/>
          </w:tcPr>
          <w:p w14:paraId="757B05C8" w14:textId="77777777" w:rsidR="00504E0F" w:rsidRPr="00490C53" w:rsidRDefault="00504E0F" w:rsidP="00504E0F">
            <w:pPr>
              <w:pStyle w:val="Tabletext"/>
              <w:rPr>
                <w:lang w:eastAsia="en-GB"/>
              </w:rPr>
            </w:pPr>
            <w:r w:rsidRPr="00490C53">
              <w:rPr>
                <w:lang w:eastAsia="en-GB"/>
              </w:rPr>
              <w:t>50,001 to 100K</w:t>
            </w:r>
          </w:p>
        </w:tc>
        <w:tc>
          <w:tcPr>
            <w:tcW w:w="0" w:type="pct"/>
            <w:noWrap/>
            <w:hideMark/>
          </w:tcPr>
          <w:p w14:paraId="0B99C657" w14:textId="74DC0584" w:rsidR="00504E0F" w:rsidRPr="00490C53" w:rsidRDefault="00504E0F" w:rsidP="00504E0F">
            <w:pPr>
              <w:pStyle w:val="Tabletext"/>
              <w:jc w:val="right"/>
              <w:rPr>
                <w:rFonts w:cstheme="minorHAnsi"/>
                <w:szCs w:val="24"/>
                <w:lang w:eastAsia="en-GB"/>
              </w:rPr>
            </w:pPr>
            <w:r w:rsidRPr="00846F78">
              <w:rPr>
                <w:rFonts w:cstheme="minorHAnsi"/>
                <w:szCs w:val="24"/>
              </w:rPr>
              <w:t>6%</w:t>
            </w:r>
          </w:p>
        </w:tc>
        <w:tc>
          <w:tcPr>
            <w:tcW w:w="0" w:type="pct"/>
            <w:noWrap/>
            <w:hideMark/>
          </w:tcPr>
          <w:p w14:paraId="255AB4AD" w14:textId="1FBBFFD0" w:rsidR="00504E0F" w:rsidRPr="00490C53" w:rsidRDefault="00504E0F" w:rsidP="00504E0F">
            <w:pPr>
              <w:pStyle w:val="Tabletext"/>
              <w:jc w:val="right"/>
              <w:rPr>
                <w:rFonts w:cstheme="minorHAnsi"/>
                <w:szCs w:val="24"/>
                <w:lang w:eastAsia="en-GB"/>
              </w:rPr>
            </w:pPr>
            <w:r w:rsidRPr="00846F78">
              <w:rPr>
                <w:rFonts w:cstheme="minorHAnsi"/>
                <w:szCs w:val="24"/>
              </w:rPr>
              <w:t>13%</w:t>
            </w:r>
          </w:p>
        </w:tc>
      </w:tr>
      <w:tr w:rsidR="00504E0F" w:rsidRPr="00490C53" w14:paraId="24F7E112" w14:textId="77777777" w:rsidTr="00846F78">
        <w:tblPrEx>
          <w:tblCellMar>
            <w:left w:w="108" w:type="dxa"/>
            <w:right w:w="108" w:type="dxa"/>
          </w:tblCellMar>
        </w:tblPrEx>
        <w:trPr>
          <w:trHeight w:val="290"/>
        </w:trPr>
        <w:tc>
          <w:tcPr>
            <w:tcW w:w="0" w:type="pct"/>
            <w:noWrap/>
            <w:vAlign w:val="center"/>
          </w:tcPr>
          <w:p w14:paraId="4B33535E" w14:textId="77777777" w:rsidR="00504E0F" w:rsidRPr="00490C53" w:rsidRDefault="00504E0F" w:rsidP="00504E0F">
            <w:pPr>
              <w:pStyle w:val="Tabletext"/>
              <w:rPr>
                <w:lang w:eastAsia="en-GB"/>
              </w:rPr>
            </w:pPr>
          </w:p>
        </w:tc>
        <w:tc>
          <w:tcPr>
            <w:tcW w:w="0" w:type="pct"/>
            <w:noWrap/>
            <w:vAlign w:val="center"/>
            <w:hideMark/>
          </w:tcPr>
          <w:p w14:paraId="0B1214F8" w14:textId="77777777" w:rsidR="00504E0F" w:rsidRPr="00490C53" w:rsidRDefault="00504E0F" w:rsidP="00504E0F">
            <w:pPr>
              <w:pStyle w:val="Tabletext"/>
              <w:rPr>
                <w:lang w:eastAsia="en-GB"/>
              </w:rPr>
            </w:pPr>
            <w:r w:rsidRPr="00490C53">
              <w:rPr>
                <w:lang w:eastAsia="en-GB"/>
              </w:rPr>
              <w:t>100,001 to 250K</w:t>
            </w:r>
          </w:p>
        </w:tc>
        <w:tc>
          <w:tcPr>
            <w:tcW w:w="0" w:type="pct"/>
            <w:noWrap/>
            <w:hideMark/>
          </w:tcPr>
          <w:p w14:paraId="4FBB1D13" w14:textId="3B9B8DA1" w:rsidR="00504E0F" w:rsidRPr="00490C53" w:rsidRDefault="00504E0F" w:rsidP="00504E0F">
            <w:pPr>
              <w:pStyle w:val="Tabletext"/>
              <w:jc w:val="right"/>
              <w:rPr>
                <w:rFonts w:cstheme="minorHAnsi"/>
                <w:szCs w:val="24"/>
                <w:lang w:eastAsia="en-GB"/>
              </w:rPr>
            </w:pPr>
            <w:r w:rsidRPr="00846F78">
              <w:rPr>
                <w:rFonts w:cstheme="minorHAnsi"/>
                <w:szCs w:val="24"/>
              </w:rPr>
              <w:t>6%</w:t>
            </w:r>
          </w:p>
        </w:tc>
        <w:tc>
          <w:tcPr>
            <w:tcW w:w="0" w:type="pct"/>
            <w:noWrap/>
            <w:hideMark/>
          </w:tcPr>
          <w:p w14:paraId="58573778" w14:textId="7438A854" w:rsidR="00504E0F" w:rsidRPr="00490C53" w:rsidRDefault="00504E0F" w:rsidP="00504E0F">
            <w:pPr>
              <w:pStyle w:val="Tabletext"/>
              <w:jc w:val="right"/>
              <w:rPr>
                <w:rFonts w:cstheme="minorHAnsi"/>
                <w:szCs w:val="24"/>
                <w:lang w:eastAsia="en-GB"/>
              </w:rPr>
            </w:pPr>
            <w:r w:rsidRPr="00846F78">
              <w:rPr>
                <w:rFonts w:cstheme="minorHAnsi"/>
                <w:szCs w:val="24"/>
              </w:rPr>
              <w:t>6%</w:t>
            </w:r>
          </w:p>
        </w:tc>
      </w:tr>
      <w:tr w:rsidR="00504E0F" w:rsidRPr="00490C53" w14:paraId="36F974FF"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54822749" w14:textId="77777777" w:rsidR="00504E0F" w:rsidRPr="00490C53" w:rsidRDefault="00504E0F" w:rsidP="00504E0F">
            <w:pPr>
              <w:pStyle w:val="Tabletext"/>
              <w:rPr>
                <w:lang w:eastAsia="en-GB"/>
              </w:rPr>
            </w:pPr>
          </w:p>
        </w:tc>
        <w:tc>
          <w:tcPr>
            <w:tcW w:w="0" w:type="pct"/>
            <w:noWrap/>
            <w:vAlign w:val="center"/>
            <w:hideMark/>
          </w:tcPr>
          <w:p w14:paraId="2029FAC1" w14:textId="77777777" w:rsidR="00504E0F" w:rsidRPr="00490C53" w:rsidRDefault="00504E0F" w:rsidP="00504E0F">
            <w:pPr>
              <w:pStyle w:val="Tabletext"/>
              <w:rPr>
                <w:lang w:eastAsia="en-GB"/>
              </w:rPr>
            </w:pPr>
            <w:r w:rsidRPr="00490C53">
              <w:rPr>
                <w:lang w:eastAsia="en-GB"/>
              </w:rPr>
              <w:t>250,001 to 500K</w:t>
            </w:r>
          </w:p>
        </w:tc>
        <w:tc>
          <w:tcPr>
            <w:tcW w:w="0" w:type="pct"/>
            <w:noWrap/>
            <w:hideMark/>
          </w:tcPr>
          <w:p w14:paraId="058592C9" w14:textId="4A102402" w:rsidR="00504E0F" w:rsidRPr="00490C53" w:rsidRDefault="00504E0F" w:rsidP="00504E0F">
            <w:pPr>
              <w:pStyle w:val="Tabletext"/>
              <w:jc w:val="right"/>
              <w:rPr>
                <w:rFonts w:cstheme="minorHAnsi"/>
                <w:szCs w:val="24"/>
                <w:lang w:eastAsia="en-GB"/>
              </w:rPr>
            </w:pPr>
            <w:r w:rsidRPr="00846F78">
              <w:rPr>
                <w:rFonts w:cstheme="minorHAnsi"/>
                <w:szCs w:val="24"/>
              </w:rPr>
              <w:t>6%</w:t>
            </w:r>
          </w:p>
        </w:tc>
        <w:tc>
          <w:tcPr>
            <w:tcW w:w="0" w:type="pct"/>
            <w:noWrap/>
            <w:hideMark/>
          </w:tcPr>
          <w:p w14:paraId="705CE63C" w14:textId="2975CA76" w:rsidR="00504E0F" w:rsidRPr="00490C53" w:rsidRDefault="00504E0F" w:rsidP="00504E0F">
            <w:pPr>
              <w:pStyle w:val="Tabletext"/>
              <w:jc w:val="right"/>
              <w:rPr>
                <w:rFonts w:cstheme="minorHAnsi"/>
                <w:szCs w:val="24"/>
                <w:lang w:eastAsia="en-GB"/>
              </w:rPr>
            </w:pPr>
            <w:r w:rsidRPr="00846F78">
              <w:rPr>
                <w:rFonts w:cstheme="minorHAnsi"/>
                <w:szCs w:val="24"/>
              </w:rPr>
              <w:t>6%</w:t>
            </w:r>
          </w:p>
        </w:tc>
      </w:tr>
      <w:tr w:rsidR="00504E0F" w:rsidRPr="00490C53" w14:paraId="5A933499" w14:textId="77777777" w:rsidTr="00846F78">
        <w:tblPrEx>
          <w:tblCellMar>
            <w:left w:w="108" w:type="dxa"/>
            <w:right w:w="108" w:type="dxa"/>
          </w:tblCellMar>
        </w:tblPrEx>
        <w:trPr>
          <w:trHeight w:val="290"/>
        </w:trPr>
        <w:tc>
          <w:tcPr>
            <w:tcW w:w="0" w:type="pct"/>
            <w:noWrap/>
            <w:vAlign w:val="center"/>
          </w:tcPr>
          <w:p w14:paraId="1B0A3561" w14:textId="77777777" w:rsidR="00504E0F" w:rsidRPr="00490C53" w:rsidRDefault="00504E0F" w:rsidP="00504E0F">
            <w:pPr>
              <w:pStyle w:val="Tabletext"/>
              <w:rPr>
                <w:lang w:eastAsia="en-GB"/>
              </w:rPr>
            </w:pPr>
          </w:p>
        </w:tc>
        <w:tc>
          <w:tcPr>
            <w:tcW w:w="0" w:type="pct"/>
            <w:noWrap/>
            <w:vAlign w:val="center"/>
            <w:hideMark/>
          </w:tcPr>
          <w:p w14:paraId="71AE7C70" w14:textId="77777777" w:rsidR="00504E0F" w:rsidRPr="00490C53" w:rsidRDefault="00504E0F" w:rsidP="00504E0F">
            <w:pPr>
              <w:pStyle w:val="Tabletext"/>
              <w:rPr>
                <w:lang w:eastAsia="en-GB"/>
              </w:rPr>
            </w:pPr>
            <w:r w:rsidRPr="00490C53">
              <w:rPr>
                <w:lang w:eastAsia="en-GB"/>
              </w:rPr>
              <w:t>500,001 to 1m</w:t>
            </w:r>
          </w:p>
        </w:tc>
        <w:tc>
          <w:tcPr>
            <w:tcW w:w="0" w:type="pct"/>
            <w:noWrap/>
            <w:hideMark/>
          </w:tcPr>
          <w:p w14:paraId="4DE8C95A" w14:textId="516E6B98"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7681547D" w14:textId="344CB31D" w:rsidR="00504E0F" w:rsidRPr="00490C53" w:rsidRDefault="00504E0F" w:rsidP="00504E0F">
            <w:pPr>
              <w:pStyle w:val="Tabletext"/>
              <w:jc w:val="right"/>
              <w:rPr>
                <w:rFonts w:cstheme="minorHAnsi"/>
                <w:szCs w:val="24"/>
                <w:lang w:eastAsia="en-GB"/>
              </w:rPr>
            </w:pPr>
            <w:r w:rsidRPr="00846F78">
              <w:rPr>
                <w:rFonts w:cstheme="minorHAnsi"/>
                <w:szCs w:val="24"/>
              </w:rPr>
              <w:t>3%</w:t>
            </w:r>
          </w:p>
        </w:tc>
      </w:tr>
      <w:tr w:rsidR="00504E0F" w:rsidRPr="00490C53" w14:paraId="6162BA1B"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5C55AEB7" w14:textId="77777777" w:rsidR="00504E0F" w:rsidRPr="00490C53" w:rsidRDefault="00504E0F" w:rsidP="00504E0F">
            <w:pPr>
              <w:pStyle w:val="Tabletext"/>
              <w:rPr>
                <w:lang w:eastAsia="en-GB"/>
              </w:rPr>
            </w:pPr>
          </w:p>
        </w:tc>
        <w:tc>
          <w:tcPr>
            <w:tcW w:w="0" w:type="pct"/>
            <w:noWrap/>
            <w:vAlign w:val="center"/>
            <w:hideMark/>
          </w:tcPr>
          <w:p w14:paraId="5E1C9A37" w14:textId="77777777" w:rsidR="00504E0F" w:rsidRPr="00490C53" w:rsidRDefault="00504E0F" w:rsidP="00504E0F">
            <w:pPr>
              <w:pStyle w:val="Tabletext"/>
              <w:rPr>
                <w:lang w:eastAsia="en-GB"/>
              </w:rPr>
            </w:pPr>
            <w:r w:rsidRPr="00490C53">
              <w:rPr>
                <w:lang w:eastAsia="en-GB"/>
              </w:rPr>
              <w:t>1m to 5m</w:t>
            </w:r>
          </w:p>
        </w:tc>
        <w:tc>
          <w:tcPr>
            <w:tcW w:w="0" w:type="pct"/>
            <w:noWrap/>
            <w:hideMark/>
          </w:tcPr>
          <w:p w14:paraId="0A5513DD" w14:textId="0CF615D6"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7CE7BDA1" w14:textId="37297775" w:rsidR="00504E0F" w:rsidRPr="00490C53" w:rsidRDefault="00504E0F" w:rsidP="00504E0F">
            <w:pPr>
              <w:pStyle w:val="Tabletext"/>
              <w:jc w:val="right"/>
              <w:rPr>
                <w:rFonts w:cstheme="minorHAnsi"/>
                <w:szCs w:val="24"/>
                <w:lang w:eastAsia="en-GB"/>
              </w:rPr>
            </w:pPr>
            <w:r w:rsidRPr="00846F78">
              <w:rPr>
                <w:rFonts w:cstheme="minorHAnsi"/>
                <w:szCs w:val="24"/>
              </w:rPr>
              <w:t>3%</w:t>
            </w:r>
          </w:p>
        </w:tc>
      </w:tr>
      <w:tr w:rsidR="00504E0F" w:rsidRPr="00490C53" w14:paraId="4CC724B2" w14:textId="77777777" w:rsidTr="00846F78">
        <w:tblPrEx>
          <w:tblCellMar>
            <w:left w:w="108" w:type="dxa"/>
            <w:right w:w="108" w:type="dxa"/>
          </w:tblCellMar>
        </w:tblPrEx>
        <w:trPr>
          <w:trHeight w:val="290"/>
        </w:trPr>
        <w:tc>
          <w:tcPr>
            <w:tcW w:w="0" w:type="pct"/>
            <w:noWrap/>
            <w:vAlign w:val="center"/>
          </w:tcPr>
          <w:p w14:paraId="238A77F3" w14:textId="77777777" w:rsidR="00504E0F" w:rsidRPr="00490C53" w:rsidRDefault="00504E0F" w:rsidP="00504E0F">
            <w:pPr>
              <w:pStyle w:val="Tabletext"/>
              <w:rPr>
                <w:lang w:eastAsia="en-GB"/>
              </w:rPr>
            </w:pPr>
          </w:p>
        </w:tc>
        <w:tc>
          <w:tcPr>
            <w:tcW w:w="0" w:type="pct"/>
            <w:noWrap/>
            <w:vAlign w:val="center"/>
            <w:hideMark/>
          </w:tcPr>
          <w:p w14:paraId="12286C76" w14:textId="77777777" w:rsidR="00504E0F" w:rsidRPr="00490C53" w:rsidRDefault="00504E0F" w:rsidP="00504E0F">
            <w:pPr>
              <w:pStyle w:val="Tabletext"/>
              <w:rPr>
                <w:lang w:eastAsia="en-GB"/>
              </w:rPr>
            </w:pPr>
            <w:r w:rsidRPr="00490C53">
              <w:rPr>
                <w:lang w:eastAsia="en-GB"/>
              </w:rPr>
              <w:t>5m to 25m</w:t>
            </w:r>
          </w:p>
        </w:tc>
        <w:tc>
          <w:tcPr>
            <w:tcW w:w="0" w:type="pct"/>
            <w:noWrap/>
            <w:hideMark/>
          </w:tcPr>
          <w:p w14:paraId="33D5B3C6" w14:textId="57B07294"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285E82A8" w14:textId="2DD1025D" w:rsidR="00504E0F" w:rsidRPr="00490C53" w:rsidRDefault="00504E0F" w:rsidP="00504E0F">
            <w:pPr>
              <w:pStyle w:val="Tabletext"/>
              <w:jc w:val="right"/>
              <w:rPr>
                <w:rFonts w:cstheme="minorHAnsi"/>
                <w:szCs w:val="24"/>
                <w:lang w:eastAsia="en-GB"/>
              </w:rPr>
            </w:pPr>
            <w:r w:rsidRPr="00846F78">
              <w:rPr>
                <w:rFonts w:cstheme="minorHAnsi"/>
                <w:szCs w:val="24"/>
              </w:rPr>
              <w:t>1%</w:t>
            </w:r>
          </w:p>
        </w:tc>
      </w:tr>
      <w:tr w:rsidR="00504E0F" w:rsidRPr="00490C53" w14:paraId="25D699A3"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0ED7AD50" w14:textId="77777777" w:rsidR="00504E0F" w:rsidRPr="00490C53" w:rsidRDefault="00504E0F" w:rsidP="00504E0F">
            <w:pPr>
              <w:pStyle w:val="Tabletext"/>
              <w:rPr>
                <w:lang w:eastAsia="en-GB"/>
              </w:rPr>
            </w:pPr>
          </w:p>
        </w:tc>
        <w:tc>
          <w:tcPr>
            <w:tcW w:w="0" w:type="pct"/>
            <w:noWrap/>
            <w:vAlign w:val="center"/>
            <w:hideMark/>
          </w:tcPr>
          <w:p w14:paraId="03209814" w14:textId="77777777" w:rsidR="00504E0F" w:rsidRPr="00490C53" w:rsidRDefault="00504E0F" w:rsidP="00504E0F">
            <w:pPr>
              <w:pStyle w:val="Tabletext"/>
              <w:rPr>
                <w:lang w:eastAsia="en-GB"/>
              </w:rPr>
            </w:pPr>
            <w:r w:rsidRPr="00490C53">
              <w:rPr>
                <w:lang w:eastAsia="en-GB"/>
              </w:rPr>
              <w:t>25m to 50m</w:t>
            </w:r>
          </w:p>
        </w:tc>
        <w:tc>
          <w:tcPr>
            <w:tcW w:w="0" w:type="pct"/>
            <w:noWrap/>
            <w:hideMark/>
          </w:tcPr>
          <w:p w14:paraId="1476EBB8" w14:textId="27288EAE"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313DAB05" w14:textId="33F11B4C"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29901545" w14:textId="77777777" w:rsidTr="00846F78">
        <w:tblPrEx>
          <w:tblCellMar>
            <w:left w:w="108" w:type="dxa"/>
            <w:right w:w="108" w:type="dxa"/>
          </w:tblCellMar>
        </w:tblPrEx>
        <w:trPr>
          <w:trHeight w:val="290"/>
        </w:trPr>
        <w:tc>
          <w:tcPr>
            <w:tcW w:w="0" w:type="pct"/>
            <w:noWrap/>
            <w:vAlign w:val="center"/>
          </w:tcPr>
          <w:p w14:paraId="34D0CC3F" w14:textId="77777777" w:rsidR="00504E0F" w:rsidRPr="00490C53" w:rsidRDefault="00504E0F" w:rsidP="00504E0F">
            <w:pPr>
              <w:pStyle w:val="Tabletext"/>
              <w:rPr>
                <w:lang w:eastAsia="en-GB"/>
              </w:rPr>
            </w:pPr>
          </w:p>
        </w:tc>
        <w:tc>
          <w:tcPr>
            <w:tcW w:w="0" w:type="pct"/>
            <w:noWrap/>
            <w:vAlign w:val="center"/>
            <w:hideMark/>
          </w:tcPr>
          <w:p w14:paraId="4938520C" w14:textId="77777777" w:rsidR="00504E0F" w:rsidRPr="00490C53" w:rsidRDefault="00504E0F" w:rsidP="00504E0F">
            <w:pPr>
              <w:pStyle w:val="Tabletext"/>
              <w:rPr>
                <w:lang w:eastAsia="en-GB"/>
              </w:rPr>
            </w:pPr>
            <w:r w:rsidRPr="00490C53">
              <w:rPr>
                <w:lang w:eastAsia="en-GB"/>
              </w:rPr>
              <w:t>50m to 200m</w:t>
            </w:r>
          </w:p>
        </w:tc>
        <w:tc>
          <w:tcPr>
            <w:tcW w:w="0" w:type="pct"/>
            <w:noWrap/>
            <w:hideMark/>
          </w:tcPr>
          <w:p w14:paraId="10B062F0" w14:textId="59F666CD"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59D05D17" w14:textId="78D2F97C" w:rsidR="00504E0F" w:rsidRPr="00490C53" w:rsidRDefault="00504E0F" w:rsidP="00504E0F">
            <w:pPr>
              <w:pStyle w:val="Tabletext"/>
              <w:jc w:val="right"/>
              <w:rPr>
                <w:rFonts w:cstheme="minorHAnsi"/>
                <w:szCs w:val="24"/>
                <w:lang w:eastAsia="en-GB"/>
              </w:rPr>
            </w:pPr>
            <w:r w:rsidRPr="00846F78">
              <w:rPr>
                <w:rFonts w:cstheme="minorHAnsi"/>
                <w:szCs w:val="24"/>
              </w:rPr>
              <w:t>1%</w:t>
            </w:r>
          </w:p>
        </w:tc>
      </w:tr>
      <w:tr w:rsidR="00504E0F" w:rsidRPr="00490C53" w14:paraId="09B28F34"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178CD0B6" w14:textId="77777777" w:rsidR="00504E0F" w:rsidRPr="00490C53" w:rsidRDefault="00504E0F" w:rsidP="00504E0F">
            <w:pPr>
              <w:pStyle w:val="Tabletext"/>
              <w:rPr>
                <w:lang w:eastAsia="en-GB"/>
              </w:rPr>
            </w:pPr>
          </w:p>
        </w:tc>
        <w:tc>
          <w:tcPr>
            <w:tcW w:w="0" w:type="pct"/>
            <w:noWrap/>
            <w:vAlign w:val="center"/>
            <w:hideMark/>
          </w:tcPr>
          <w:p w14:paraId="102F8507" w14:textId="77777777" w:rsidR="00504E0F" w:rsidRPr="00490C53" w:rsidRDefault="00504E0F" w:rsidP="00504E0F">
            <w:pPr>
              <w:pStyle w:val="Tabletext"/>
              <w:rPr>
                <w:lang w:eastAsia="en-GB"/>
              </w:rPr>
            </w:pPr>
            <w:r w:rsidRPr="00490C53">
              <w:rPr>
                <w:lang w:eastAsia="en-GB"/>
              </w:rPr>
              <w:t>&gt;200m</w:t>
            </w:r>
          </w:p>
        </w:tc>
        <w:tc>
          <w:tcPr>
            <w:tcW w:w="0" w:type="pct"/>
            <w:noWrap/>
            <w:hideMark/>
          </w:tcPr>
          <w:p w14:paraId="0A0F05C8" w14:textId="5CD2AC26"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7D5D91E2" w14:textId="082E78C8"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2E5EA2B9" w14:textId="77777777" w:rsidTr="00846F78">
        <w:tblPrEx>
          <w:tblCellMar>
            <w:left w:w="108" w:type="dxa"/>
            <w:right w:w="108" w:type="dxa"/>
          </w:tblCellMar>
        </w:tblPrEx>
        <w:trPr>
          <w:trHeight w:val="290"/>
        </w:trPr>
        <w:tc>
          <w:tcPr>
            <w:tcW w:w="0" w:type="pct"/>
            <w:noWrap/>
            <w:vAlign w:val="center"/>
          </w:tcPr>
          <w:p w14:paraId="222C7A5C" w14:textId="77777777" w:rsidR="00504E0F" w:rsidRPr="00490C53" w:rsidRDefault="00504E0F" w:rsidP="00504E0F">
            <w:pPr>
              <w:pStyle w:val="Tabletext"/>
              <w:rPr>
                <w:lang w:eastAsia="en-GB"/>
              </w:rPr>
            </w:pPr>
          </w:p>
        </w:tc>
        <w:tc>
          <w:tcPr>
            <w:tcW w:w="0" w:type="pct"/>
            <w:noWrap/>
            <w:vAlign w:val="center"/>
            <w:hideMark/>
          </w:tcPr>
          <w:p w14:paraId="1F5EE54E" w14:textId="77777777" w:rsidR="00504E0F" w:rsidRPr="00490C53" w:rsidRDefault="00504E0F" w:rsidP="00504E0F">
            <w:pPr>
              <w:pStyle w:val="Tabletext"/>
              <w:rPr>
                <w:lang w:eastAsia="en-GB"/>
              </w:rPr>
            </w:pPr>
            <w:r w:rsidRPr="00490C53">
              <w:rPr>
                <w:lang w:eastAsia="en-GB"/>
              </w:rPr>
              <w:t>Weighted average</w:t>
            </w:r>
          </w:p>
        </w:tc>
        <w:tc>
          <w:tcPr>
            <w:tcW w:w="0" w:type="pct"/>
            <w:noWrap/>
            <w:hideMark/>
          </w:tcPr>
          <w:p w14:paraId="168F9890" w14:textId="72B4D669" w:rsidR="00504E0F" w:rsidRPr="00490C53" w:rsidRDefault="00504E0F" w:rsidP="00504E0F">
            <w:pPr>
              <w:pStyle w:val="Tabletext"/>
              <w:jc w:val="right"/>
              <w:rPr>
                <w:rFonts w:cstheme="minorHAnsi"/>
                <w:szCs w:val="24"/>
                <w:lang w:eastAsia="en-GB"/>
              </w:rPr>
            </w:pPr>
            <w:r w:rsidRPr="00846F78">
              <w:rPr>
                <w:rFonts w:cstheme="minorHAnsi"/>
                <w:szCs w:val="24"/>
              </w:rPr>
              <w:t>5%</w:t>
            </w:r>
          </w:p>
        </w:tc>
        <w:tc>
          <w:tcPr>
            <w:tcW w:w="0" w:type="pct"/>
            <w:noWrap/>
            <w:hideMark/>
          </w:tcPr>
          <w:p w14:paraId="1DDC7AC5" w14:textId="1350F0F7" w:rsidR="00504E0F" w:rsidRPr="00490C53" w:rsidRDefault="00504E0F" w:rsidP="00504E0F">
            <w:pPr>
              <w:pStyle w:val="Tabletext"/>
              <w:jc w:val="right"/>
              <w:rPr>
                <w:rFonts w:cstheme="minorHAnsi"/>
                <w:szCs w:val="24"/>
                <w:lang w:eastAsia="en-GB"/>
              </w:rPr>
            </w:pPr>
            <w:r w:rsidRPr="00846F78">
              <w:rPr>
                <w:rFonts w:cstheme="minorHAnsi"/>
                <w:szCs w:val="24"/>
              </w:rPr>
              <w:t>4%</w:t>
            </w:r>
          </w:p>
        </w:tc>
      </w:tr>
      <w:tr w:rsidR="00504E0F" w:rsidRPr="00490C53" w14:paraId="51F9C283"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hideMark/>
          </w:tcPr>
          <w:p w14:paraId="7F954DCC" w14:textId="77777777" w:rsidR="00504E0F" w:rsidRPr="00490C53" w:rsidRDefault="00504E0F" w:rsidP="00504E0F">
            <w:pPr>
              <w:pStyle w:val="Tabletext"/>
              <w:rPr>
                <w:lang w:eastAsia="en-GB"/>
              </w:rPr>
            </w:pPr>
            <w:r w:rsidRPr="00490C53">
              <w:rPr>
                <w:lang w:eastAsia="en-GB"/>
              </w:rPr>
              <w:lastRenderedPageBreak/>
              <w:t>Wales</w:t>
            </w:r>
          </w:p>
        </w:tc>
        <w:tc>
          <w:tcPr>
            <w:tcW w:w="0" w:type="pct"/>
            <w:noWrap/>
            <w:vAlign w:val="center"/>
            <w:hideMark/>
          </w:tcPr>
          <w:p w14:paraId="1DD68CF6" w14:textId="77777777" w:rsidR="00504E0F" w:rsidRPr="00490C53" w:rsidRDefault="00504E0F" w:rsidP="00504E0F">
            <w:pPr>
              <w:pStyle w:val="Tabletext"/>
              <w:rPr>
                <w:lang w:eastAsia="en-GB"/>
              </w:rPr>
            </w:pPr>
            <w:r w:rsidRPr="00490C53">
              <w:rPr>
                <w:lang w:eastAsia="en-GB"/>
              </w:rPr>
              <w:t>Less than 50K</w:t>
            </w:r>
          </w:p>
        </w:tc>
        <w:tc>
          <w:tcPr>
            <w:tcW w:w="0" w:type="pct"/>
            <w:noWrap/>
            <w:hideMark/>
          </w:tcPr>
          <w:p w14:paraId="4AEA8AF7" w14:textId="700E4C75" w:rsidR="00504E0F" w:rsidRPr="00490C53" w:rsidRDefault="00504E0F" w:rsidP="00504E0F">
            <w:pPr>
              <w:pStyle w:val="Tabletext"/>
              <w:jc w:val="right"/>
              <w:rPr>
                <w:rFonts w:cstheme="minorHAnsi"/>
                <w:szCs w:val="24"/>
                <w:lang w:eastAsia="en-GB"/>
              </w:rPr>
            </w:pPr>
            <w:r w:rsidRPr="00846F78">
              <w:rPr>
                <w:rFonts w:cstheme="minorHAnsi"/>
                <w:szCs w:val="24"/>
              </w:rPr>
              <w:t>10%</w:t>
            </w:r>
          </w:p>
        </w:tc>
        <w:tc>
          <w:tcPr>
            <w:tcW w:w="0" w:type="pct"/>
            <w:noWrap/>
            <w:hideMark/>
          </w:tcPr>
          <w:p w14:paraId="22E1F827" w14:textId="59D9A49D"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27A5B81B" w14:textId="77777777" w:rsidTr="00846F78">
        <w:tblPrEx>
          <w:tblCellMar>
            <w:left w:w="108" w:type="dxa"/>
            <w:right w:w="108" w:type="dxa"/>
          </w:tblCellMar>
        </w:tblPrEx>
        <w:trPr>
          <w:trHeight w:val="290"/>
        </w:trPr>
        <w:tc>
          <w:tcPr>
            <w:tcW w:w="0" w:type="pct"/>
            <w:noWrap/>
            <w:vAlign w:val="center"/>
          </w:tcPr>
          <w:p w14:paraId="75A80D54" w14:textId="77777777" w:rsidR="00504E0F" w:rsidRPr="00490C53" w:rsidRDefault="00504E0F" w:rsidP="00504E0F">
            <w:pPr>
              <w:pStyle w:val="Tabletext"/>
              <w:rPr>
                <w:lang w:eastAsia="en-GB"/>
              </w:rPr>
            </w:pPr>
          </w:p>
        </w:tc>
        <w:tc>
          <w:tcPr>
            <w:tcW w:w="0" w:type="pct"/>
            <w:noWrap/>
            <w:vAlign w:val="center"/>
            <w:hideMark/>
          </w:tcPr>
          <w:p w14:paraId="4B144561" w14:textId="77777777" w:rsidR="00504E0F" w:rsidRPr="00490C53" w:rsidRDefault="00504E0F" w:rsidP="00504E0F">
            <w:pPr>
              <w:pStyle w:val="Tabletext"/>
              <w:rPr>
                <w:lang w:eastAsia="en-GB"/>
              </w:rPr>
            </w:pPr>
            <w:r w:rsidRPr="00490C53">
              <w:rPr>
                <w:lang w:eastAsia="en-GB"/>
              </w:rPr>
              <w:t>50,001 to 100K</w:t>
            </w:r>
          </w:p>
        </w:tc>
        <w:tc>
          <w:tcPr>
            <w:tcW w:w="0" w:type="pct"/>
            <w:noWrap/>
            <w:hideMark/>
          </w:tcPr>
          <w:p w14:paraId="63B66970" w14:textId="3B911C65" w:rsidR="00504E0F" w:rsidRPr="00490C53" w:rsidRDefault="00504E0F" w:rsidP="00504E0F">
            <w:pPr>
              <w:pStyle w:val="Tabletext"/>
              <w:jc w:val="right"/>
              <w:rPr>
                <w:rFonts w:cstheme="minorHAnsi"/>
                <w:szCs w:val="24"/>
                <w:lang w:eastAsia="en-GB"/>
              </w:rPr>
            </w:pPr>
            <w:r w:rsidRPr="00846F78">
              <w:rPr>
                <w:rFonts w:cstheme="minorHAnsi"/>
                <w:szCs w:val="24"/>
              </w:rPr>
              <w:t>3%</w:t>
            </w:r>
          </w:p>
        </w:tc>
        <w:tc>
          <w:tcPr>
            <w:tcW w:w="0" w:type="pct"/>
            <w:noWrap/>
            <w:hideMark/>
          </w:tcPr>
          <w:p w14:paraId="67F7C74D" w14:textId="7510B63B" w:rsidR="00504E0F" w:rsidRPr="00490C53" w:rsidRDefault="00504E0F" w:rsidP="00504E0F">
            <w:pPr>
              <w:pStyle w:val="Tabletext"/>
              <w:jc w:val="right"/>
              <w:rPr>
                <w:rFonts w:cstheme="minorHAnsi"/>
                <w:szCs w:val="24"/>
                <w:lang w:eastAsia="en-GB"/>
              </w:rPr>
            </w:pPr>
            <w:r w:rsidRPr="00846F78">
              <w:rPr>
                <w:rFonts w:cstheme="minorHAnsi"/>
                <w:szCs w:val="24"/>
              </w:rPr>
              <w:t>15%</w:t>
            </w:r>
          </w:p>
        </w:tc>
      </w:tr>
      <w:tr w:rsidR="00504E0F" w:rsidRPr="00490C53" w14:paraId="7107F40A"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1B94A333" w14:textId="77777777" w:rsidR="00504E0F" w:rsidRPr="00490C53" w:rsidRDefault="00504E0F" w:rsidP="00504E0F">
            <w:pPr>
              <w:pStyle w:val="Tabletext"/>
              <w:rPr>
                <w:lang w:eastAsia="en-GB"/>
              </w:rPr>
            </w:pPr>
          </w:p>
        </w:tc>
        <w:tc>
          <w:tcPr>
            <w:tcW w:w="0" w:type="pct"/>
            <w:noWrap/>
            <w:vAlign w:val="center"/>
            <w:hideMark/>
          </w:tcPr>
          <w:p w14:paraId="3045A8A1" w14:textId="77777777" w:rsidR="00504E0F" w:rsidRPr="00490C53" w:rsidRDefault="00504E0F" w:rsidP="00504E0F">
            <w:pPr>
              <w:pStyle w:val="Tabletext"/>
              <w:rPr>
                <w:lang w:eastAsia="en-GB"/>
              </w:rPr>
            </w:pPr>
            <w:r w:rsidRPr="00490C53">
              <w:rPr>
                <w:lang w:eastAsia="en-GB"/>
              </w:rPr>
              <w:t>100,001 to 250K</w:t>
            </w:r>
          </w:p>
        </w:tc>
        <w:tc>
          <w:tcPr>
            <w:tcW w:w="0" w:type="pct"/>
            <w:noWrap/>
            <w:hideMark/>
          </w:tcPr>
          <w:p w14:paraId="7B62FECD" w14:textId="64BC4D2F"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1FD60845" w14:textId="3A9DBE69" w:rsidR="00504E0F" w:rsidRPr="00490C53" w:rsidRDefault="00504E0F" w:rsidP="00504E0F">
            <w:pPr>
              <w:pStyle w:val="Tabletext"/>
              <w:jc w:val="right"/>
              <w:rPr>
                <w:rFonts w:cstheme="minorHAnsi"/>
                <w:szCs w:val="24"/>
                <w:lang w:eastAsia="en-GB"/>
              </w:rPr>
            </w:pPr>
            <w:r w:rsidRPr="00846F78">
              <w:rPr>
                <w:rFonts w:cstheme="minorHAnsi"/>
                <w:szCs w:val="24"/>
              </w:rPr>
              <w:t>12%</w:t>
            </w:r>
          </w:p>
        </w:tc>
      </w:tr>
      <w:tr w:rsidR="00504E0F" w:rsidRPr="00490C53" w14:paraId="2BE56E4D" w14:textId="77777777" w:rsidTr="00846F78">
        <w:tblPrEx>
          <w:tblCellMar>
            <w:left w:w="108" w:type="dxa"/>
            <w:right w:w="108" w:type="dxa"/>
          </w:tblCellMar>
        </w:tblPrEx>
        <w:trPr>
          <w:trHeight w:val="290"/>
        </w:trPr>
        <w:tc>
          <w:tcPr>
            <w:tcW w:w="0" w:type="pct"/>
            <w:noWrap/>
            <w:vAlign w:val="center"/>
          </w:tcPr>
          <w:p w14:paraId="592A0D95" w14:textId="77777777" w:rsidR="00504E0F" w:rsidRPr="00490C53" w:rsidRDefault="00504E0F" w:rsidP="00504E0F">
            <w:pPr>
              <w:pStyle w:val="Tabletext"/>
              <w:rPr>
                <w:lang w:eastAsia="en-GB"/>
              </w:rPr>
            </w:pPr>
          </w:p>
        </w:tc>
        <w:tc>
          <w:tcPr>
            <w:tcW w:w="0" w:type="pct"/>
            <w:noWrap/>
            <w:vAlign w:val="center"/>
            <w:hideMark/>
          </w:tcPr>
          <w:p w14:paraId="3D57E0F9" w14:textId="77777777" w:rsidR="00504E0F" w:rsidRPr="00490C53" w:rsidRDefault="00504E0F" w:rsidP="00504E0F">
            <w:pPr>
              <w:pStyle w:val="Tabletext"/>
              <w:rPr>
                <w:lang w:eastAsia="en-GB"/>
              </w:rPr>
            </w:pPr>
            <w:r w:rsidRPr="00490C53">
              <w:rPr>
                <w:lang w:eastAsia="en-GB"/>
              </w:rPr>
              <w:t>250,001 to 500K</w:t>
            </w:r>
          </w:p>
        </w:tc>
        <w:tc>
          <w:tcPr>
            <w:tcW w:w="0" w:type="pct"/>
            <w:noWrap/>
            <w:hideMark/>
          </w:tcPr>
          <w:p w14:paraId="6F5E941C" w14:textId="751B69DE" w:rsidR="00504E0F" w:rsidRPr="00490C53" w:rsidRDefault="00504E0F" w:rsidP="00504E0F">
            <w:pPr>
              <w:pStyle w:val="Tabletext"/>
              <w:jc w:val="right"/>
              <w:rPr>
                <w:rFonts w:cstheme="minorHAnsi"/>
                <w:szCs w:val="24"/>
                <w:lang w:eastAsia="en-GB"/>
              </w:rPr>
            </w:pPr>
            <w:r w:rsidRPr="00846F78">
              <w:rPr>
                <w:rFonts w:cstheme="minorHAnsi"/>
                <w:szCs w:val="24"/>
              </w:rPr>
              <w:t>9%</w:t>
            </w:r>
          </w:p>
        </w:tc>
        <w:tc>
          <w:tcPr>
            <w:tcW w:w="0" w:type="pct"/>
            <w:noWrap/>
            <w:hideMark/>
          </w:tcPr>
          <w:p w14:paraId="1A64E658" w14:textId="6F238C1B" w:rsidR="00504E0F" w:rsidRPr="00490C53" w:rsidRDefault="00504E0F" w:rsidP="00504E0F">
            <w:pPr>
              <w:pStyle w:val="Tabletext"/>
              <w:jc w:val="right"/>
              <w:rPr>
                <w:rFonts w:cstheme="minorHAnsi"/>
                <w:szCs w:val="24"/>
                <w:lang w:eastAsia="en-GB"/>
              </w:rPr>
            </w:pPr>
            <w:r w:rsidRPr="00846F78">
              <w:rPr>
                <w:rFonts w:cstheme="minorHAnsi"/>
                <w:szCs w:val="24"/>
              </w:rPr>
              <w:t>7%</w:t>
            </w:r>
          </w:p>
        </w:tc>
      </w:tr>
      <w:tr w:rsidR="00504E0F" w:rsidRPr="00490C53" w14:paraId="2CD07937"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1BC53985" w14:textId="77777777" w:rsidR="00504E0F" w:rsidRPr="00490C53" w:rsidRDefault="00504E0F" w:rsidP="00504E0F">
            <w:pPr>
              <w:pStyle w:val="Tabletext"/>
              <w:rPr>
                <w:lang w:eastAsia="en-GB"/>
              </w:rPr>
            </w:pPr>
          </w:p>
        </w:tc>
        <w:tc>
          <w:tcPr>
            <w:tcW w:w="0" w:type="pct"/>
            <w:noWrap/>
            <w:vAlign w:val="center"/>
            <w:hideMark/>
          </w:tcPr>
          <w:p w14:paraId="783C69F8" w14:textId="77777777" w:rsidR="00504E0F" w:rsidRPr="00490C53" w:rsidRDefault="00504E0F" w:rsidP="00504E0F">
            <w:pPr>
              <w:pStyle w:val="Tabletext"/>
              <w:rPr>
                <w:lang w:eastAsia="en-GB"/>
              </w:rPr>
            </w:pPr>
            <w:r w:rsidRPr="00490C53">
              <w:rPr>
                <w:lang w:eastAsia="en-GB"/>
              </w:rPr>
              <w:t>500,001 to 1m</w:t>
            </w:r>
          </w:p>
        </w:tc>
        <w:tc>
          <w:tcPr>
            <w:tcW w:w="0" w:type="pct"/>
            <w:noWrap/>
            <w:hideMark/>
          </w:tcPr>
          <w:p w14:paraId="40BA5A50" w14:textId="5C27C415"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4827756C" w14:textId="6AA80B27" w:rsidR="00504E0F" w:rsidRPr="00490C53" w:rsidRDefault="00504E0F" w:rsidP="00504E0F">
            <w:pPr>
              <w:pStyle w:val="Tabletext"/>
              <w:jc w:val="right"/>
              <w:rPr>
                <w:rFonts w:cstheme="minorHAnsi"/>
                <w:szCs w:val="24"/>
                <w:lang w:eastAsia="en-GB"/>
              </w:rPr>
            </w:pPr>
            <w:r w:rsidRPr="00846F78">
              <w:rPr>
                <w:rFonts w:cstheme="minorHAnsi"/>
                <w:szCs w:val="24"/>
              </w:rPr>
              <w:t>9%</w:t>
            </w:r>
          </w:p>
        </w:tc>
      </w:tr>
      <w:tr w:rsidR="00504E0F" w:rsidRPr="00490C53" w14:paraId="09DDCE98" w14:textId="77777777" w:rsidTr="00846F78">
        <w:tblPrEx>
          <w:tblCellMar>
            <w:left w:w="108" w:type="dxa"/>
            <w:right w:w="108" w:type="dxa"/>
          </w:tblCellMar>
        </w:tblPrEx>
        <w:trPr>
          <w:trHeight w:val="290"/>
        </w:trPr>
        <w:tc>
          <w:tcPr>
            <w:tcW w:w="0" w:type="pct"/>
            <w:noWrap/>
            <w:vAlign w:val="center"/>
          </w:tcPr>
          <w:p w14:paraId="54C709AC" w14:textId="77777777" w:rsidR="00504E0F" w:rsidRPr="00490C53" w:rsidRDefault="00504E0F" w:rsidP="00504E0F">
            <w:pPr>
              <w:pStyle w:val="Tabletext"/>
              <w:rPr>
                <w:lang w:eastAsia="en-GB"/>
              </w:rPr>
            </w:pPr>
          </w:p>
        </w:tc>
        <w:tc>
          <w:tcPr>
            <w:tcW w:w="0" w:type="pct"/>
            <w:noWrap/>
            <w:vAlign w:val="center"/>
            <w:hideMark/>
          </w:tcPr>
          <w:p w14:paraId="72CAEB64" w14:textId="77777777" w:rsidR="00504E0F" w:rsidRPr="00490C53" w:rsidRDefault="00504E0F" w:rsidP="00504E0F">
            <w:pPr>
              <w:pStyle w:val="Tabletext"/>
              <w:rPr>
                <w:lang w:eastAsia="en-GB"/>
              </w:rPr>
            </w:pPr>
            <w:r w:rsidRPr="00490C53">
              <w:rPr>
                <w:lang w:eastAsia="en-GB"/>
              </w:rPr>
              <w:t>1m to 5m</w:t>
            </w:r>
          </w:p>
        </w:tc>
        <w:tc>
          <w:tcPr>
            <w:tcW w:w="0" w:type="pct"/>
            <w:noWrap/>
            <w:hideMark/>
          </w:tcPr>
          <w:p w14:paraId="6DB54859" w14:textId="45C05138" w:rsidR="00504E0F" w:rsidRPr="00490C53" w:rsidRDefault="00504E0F" w:rsidP="00504E0F">
            <w:pPr>
              <w:pStyle w:val="Tabletext"/>
              <w:jc w:val="right"/>
              <w:rPr>
                <w:rFonts w:cstheme="minorHAnsi"/>
                <w:szCs w:val="24"/>
                <w:lang w:eastAsia="en-GB"/>
              </w:rPr>
            </w:pPr>
            <w:r w:rsidRPr="00846F78">
              <w:rPr>
                <w:rFonts w:cstheme="minorHAnsi"/>
                <w:szCs w:val="24"/>
              </w:rPr>
              <w:t>4%</w:t>
            </w:r>
          </w:p>
        </w:tc>
        <w:tc>
          <w:tcPr>
            <w:tcW w:w="0" w:type="pct"/>
            <w:noWrap/>
            <w:hideMark/>
          </w:tcPr>
          <w:p w14:paraId="5EA56342" w14:textId="3BA97C02" w:rsidR="00504E0F" w:rsidRPr="00490C53" w:rsidRDefault="00504E0F" w:rsidP="00504E0F">
            <w:pPr>
              <w:pStyle w:val="Tabletext"/>
              <w:jc w:val="right"/>
              <w:rPr>
                <w:rFonts w:cstheme="minorHAnsi"/>
                <w:szCs w:val="24"/>
                <w:lang w:eastAsia="en-GB"/>
              </w:rPr>
            </w:pPr>
            <w:r w:rsidRPr="00846F78">
              <w:rPr>
                <w:rFonts w:cstheme="minorHAnsi"/>
                <w:szCs w:val="24"/>
              </w:rPr>
              <w:t>3%</w:t>
            </w:r>
          </w:p>
        </w:tc>
      </w:tr>
      <w:tr w:rsidR="00504E0F" w:rsidRPr="00490C53" w14:paraId="10DDBE63"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1D4B5B1D" w14:textId="77777777" w:rsidR="00504E0F" w:rsidRPr="00490C53" w:rsidRDefault="00504E0F" w:rsidP="00504E0F">
            <w:pPr>
              <w:pStyle w:val="Tabletext"/>
              <w:rPr>
                <w:lang w:eastAsia="en-GB"/>
              </w:rPr>
            </w:pPr>
          </w:p>
        </w:tc>
        <w:tc>
          <w:tcPr>
            <w:tcW w:w="0" w:type="pct"/>
            <w:noWrap/>
            <w:vAlign w:val="center"/>
            <w:hideMark/>
          </w:tcPr>
          <w:p w14:paraId="6EF31C5B" w14:textId="77777777" w:rsidR="00504E0F" w:rsidRPr="00490C53" w:rsidRDefault="00504E0F" w:rsidP="00504E0F">
            <w:pPr>
              <w:pStyle w:val="Tabletext"/>
              <w:rPr>
                <w:lang w:eastAsia="en-GB"/>
              </w:rPr>
            </w:pPr>
            <w:r w:rsidRPr="00490C53">
              <w:rPr>
                <w:lang w:eastAsia="en-GB"/>
              </w:rPr>
              <w:t>5m to 25m</w:t>
            </w:r>
          </w:p>
        </w:tc>
        <w:tc>
          <w:tcPr>
            <w:tcW w:w="0" w:type="pct"/>
            <w:noWrap/>
            <w:hideMark/>
          </w:tcPr>
          <w:p w14:paraId="7F93D16E" w14:textId="7DF8A689"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64D66B42" w14:textId="605988C4" w:rsidR="00504E0F" w:rsidRPr="00490C53" w:rsidRDefault="00504E0F" w:rsidP="00504E0F">
            <w:pPr>
              <w:pStyle w:val="Tabletext"/>
              <w:jc w:val="right"/>
              <w:rPr>
                <w:rFonts w:cstheme="minorHAnsi"/>
                <w:szCs w:val="24"/>
                <w:lang w:eastAsia="en-GB"/>
              </w:rPr>
            </w:pPr>
            <w:r w:rsidRPr="00846F78">
              <w:rPr>
                <w:rFonts w:cstheme="minorHAnsi"/>
                <w:szCs w:val="24"/>
              </w:rPr>
              <w:t>2%</w:t>
            </w:r>
          </w:p>
        </w:tc>
      </w:tr>
      <w:tr w:rsidR="00504E0F" w:rsidRPr="00490C53" w14:paraId="13B2B495" w14:textId="77777777" w:rsidTr="00846F78">
        <w:tblPrEx>
          <w:tblCellMar>
            <w:left w:w="108" w:type="dxa"/>
            <w:right w:w="108" w:type="dxa"/>
          </w:tblCellMar>
        </w:tblPrEx>
        <w:trPr>
          <w:trHeight w:val="290"/>
        </w:trPr>
        <w:tc>
          <w:tcPr>
            <w:tcW w:w="0" w:type="pct"/>
            <w:noWrap/>
            <w:vAlign w:val="center"/>
          </w:tcPr>
          <w:p w14:paraId="25DD95A9" w14:textId="77777777" w:rsidR="00504E0F" w:rsidRPr="00490C53" w:rsidRDefault="00504E0F" w:rsidP="00504E0F">
            <w:pPr>
              <w:pStyle w:val="Tabletext"/>
              <w:rPr>
                <w:lang w:eastAsia="en-GB"/>
              </w:rPr>
            </w:pPr>
          </w:p>
        </w:tc>
        <w:tc>
          <w:tcPr>
            <w:tcW w:w="0" w:type="pct"/>
            <w:noWrap/>
            <w:vAlign w:val="center"/>
            <w:hideMark/>
          </w:tcPr>
          <w:p w14:paraId="40C348FD" w14:textId="77777777" w:rsidR="00504E0F" w:rsidRPr="00490C53" w:rsidRDefault="00504E0F" w:rsidP="00504E0F">
            <w:pPr>
              <w:pStyle w:val="Tabletext"/>
              <w:rPr>
                <w:lang w:eastAsia="en-GB"/>
              </w:rPr>
            </w:pPr>
            <w:r w:rsidRPr="00490C53">
              <w:rPr>
                <w:lang w:eastAsia="en-GB"/>
              </w:rPr>
              <w:t>25m to 50m</w:t>
            </w:r>
          </w:p>
        </w:tc>
        <w:tc>
          <w:tcPr>
            <w:tcW w:w="0" w:type="pct"/>
            <w:noWrap/>
            <w:hideMark/>
          </w:tcPr>
          <w:p w14:paraId="1ED3EE86" w14:textId="4719C3C4"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437251A3" w14:textId="79A54597"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4056C276"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noWrap/>
            <w:vAlign w:val="center"/>
          </w:tcPr>
          <w:p w14:paraId="49C66DDA" w14:textId="77777777" w:rsidR="00504E0F" w:rsidRPr="00490C53" w:rsidRDefault="00504E0F" w:rsidP="00504E0F">
            <w:pPr>
              <w:pStyle w:val="Tabletext"/>
              <w:rPr>
                <w:lang w:eastAsia="en-GB"/>
              </w:rPr>
            </w:pPr>
          </w:p>
        </w:tc>
        <w:tc>
          <w:tcPr>
            <w:tcW w:w="0" w:type="pct"/>
            <w:noWrap/>
            <w:vAlign w:val="center"/>
            <w:hideMark/>
          </w:tcPr>
          <w:p w14:paraId="5C712719" w14:textId="77777777" w:rsidR="00504E0F" w:rsidRPr="00490C53" w:rsidRDefault="00504E0F" w:rsidP="00504E0F">
            <w:pPr>
              <w:pStyle w:val="Tabletext"/>
              <w:rPr>
                <w:lang w:eastAsia="en-GB"/>
              </w:rPr>
            </w:pPr>
            <w:r w:rsidRPr="00490C53">
              <w:rPr>
                <w:lang w:eastAsia="en-GB"/>
              </w:rPr>
              <w:t>50m to 200m</w:t>
            </w:r>
          </w:p>
        </w:tc>
        <w:tc>
          <w:tcPr>
            <w:tcW w:w="0" w:type="pct"/>
            <w:noWrap/>
            <w:hideMark/>
          </w:tcPr>
          <w:p w14:paraId="7BF5E14A" w14:textId="4278028E"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22D0D3B6" w14:textId="41F402B2"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1F5C6370" w14:textId="77777777" w:rsidTr="00846F78">
        <w:tblPrEx>
          <w:tblCellMar>
            <w:left w:w="108" w:type="dxa"/>
            <w:right w:w="108" w:type="dxa"/>
          </w:tblCellMar>
        </w:tblPrEx>
        <w:trPr>
          <w:trHeight w:val="290"/>
        </w:trPr>
        <w:tc>
          <w:tcPr>
            <w:tcW w:w="0" w:type="pct"/>
            <w:noWrap/>
            <w:vAlign w:val="center"/>
          </w:tcPr>
          <w:p w14:paraId="5B6EFE6F" w14:textId="77777777" w:rsidR="00504E0F" w:rsidRPr="00490C53" w:rsidRDefault="00504E0F" w:rsidP="00504E0F">
            <w:pPr>
              <w:pStyle w:val="Tabletext"/>
              <w:rPr>
                <w:lang w:eastAsia="en-GB"/>
              </w:rPr>
            </w:pPr>
          </w:p>
        </w:tc>
        <w:tc>
          <w:tcPr>
            <w:tcW w:w="0" w:type="pct"/>
            <w:noWrap/>
            <w:vAlign w:val="center"/>
            <w:hideMark/>
          </w:tcPr>
          <w:p w14:paraId="4C23D2CC" w14:textId="77777777" w:rsidR="00504E0F" w:rsidRPr="00490C53" w:rsidRDefault="00504E0F" w:rsidP="00504E0F">
            <w:pPr>
              <w:pStyle w:val="Tabletext"/>
              <w:rPr>
                <w:lang w:eastAsia="en-GB"/>
              </w:rPr>
            </w:pPr>
            <w:r w:rsidRPr="00490C53">
              <w:rPr>
                <w:lang w:eastAsia="en-GB"/>
              </w:rPr>
              <w:t>&gt;200m</w:t>
            </w:r>
          </w:p>
        </w:tc>
        <w:tc>
          <w:tcPr>
            <w:tcW w:w="0" w:type="pct"/>
            <w:noWrap/>
            <w:hideMark/>
          </w:tcPr>
          <w:p w14:paraId="155ABA39" w14:textId="1106DEF3" w:rsidR="00504E0F" w:rsidRPr="00490C53" w:rsidRDefault="00504E0F" w:rsidP="00504E0F">
            <w:pPr>
              <w:pStyle w:val="Tabletext"/>
              <w:jc w:val="right"/>
              <w:rPr>
                <w:rFonts w:cstheme="minorHAnsi"/>
                <w:szCs w:val="24"/>
                <w:lang w:eastAsia="en-GB"/>
              </w:rPr>
            </w:pPr>
            <w:r w:rsidRPr="00846F78">
              <w:rPr>
                <w:rFonts w:cstheme="minorHAnsi"/>
                <w:szCs w:val="24"/>
              </w:rPr>
              <w:t> </w:t>
            </w:r>
          </w:p>
        </w:tc>
        <w:tc>
          <w:tcPr>
            <w:tcW w:w="0" w:type="pct"/>
            <w:noWrap/>
            <w:hideMark/>
          </w:tcPr>
          <w:p w14:paraId="54A6D594" w14:textId="44BCAC06" w:rsidR="00504E0F" w:rsidRPr="00490C53" w:rsidRDefault="00504E0F" w:rsidP="00504E0F">
            <w:pPr>
              <w:pStyle w:val="Tabletext"/>
              <w:jc w:val="right"/>
              <w:rPr>
                <w:rFonts w:cstheme="minorHAnsi"/>
                <w:szCs w:val="24"/>
                <w:lang w:eastAsia="en-GB"/>
              </w:rPr>
            </w:pPr>
            <w:r w:rsidRPr="00846F78">
              <w:rPr>
                <w:rFonts w:cstheme="minorHAnsi"/>
                <w:szCs w:val="24"/>
              </w:rPr>
              <w:t>0%</w:t>
            </w:r>
          </w:p>
        </w:tc>
      </w:tr>
      <w:tr w:rsidR="00504E0F" w:rsidRPr="00490C53" w14:paraId="338497F5"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0" w:type="pct"/>
            <w:tcBorders>
              <w:bottom w:val="single" w:sz="4" w:space="0" w:color="0054BA" w:themeColor="accent2"/>
            </w:tcBorders>
            <w:noWrap/>
            <w:vAlign w:val="center"/>
          </w:tcPr>
          <w:p w14:paraId="365F7CE8" w14:textId="77777777" w:rsidR="00504E0F" w:rsidRPr="00490C53" w:rsidRDefault="00504E0F" w:rsidP="00504E0F">
            <w:pPr>
              <w:pStyle w:val="Tabletext"/>
              <w:rPr>
                <w:lang w:eastAsia="en-GB"/>
              </w:rPr>
            </w:pPr>
          </w:p>
        </w:tc>
        <w:tc>
          <w:tcPr>
            <w:tcW w:w="0" w:type="pct"/>
            <w:tcBorders>
              <w:bottom w:val="single" w:sz="4" w:space="0" w:color="0054BA" w:themeColor="accent2"/>
            </w:tcBorders>
            <w:noWrap/>
            <w:vAlign w:val="center"/>
            <w:hideMark/>
          </w:tcPr>
          <w:p w14:paraId="0847931F" w14:textId="77777777" w:rsidR="00504E0F" w:rsidRPr="00490C53" w:rsidRDefault="00504E0F" w:rsidP="00504E0F">
            <w:pPr>
              <w:pStyle w:val="Tabletext"/>
              <w:rPr>
                <w:lang w:eastAsia="en-GB"/>
              </w:rPr>
            </w:pPr>
            <w:r w:rsidRPr="00490C53">
              <w:rPr>
                <w:lang w:eastAsia="en-GB"/>
              </w:rPr>
              <w:t>Weighted average</w:t>
            </w:r>
          </w:p>
        </w:tc>
        <w:tc>
          <w:tcPr>
            <w:tcW w:w="0" w:type="pct"/>
            <w:tcBorders>
              <w:bottom w:val="single" w:sz="4" w:space="0" w:color="0054BA" w:themeColor="accent2"/>
            </w:tcBorders>
            <w:noWrap/>
            <w:hideMark/>
          </w:tcPr>
          <w:p w14:paraId="3CE3C0A3" w14:textId="5A76BF51" w:rsidR="00504E0F" w:rsidRPr="00490C53" w:rsidRDefault="00504E0F" w:rsidP="00504E0F">
            <w:pPr>
              <w:pStyle w:val="Tabletext"/>
              <w:jc w:val="right"/>
              <w:rPr>
                <w:rFonts w:cstheme="minorHAnsi"/>
                <w:szCs w:val="24"/>
                <w:lang w:eastAsia="en-GB"/>
              </w:rPr>
            </w:pPr>
            <w:r w:rsidRPr="00846F78">
              <w:rPr>
                <w:rFonts w:cstheme="minorHAnsi"/>
                <w:szCs w:val="24"/>
              </w:rPr>
              <w:t>6%</w:t>
            </w:r>
          </w:p>
        </w:tc>
        <w:tc>
          <w:tcPr>
            <w:tcW w:w="0" w:type="pct"/>
            <w:tcBorders>
              <w:bottom w:val="single" w:sz="4" w:space="0" w:color="0054BA" w:themeColor="accent2"/>
            </w:tcBorders>
            <w:noWrap/>
            <w:hideMark/>
          </w:tcPr>
          <w:p w14:paraId="086205C9" w14:textId="107A7FB1" w:rsidR="00504E0F" w:rsidRPr="00490C53" w:rsidRDefault="00504E0F" w:rsidP="00504E0F">
            <w:pPr>
              <w:pStyle w:val="Tabletext"/>
              <w:jc w:val="right"/>
              <w:rPr>
                <w:rFonts w:cstheme="minorHAnsi"/>
                <w:szCs w:val="24"/>
                <w:lang w:eastAsia="en-GB"/>
              </w:rPr>
            </w:pPr>
            <w:r w:rsidRPr="00846F78">
              <w:rPr>
                <w:rFonts w:cstheme="minorHAnsi"/>
                <w:szCs w:val="24"/>
              </w:rPr>
              <w:t>5%</w:t>
            </w:r>
          </w:p>
        </w:tc>
      </w:tr>
    </w:tbl>
    <w:p w14:paraId="196E527B" w14:textId="012225E1" w:rsidR="00AE2746" w:rsidRPr="00490C53" w:rsidRDefault="00765B0D" w:rsidP="002D323B">
      <w:pPr>
        <w:pStyle w:val="Caption"/>
      </w:pPr>
      <w:r w:rsidRPr="00490C53">
        <w:rPr>
          <w:lang w:eastAsia="en-GB"/>
        </w:rPr>
        <w:t>Weighted average calculated using PSM weight and turnover band</w:t>
      </w:r>
      <w:r w:rsidR="00974DFE" w:rsidRPr="00490C53">
        <w:rPr>
          <w:lang w:eastAsia="en-GB"/>
        </w:rPr>
        <w:t>, assuming a common turnover band distribution among borrowers across regions</w:t>
      </w:r>
      <w:r w:rsidRPr="00490C53">
        <w:rPr>
          <w:lang w:eastAsia="en-GB"/>
        </w:rPr>
        <w:t>.</w:t>
      </w:r>
      <w:r w:rsidR="00242DBA" w:rsidRPr="00490C53">
        <w:rPr>
          <w:rStyle w:val="FootnoteReference"/>
          <w:lang w:eastAsia="en-GB"/>
        </w:rPr>
        <w:footnoteReference w:id="165"/>
      </w:r>
      <w:r w:rsidR="00A83130" w:rsidRPr="00490C53">
        <w:rPr>
          <w:lang w:eastAsia="en-GB"/>
        </w:rPr>
        <w:t xml:space="preserve"> Firms with turnover greater than </w:t>
      </w:r>
      <w:r w:rsidR="00BA4231" w:rsidRPr="00490C53">
        <w:rPr>
          <w:lang w:eastAsia="en-GB"/>
        </w:rPr>
        <w:t xml:space="preserve">£5m are not included in the BBLS analysis. Otherwise, where a value is missing </w:t>
      </w:r>
      <w:r w:rsidR="00172674" w:rsidRPr="00490C53">
        <w:rPr>
          <w:lang w:eastAsia="en-GB"/>
        </w:rPr>
        <w:t xml:space="preserve">this is due to </w:t>
      </w:r>
      <w:r w:rsidR="00AE2C6A" w:rsidRPr="00490C53">
        <w:rPr>
          <w:lang w:eastAsia="en-GB"/>
        </w:rPr>
        <w:t>insufficient</w:t>
      </w:r>
      <w:r w:rsidR="00172674" w:rsidRPr="00490C53">
        <w:rPr>
          <w:lang w:eastAsia="en-GB"/>
        </w:rPr>
        <w:t xml:space="preserve"> sample</w:t>
      </w:r>
      <w:r w:rsidR="00AE2C6A" w:rsidRPr="00490C53">
        <w:rPr>
          <w:lang w:eastAsia="en-GB"/>
        </w:rPr>
        <w:t>.</w:t>
      </w:r>
      <w:r w:rsidR="00504E0F" w:rsidRPr="00490C53">
        <w:rPr>
          <w:lang w:eastAsia="en-GB"/>
        </w:rPr>
        <w:t xml:space="preserve"> Figures are rounded to the nearest</w:t>
      </w:r>
      <w:r w:rsidR="004F5A23" w:rsidRPr="00490C53">
        <w:rPr>
          <w:lang w:eastAsia="en-GB"/>
        </w:rPr>
        <w:t xml:space="preserve"> whole number</w:t>
      </w:r>
      <w:r w:rsidR="00504E0F" w:rsidRPr="00490C53">
        <w:rPr>
          <w:lang w:eastAsia="en-GB"/>
        </w:rPr>
        <w:t xml:space="preserve"> percentage</w:t>
      </w:r>
      <w:r w:rsidR="00B03F2B" w:rsidRPr="00490C53">
        <w:rPr>
          <w:lang w:eastAsia="en-GB"/>
        </w:rPr>
        <w:t>.</w:t>
      </w:r>
      <w:r w:rsidR="00750F0B" w:rsidRPr="00490C53">
        <w:rPr>
          <w:lang w:eastAsia="en-GB"/>
        </w:rPr>
        <w:t xml:space="preserve"> </w:t>
      </w:r>
      <w:r w:rsidR="00750F0B" w:rsidRPr="00490C53">
        <w:t>Source: London Economics’ analysis of IDBR data</w:t>
      </w:r>
      <w:r w:rsidR="009E6E8F">
        <w:t xml:space="preserve">, BBB Management Information and BBB Portal Data. </w:t>
      </w:r>
      <w:r w:rsidR="00AE2746" w:rsidRPr="00490C53">
        <w:br w:type="page"/>
      </w:r>
    </w:p>
    <w:p w14:paraId="2FAA4F22" w14:textId="188E094B" w:rsidR="00AE2746" w:rsidRPr="00490C53" w:rsidRDefault="00AE2746" w:rsidP="00236B73">
      <w:pPr>
        <w:pStyle w:val="Heading2"/>
      </w:pPr>
      <w:bookmarkStart w:id="299" w:name="_Toc149801275"/>
      <w:bookmarkStart w:id="300" w:name="_Toc151016594"/>
      <w:bookmarkStart w:id="301" w:name="_Toc151549907"/>
      <w:r w:rsidRPr="00490C53">
        <w:lastRenderedPageBreak/>
        <w:t>Econometrics methodology</w:t>
      </w:r>
      <w:r w:rsidR="004C1B46">
        <w:t xml:space="preserve"> and results</w:t>
      </w:r>
      <w:bookmarkEnd w:id="299"/>
      <w:bookmarkEnd w:id="300"/>
      <w:bookmarkEnd w:id="301"/>
      <w:r w:rsidRPr="00490C53">
        <w:t xml:space="preserve"> </w:t>
      </w:r>
    </w:p>
    <w:p w14:paraId="21F5CFAF" w14:textId="2470506C" w:rsidR="00AC55AD" w:rsidRPr="00490C53" w:rsidRDefault="00AC55AD" w:rsidP="00AC55AD">
      <w:r w:rsidRPr="00490C53">
        <w:t xml:space="preserve">This </w:t>
      </w:r>
      <w:r w:rsidR="00ED5728">
        <w:t>section</w:t>
      </w:r>
      <w:r w:rsidR="00ED5728" w:rsidRPr="00490C53">
        <w:t xml:space="preserve"> </w:t>
      </w:r>
      <w:r w:rsidRPr="00490C53">
        <w:t xml:space="preserve">describes the econometric approach used to quantify the impacts of the Covid-19 Loan Guarantee Schemes on business turnover and employment based on analysis of secondary data sources. As this </w:t>
      </w:r>
      <w:r w:rsidR="005B6FF2">
        <w:t xml:space="preserve">exercise </w:t>
      </w:r>
      <w:r w:rsidRPr="00490C53">
        <w:t>is intended as a</w:t>
      </w:r>
      <w:r w:rsidR="00600C4C">
        <w:t xml:space="preserve"> secondary analysis</w:t>
      </w:r>
      <w:r w:rsidRPr="00490C53">
        <w:t xml:space="preserve"> of the </w:t>
      </w:r>
      <w:r w:rsidR="00ED5728">
        <w:t>Y</w:t>
      </w:r>
      <w:r w:rsidRPr="00490C53">
        <w:t xml:space="preserve">ear 1 survey analysis, any key differences are highlighted between the </w:t>
      </w:r>
      <w:r w:rsidR="00ED5728">
        <w:t>Y</w:t>
      </w:r>
      <w:r w:rsidRPr="00490C53">
        <w:t>ear 1 survey analysis and this exercise.</w:t>
      </w:r>
      <w:r w:rsidR="004C69B9" w:rsidRPr="00490C53">
        <w:t xml:space="preserve"> Supplementary econometric results are provided thereafter. </w:t>
      </w:r>
    </w:p>
    <w:p w14:paraId="6E2D36E7" w14:textId="77777777" w:rsidR="00AE2746" w:rsidRPr="005D5D23" w:rsidRDefault="00AE2746" w:rsidP="00236B73">
      <w:bookmarkStart w:id="302" w:name="_Ref122612624"/>
      <w:r w:rsidRPr="00236B73">
        <w:rPr>
          <w:color w:val="142855" w:themeColor="text2"/>
        </w:rPr>
        <w:t>Methodological Approach</w:t>
      </w:r>
      <w:bookmarkEnd w:id="302"/>
    </w:p>
    <w:p w14:paraId="32BE7192" w14:textId="5857DE74" w:rsidR="00AC55AD" w:rsidRPr="00490C53" w:rsidRDefault="00AC55AD" w:rsidP="00AC55AD">
      <w:r w:rsidRPr="00490C53">
        <w:t>As was the case in the analysis of business survival, propensity score matching (PSM)</w:t>
      </w:r>
      <w:r w:rsidRPr="00490C53">
        <w:rPr>
          <w:rStyle w:val="FootnoteReference"/>
        </w:rPr>
        <w:footnoteReference w:id="166"/>
      </w:r>
      <w:r w:rsidRPr="00490C53">
        <w:t xml:space="preserve"> is implemented to identify a set of </w:t>
      </w:r>
      <w:r w:rsidR="00C52190" w:rsidRPr="00490C53">
        <w:t xml:space="preserve">non-borrowers </w:t>
      </w:r>
      <w:r w:rsidRPr="00490C53">
        <w:t xml:space="preserve">that closely resemble </w:t>
      </w:r>
      <w:r w:rsidR="00C52190" w:rsidRPr="00490C53">
        <w:t>borrowers</w:t>
      </w:r>
      <w:r w:rsidRPr="00490C53">
        <w:t xml:space="preserve">. Then, a comparison is made between </w:t>
      </w:r>
      <w:r w:rsidR="00C0754B" w:rsidRPr="00490C53">
        <w:t>borrowers and matched non-borrowers</w:t>
      </w:r>
      <w:r w:rsidR="002D745C" w:rsidRPr="00490C53">
        <w:t xml:space="preserve"> (</w:t>
      </w:r>
      <w:proofErr w:type="gramStart"/>
      <w:r w:rsidR="002D745C" w:rsidRPr="00490C53">
        <w:t>i.e.</w:t>
      </w:r>
      <w:proofErr w:type="gramEnd"/>
      <w:r w:rsidR="002D745C" w:rsidRPr="00490C53">
        <w:t xml:space="preserve"> the </w:t>
      </w:r>
      <w:r w:rsidR="00BA355F" w:rsidRPr="00490C53">
        <w:t>‘treated’ and ‘control’ groups</w:t>
      </w:r>
      <w:r w:rsidR="002D745C" w:rsidRPr="00490C53">
        <w:t>)</w:t>
      </w:r>
      <w:r w:rsidR="00C0754B" w:rsidRPr="00490C53">
        <w:t xml:space="preserve"> </w:t>
      </w:r>
      <w:r w:rsidR="00D66027" w:rsidRPr="00490C53">
        <w:t xml:space="preserve">both pre- and post-pandemic </w:t>
      </w:r>
      <w:r w:rsidRPr="00490C53">
        <w:t>using difference-in-differences</w:t>
      </w:r>
      <w:r w:rsidRPr="00490C53">
        <w:rPr>
          <w:rStyle w:val="FootnoteReference"/>
        </w:rPr>
        <w:footnoteReference w:id="167"/>
      </w:r>
      <w:r w:rsidRPr="00490C53">
        <w:t xml:space="preserve"> </w:t>
      </w:r>
      <w:r w:rsidR="00EF6378" w:rsidRPr="00490C53">
        <w:t>estimation</w:t>
      </w:r>
      <w:r w:rsidRPr="00490C53">
        <w:t xml:space="preserve">. </w:t>
      </w:r>
      <w:r w:rsidR="0096562A" w:rsidRPr="00490C53">
        <w:t>Both PSM and difference-in-differences estimation were performed</w:t>
      </w:r>
      <w:r w:rsidRPr="00490C53">
        <w:t xml:space="preserve"> using S</w:t>
      </w:r>
      <w:r w:rsidR="00F0351B" w:rsidRPr="00490C53">
        <w:t>tata</w:t>
      </w:r>
      <w:r w:rsidRPr="00490C53">
        <w:t xml:space="preserve">. Further detail on these two </w:t>
      </w:r>
      <w:r w:rsidR="00F70070" w:rsidRPr="00490C53">
        <w:t xml:space="preserve">components </w:t>
      </w:r>
      <w:r w:rsidRPr="00490C53">
        <w:t xml:space="preserve">of the methodology is presented in </w:t>
      </w:r>
      <w:r w:rsidR="00F70070" w:rsidRPr="00490C53">
        <w:t>this annex</w:t>
      </w:r>
      <w:r w:rsidRPr="00490C53">
        <w:t xml:space="preserve">. </w:t>
      </w:r>
    </w:p>
    <w:p w14:paraId="4F17B5BF" w14:textId="77777777" w:rsidR="00AC55AD" w:rsidRPr="00236B73" w:rsidRDefault="00AC55AD" w:rsidP="00236B73">
      <w:pPr>
        <w:rPr>
          <w:color w:val="142855" w:themeColor="text2"/>
        </w:rPr>
      </w:pPr>
      <w:bookmarkStart w:id="303" w:name="_Ref125473608"/>
      <w:r w:rsidRPr="00236B73">
        <w:rPr>
          <w:color w:val="142855" w:themeColor="text2"/>
        </w:rPr>
        <w:t>Propensity Score Matching (PSM)</w:t>
      </w:r>
      <w:bookmarkEnd w:id="303"/>
    </w:p>
    <w:p w14:paraId="19681E96" w14:textId="64D86E02" w:rsidR="00136F15" w:rsidRPr="00490C53" w:rsidRDefault="00AE5DF3" w:rsidP="00AC55AD">
      <w:r w:rsidRPr="00490C53">
        <w:t>PSM</w:t>
      </w:r>
      <w:r w:rsidR="00AC55AD" w:rsidRPr="00490C53">
        <w:t xml:space="preserve"> is implemented in the same manner as described </w:t>
      </w:r>
      <w:r w:rsidR="00EE59E7">
        <w:t>above</w:t>
      </w:r>
      <w:r w:rsidR="00AC55AD" w:rsidRPr="00490C53">
        <w:t xml:space="preserve">, with two key differences. First, </w:t>
      </w:r>
      <w:r w:rsidR="00845408" w:rsidRPr="00490C53">
        <w:t xml:space="preserve">businesses which </w:t>
      </w:r>
      <w:r w:rsidR="004550ED">
        <w:t>permanently closed</w:t>
      </w:r>
      <w:r w:rsidR="004550ED" w:rsidRPr="00490C53">
        <w:t xml:space="preserve"> </w:t>
      </w:r>
      <w:r w:rsidR="00845408" w:rsidRPr="00490C53">
        <w:t xml:space="preserve">in </w:t>
      </w:r>
      <w:r w:rsidR="005177EA" w:rsidRPr="00490C53">
        <w:t>between 1</w:t>
      </w:r>
      <w:r w:rsidR="005177EA" w:rsidRPr="00490C53">
        <w:rPr>
          <w:vertAlign w:val="superscript"/>
        </w:rPr>
        <w:t>st</w:t>
      </w:r>
      <w:r w:rsidR="005177EA" w:rsidRPr="00490C53">
        <w:t xml:space="preserve"> April 2020 and 31</w:t>
      </w:r>
      <w:r w:rsidR="005177EA" w:rsidRPr="00490C53">
        <w:rPr>
          <w:vertAlign w:val="superscript"/>
        </w:rPr>
        <w:t>st</w:t>
      </w:r>
      <w:r w:rsidR="005177EA" w:rsidRPr="00490C53">
        <w:t xml:space="preserve"> March 2021</w:t>
      </w:r>
      <w:r w:rsidR="00124C56" w:rsidRPr="00490C53">
        <w:t xml:space="preserve"> </w:t>
      </w:r>
      <w:r w:rsidR="00824A92" w:rsidRPr="00490C53">
        <w:t>are</w:t>
      </w:r>
      <w:r w:rsidR="00124C56" w:rsidRPr="00490C53">
        <w:t xml:space="preserve"> </w:t>
      </w:r>
      <w:r w:rsidR="00620FCC" w:rsidRPr="00490C53">
        <w:t xml:space="preserve">excluded from the PSM </w:t>
      </w:r>
      <w:r w:rsidR="00136F15" w:rsidRPr="00490C53">
        <w:t>prior to the difference-in-difference analysis</w:t>
      </w:r>
      <w:r w:rsidR="00620FCC" w:rsidRPr="00490C53">
        <w:t xml:space="preserve">. </w:t>
      </w:r>
      <w:r w:rsidR="00C608A7" w:rsidRPr="00490C53">
        <w:t xml:space="preserve">This </w:t>
      </w:r>
      <w:r w:rsidR="00824A92" w:rsidRPr="00490C53">
        <w:t>is</w:t>
      </w:r>
      <w:r w:rsidR="00C608A7" w:rsidRPr="00490C53">
        <w:t xml:space="preserve"> to avoid </w:t>
      </w:r>
      <w:r w:rsidR="00183388" w:rsidRPr="00490C53">
        <w:t>double counting</w:t>
      </w:r>
      <w:r w:rsidR="00C608A7" w:rsidRPr="00490C53">
        <w:t xml:space="preserve"> the impact of </w:t>
      </w:r>
      <w:r w:rsidR="002C30F3" w:rsidRPr="00490C53">
        <w:t>the schemes</w:t>
      </w:r>
      <w:r w:rsidR="00A50332" w:rsidRPr="00490C53">
        <w:t xml:space="preserve"> on </w:t>
      </w:r>
      <w:r w:rsidR="00C44EBF" w:rsidRPr="00490C53">
        <w:t>businesses that ceased trading</w:t>
      </w:r>
      <w:r w:rsidR="00D85FCD" w:rsidRPr="00490C53">
        <w:t xml:space="preserve"> </w:t>
      </w:r>
      <w:r w:rsidR="00580784" w:rsidRPr="00490C53">
        <w:t xml:space="preserve">by including them </w:t>
      </w:r>
      <w:r w:rsidR="00D85FCD" w:rsidRPr="00490C53">
        <w:t xml:space="preserve">in both the business survival </w:t>
      </w:r>
      <w:r w:rsidR="00E50559" w:rsidRPr="00490C53">
        <w:t xml:space="preserve">and </w:t>
      </w:r>
      <w:r w:rsidR="00D85FCD" w:rsidRPr="00490C53">
        <w:t>econometric analys</w:t>
      </w:r>
      <w:r w:rsidR="00D3514A" w:rsidRPr="00490C53">
        <w:t>es</w:t>
      </w:r>
      <w:r w:rsidR="00D85FCD" w:rsidRPr="00490C53">
        <w:t xml:space="preserve">. </w:t>
      </w:r>
    </w:p>
    <w:p w14:paraId="45607FFE" w14:textId="2B743179" w:rsidR="00AC55AD" w:rsidRPr="00490C53" w:rsidRDefault="0017147E" w:rsidP="00AC55AD">
      <w:r w:rsidRPr="00846F78">
        <w:t xml:space="preserve">Secondly, in the case of the PSM used in the business survival analysis, a restriction was applied so that only businesses active in </w:t>
      </w:r>
      <w:r w:rsidR="00D748F4">
        <w:t>the first year of the pandemic</w:t>
      </w:r>
      <w:r w:rsidR="00D748F4" w:rsidRPr="00846F78">
        <w:t xml:space="preserve"> </w:t>
      </w:r>
      <w:r w:rsidRPr="00846F78">
        <w:t>were matched to one another.</w:t>
      </w:r>
      <w:r w:rsidR="00AC55AD" w:rsidRPr="00490C53">
        <w:t xml:space="preserve"> This was to ensure that the business </w:t>
      </w:r>
      <w:r w:rsidR="004550ED">
        <w:t>closure</w:t>
      </w:r>
      <w:r w:rsidR="004550ED" w:rsidRPr="00490C53">
        <w:t xml:space="preserve"> </w:t>
      </w:r>
      <w:r w:rsidR="00AC55AD" w:rsidRPr="00490C53">
        <w:t xml:space="preserve">rates </w:t>
      </w:r>
      <w:r w:rsidR="002067AC" w:rsidRPr="00490C53">
        <w:t>are correctly defined with reference only to active firms</w:t>
      </w:r>
      <w:r w:rsidR="00AC55AD" w:rsidRPr="00490C53">
        <w:t xml:space="preserve">. However, in the case of the </w:t>
      </w:r>
      <w:r w:rsidR="00957FFC" w:rsidRPr="00490C53">
        <w:t xml:space="preserve">econometric </w:t>
      </w:r>
      <w:r w:rsidR="00AC55AD" w:rsidRPr="00490C53">
        <w:t xml:space="preserve">analysis of the </w:t>
      </w:r>
      <w:r w:rsidR="00957FFC" w:rsidRPr="00490C53">
        <w:t xml:space="preserve">Covid-19 Loan Guarantee Schemes’ </w:t>
      </w:r>
      <w:r w:rsidR="00AC55AD" w:rsidRPr="00490C53">
        <w:t xml:space="preserve">impact on turnover and employment, this condition is unnecessarily restrictive because it would remove firms that may have been inactive in </w:t>
      </w:r>
      <w:r w:rsidR="00D748F4">
        <w:t>the first year of the pandemic</w:t>
      </w:r>
      <w:r w:rsidR="00D748F4" w:rsidRPr="00490C53">
        <w:t xml:space="preserve"> </w:t>
      </w:r>
      <w:r w:rsidR="00AC55AD" w:rsidRPr="00490C53">
        <w:t xml:space="preserve">but were not recorded as a business </w:t>
      </w:r>
      <w:r w:rsidR="004550ED">
        <w:t>closure</w:t>
      </w:r>
      <w:r w:rsidR="00AC55AD" w:rsidRPr="00490C53">
        <w:t xml:space="preserve">. </w:t>
      </w:r>
      <w:r w:rsidR="00BF6B59" w:rsidRPr="00846F78">
        <w:t xml:space="preserve">Instead, to feature in the econometric </w:t>
      </w:r>
      <w:r w:rsidR="00BF6B59" w:rsidRPr="00846F78">
        <w:lastRenderedPageBreak/>
        <w:t xml:space="preserve">analysis, businesses were required to have non-missing </w:t>
      </w:r>
      <w:r w:rsidR="00DB0B98" w:rsidRPr="00490C53">
        <w:t xml:space="preserve">turnover </w:t>
      </w:r>
      <w:r w:rsidR="00BF6B59" w:rsidRPr="00490C53">
        <w:t>and</w:t>
      </w:r>
      <w:r w:rsidR="00DB0B98" w:rsidRPr="00490C53">
        <w:t xml:space="preserve"> employment </w:t>
      </w:r>
      <w:r w:rsidR="00AC55AD" w:rsidRPr="00490C53">
        <w:t xml:space="preserve">data in </w:t>
      </w:r>
      <w:r w:rsidR="00D748F4">
        <w:t>the first year of the pandemic</w:t>
      </w:r>
      <w:r w:rsidR="00AC55AD" w:rsidRPr="00490C53">
        <w:t>.</w:t>
      </w:r>
      <w:r w:rsidR="00E94D4D">
        <w:rPr>
          <w:rStyle w:val="FootnoteReference"/>
        </w:rPr>
        <w:footnoteReference w:id="168"/>
      </w:r>
    </w:p>
    <w:p w14:paraId="001CD4F4" w14:textId="1BBE07C5" w:rsidR="00DB0B98" w:rsidRPr="00490C53" w:rsidRDefault="001A7945" w:rsidP="00AC55AD">
      <w:r>
        <w:t>Because of differences in data sources, the</w:t>
      </w:r>
      <w:r w:rsidRPr="00490C53">
        <w:t xml:space="preserve"> </w:t>
      </w:r>
      <w:r w:rsidR="003A4F98" w:rsidRPr="00490C53">
        <w:t xml:space="preserve">set of covariates </w:t>
      </w:r>
      <w:r w:rsidR="00C809E6" w:rsidRPr="00490C53">
        <w:t xml:space="preserve">available for use in the PSM </w:t>
      </w:r>
      <w:r w:rsidR="00BD1E6D" w:rsidRPr="00490C53">
        <w:t>differed across</w:t>
      </w:r>
      <w:r w:rsidR="000F32E5" w:rsidRPr="00490C53">
        <w:t xml:space="preserve"> the </w:t>
      </w:r>
      <w:r w:rsidR="00DA466B">
        <w:t>Y</w:t>
      </w:r>
      <w:r w:rsidR="000F32E5" w:rsidRPr="00490C53">
        <w:t xml:space="preserve">ear 1 </w:t>
      </w:r>
      <w:r w:rsidR="00811655" w:rsidRPr="00490C53">
        <w:t xml:space="preserve">and </w:t>
      </w:r>
      <w:r w:rsidR="001F5733">
        <w:t>secondary</w:t>
      </w:r>
      <w:r w:rsidR="001F5733" w:rsidRPr="00490C53">
        <w:t xml:space="preserve"> </w:t>
      </w:r>
      <w:r w:rsidR="00811655" w:rsidRPr="00490C53">
        <w:t xml:space="preserve">analyses. </w:t>
      </w:r>
      <w:r w:rsidR="008A1A22" w:rsidRPr="00490C53">
        <w:t xml:space="preserve">Specifically, </w:t>
      </w:r>
      <w:r w:rsidR="00B149D0" w:rsidRPr="00490C53">
        <w:t>two years of one-year pre-pandemic</w:t>
      </w:r>
      <w:r w:rsidR="00C465A7" w:rsidRPr="00490C53">
        <w:t xml:space="preserve"> growth rates were </w:t>
      </w:r>
      <w:r w:rsidR="00034F7E" w:rsidRPr="00490C53">
        <w:t xml:space="preserve">available for </w:t>
      </w:r>
      <w:r w:rsidR="006330B6" w:rsidRPr="00490C53">
        <w:t xml:space="preserve">the </w:t>
      </w:r>
      <w:r w:rsidR="00C858C1">
        <w:t>secondary analysis</w:t>
      </w:r>
      <w:r w:rsidR="00C858C1" w:rsidRPr="00490C53">
        <w:t xml:space="preserve"> </w:t>
      </w:r>
      <w:r w:rsidR="00755F7F" w:rsidRPr="00490C53">
        <w:t xml:space="preserve">but not the </w:t>
      </w:r>
      <w:r w:rsidR="00DA466B">
        <w:t>Y</w:t>
      </w:r>
      <w:r w:rsidR="00755F7F" w:rsidRPr="00490C53">
        <w:t>ear 1 analysis</w:t>
      </w:r>
      <w:r w:rsidR="006330B6" w:rsidRPr="00490C53">
        <w:t xml:space="preserve">, </w:t>
      </w:r>
      <w:r w:rsidR="00034F7E" w:rsidRPr="00490C53">
        <w:t>and</w:t>
      </w:r>
      <w:r w:rsidR="00B13639" w:rsidRPr="00490C53">
        <w:t xml:space="preserve"> information on</w:t>
      </w:r>
      <w:r w:rsidR="009B7998" w:rsidRPr="00490C53">
        <w:t xml:space="preserve"> business obstacles </w:t>
      </w:r>
      <w:r w:rsidR="00755F7F" w:rsidRPr="00490C53">
        <w:t>(</w:t>
      </w:r>
      <w:r w:rsidR="00994BE7">
        <w:t xml:space="preserve">for example </w:t>
      </w:r>
      <w:r w:rsidR="00EC727F" w:rsidRPr="00490C53">
        <w:t xml:space="preserve">whether businesses experienced </w:t>
      </w:r>
      <w:r w:rsidR="00D9309A" w:rsidRPr="00490C53">
        <w:t>changes in market demand, supply chain disruptions etc.</w:t>
      </w:r>
      <w:r w:rsidR="00755F7F" w:rsidRPr="00490C53">
        <w:t>)</w:t>
      </w:r>
      <w:r w:rsidR="00034F7E" w:rsidRPr="00490C53">
        <w:t xml:space="preserve"> </w:t>
      </w:r>
      <w:r w:rsidR="00CF3E5E" w:rsidRPr="00490C53">
        <w:t>was</w:t>
      </w:r>
      <w:r w:rsidR="00034F7E" w:rsidRPr="00490C53">
        <w:t xml:space="preserve"> available for the </w:t>
      </w:r>
      <w:r w:rsidR="00DA466B">
        <w:t>Y</w:t>
      </w:r>
      <w:r w:rsidR="00034F7E" w:rsidRPr="00490C53">
        <w:t>ear 1 analysis but not th</w:t>
      </w:r>
      <w:r w:rsidR="00C858C1">
        <w:t>is</w:t>
      </w:r>
      <w:r w:rsidR="00034F7E" w:rsidRPr="00490C53">
        <w:t xml:space="preserve"> </w:t>
      </w:r>
      <w:r w:rsidR="008845F4" w:rsidRPr="00490C53">
        <w:t xml:space="preserve">exercise. </w:t>
      </w:r>
    </w:p>
    <w:p w14:paraId="221B19ED" w14:textId="4EBB2618" w:rsidR="00AC55AD" w:rsidRPr="00490C53" w:rsidRDefault="00AC55AD" w:rsidP="00AC55AD">
      <w:r w:rsidRPr="00490C53">
        <w:t xml:space="preserve">Once again, the PSM substantially reduces the differences between the </w:t>
      </w:r>
      <w:r w:rsidR="00802E06" w:rsidRPr="00490C53">
        <w:t xml:space="preserve">borrower </w:t>
      </w:r>
      <w:r w:rsidRPr="00490C53">
        <w:t xml:space="preserve">and </w:t>
      </w:r>
      <w:r w:rsidR="00802E06" w:rsidRPr="00490C53">
        <w:t xml:space="preserve">non-borrower </w:t>
      </w:r>
      <w:r w:rsidRPr="00490C53">
        <w:t xml:space="preserve">samples. </w:t>
      </w:r>
      <w:r w:rsidR="00C30968" w:rsidRPr="00490C53">
        <w:t xml:space="preserve">Indeed, the average difference in the prevalence of various characteristics included in the PSM fell </w:t>
      </w:r>
      <w:r w:rsidRPr="00490C53">
        <w:t xml:space="preserve">by approximately 94% </w:t>
      </w:r>
      <w:r w:rsidR="00B27E7E" w:rsidRPr="00490C53">
        <w:t xml:space="preserve">in the case of </w:t>
      </w:r>
      <w:r w:rsidRPr="00490C53">
        <w:t>the BBLS (</w:t>
      </w:r>
      <w:r w:rsidR="00B27E7E" w:rsidRPr="00490C53">
        <w:t xml:space="preserve">a fall of </w:t>
      </w:r>
      <w:r w:rsidRPr="00490C53">
        <w:t xml:space="preserve">5.5 percentage points from 5.9% to 0.4%) and 96% </w:t>
      </w:r>
      <w:r w:rsidR="00AD7ABD" w:rsidRPr="00490C53">
        <w:t xml:space="preserve">in the case of </w:t>
      </w:r>
      <w:r w:rsidRPr="00490C53">
        <w:t>the CBILS/CLBILS (</w:t>
      </w:r>
      <w:r w:rsidR="00AD7ABD" w:rsidRPr="00490C53">
        <w:t xml:space="preserve">a fall of </w:t>
      </w:r>
      <w:r w:rsidRPr="00490C53">
        <w:t xml:space="preserve">7.9 percentage points from 8.2% to 0.3%). </w:t>
      </w:r>
      <w:r w:rsidR="00AD7ABD" w:rsidRPr="00490C53">
        <w:t>The tables that follow provide more detail on the differences in the prevalence of the various characteristics included in the PSM across the borrower and non-borrower groups, before and after the PSM.</w:t>
      </w:r>
    </w:p>
    <w:p w14:paraId="4150C75C" w14:textId="435B6DCA" w:rsidR="006171CE" w:rsidRPr="00490C53" w:rsidRDefault="006171CE" w:rsidP="006171CE">
      <w:pPr>
        <w:pStyle w:val="Heading5"/>
      </w:pPr>
      <w:bookmarkStart w:id="304" w:name="_Ref151544525"/>
      <w:r w:rsidRPr="00490C53">
        <w:t xml:space="preserve">Table </w:t>
      </w:r>
      <w:r w:rsidRPr="00846F78">
        <w:fldChar w:fldCharType="begin"/>
      </w:r>
      <w:r w:rsidRPr="00490C53">
        <w:instrText xml:space="preserve"> SEQ Table \* ARABIC </w:instrText>
      </w:r>
      <w:r w:rsidRPr="00846F78">
        <w:fldChar w:fldCharType="separate"/>
      </w:r>
      <w:r w:rsidR="00397D49">
        <w:rPr>
          <w:noProof/>
        </w:rPr>
        <w:t>43</w:t>
      </w:r>
      <w:r w:rsidRPr="00846F78">
        <w:fldChar w:fldCharType="end"/>
      </w:r>
      <w:bookmarkEnd w:id="304"/>
      <w:r w:rsidRPr="00490C53">
        <w:t>: Balance table - BBLS</w:t>
      </w:r>
    </w:p>
    <w:tbl>
      <w:tblPr>
        <w:tblStyle w:val="TableGrid"/>
        <w:tblW w:w="5000" w:type="pct"/>
        <w:tblLayout w:type="fixed"/>
        <w:tblLook w:val="04A0" w:firstRow="1" w:lastRow="0" w:firstColumn="1" w:lastColumn="0" w:noHBand="0" w:noVBand="1"/>
      </w:tblPr>
      <w:tblGrid>
        <w:gridCol w:w="1984"/>
        <w:gridCol w:w="3546"/>
        <w:gridCol w:w="2268"/>
        <w:gridCol w:w="2356"/>
      </w:tblGrid>
      <w:tr w:rsidR="006171CE" w:rsidRPr="00490C53" w14:paraId="21890D72"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977" w:type="pct"/>
            <w:noWrap/>
            <w:vAlign w:val="top"/>
            <w:hideMark/>
          </w:tcPr>
          <w:p w14:paraId="52FCEDA9" w14:textId="77777777" w:rsidR="006171CE" w:rsidRPr="00490C53" w:rsidRDefault="006171CE">
            <w:pPr>
              <w:pStyle w:val="Tablecolumnheading-white"/>
              <w:rPr>
                <w:lang w:eastAsia="en-GB"/>
              </w:rPr>
            </w:pPr>
            <w:r w:rsidRPr="00490C53">
              <w:t>Characteristic</w:t>
            </w:r>
          </w:p>
        </w:tc>
        <w:tc>
          <w:tcPr>
            <w:tcW w:w="1746" w:type="pct"/>
            <w:noWrap/>
            <w:vAlign w:val="top"/>
            <w:hideMark/>
          </w:tcPr>
          <w:p w14:paraId="4C36530C" w14:textId="77777777" w:rsidR="006171CE" w:rsidRPr="00490C53" w:rsidRDefault="006171CE">
            <w:pPr>
              <w:pStyle w:val="Tablecolumnheading-white"/>
              <w:rPr>
                <w:lang w:eastAsia="en-GB"/>
              </w:rPr>
            </w:pPr>
            <w:r w:rsidRPr="00490C53">
              <w:t>Feature</w:t>
            </w:r>
          </w:p>
        </w:tc>
        <w:tc>
          <w:tcPr>
            <w:tcW w:w="1117" w:type="pct"/>
            <w:noWrap/>
            <w:vAlign w:val="center"/>
            <w:hideMark/>
          </w:tcPr>
          <w:p w14:paraId="5B1CC75A" w14:textId="77777777" w:rsidR="006171CE" w:rsidRPr="00490C53" w:rsidRDefault="006171CE">
            <w:pPr>
              <w:pStyle w:val="Tablecolumnheading-white"/>
              <w:spacing w:before="0"/>
              <w:jc w:val="right"/>
              <w:rPr>
                <w:lang w:eastAsia="en-GB"/>
              </w:rPr>
            </w:pPr>
            <w:r w:rsidRPr="00490C53">
              <w:t>Difference in prevalence between borrower and non-borrower groups (Full Sample)</w:t>
            </w:r>
          </w:p>
        </w:tc>
        <w:tc>
          <w:tcPr>
            <w:tcW w:w="1160" w:type="pct"/>
            <w:noWrap/>
            <w:vAlign w:val="center"/>
            <w:hideMark/>
          </w:tcPr>
          <w:p w14:paraId="7A18B949" w14:textId="77777777" w:rsidR="006171CE" w:rsidRPr="00490C53" w:rsidRDefault="006171CE">
            <w:pPr>
              <w:pStyle w:val="Tablecolumnheading-white"/>
              <w:spacing w:before="0"/>
              <w:jc w:val="right"/>
              <w:rPr>
                <w:lang w:eastAsia="en-GB"/>
              </w:rPr>
            </w:pPr>
            <w:r w:rsidRPr="00490C53">
              <w:t>Difference in prevalence between borrower and non-borrower groups (After PSM)</w:t>
            </w:r>
          </w:p>
        </w:tc>
      </w:tr>
      <w:tr w:rsidR="006171CE" w:rsidRPr="00490C53" w14:paraId="22F9E6F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1D5A5DC" w14:textId="77777777" w:rsidR="006171CE" w:rsidRPr="00490C53" w:rsidRDefault="006171CE">
            <w:pPr>
              <w:pStyle w:val="Tabletext"/>
              <w:rPr>
                <w:lang w:eastAsia="en-GB"/>
              </w:rPr>
            </w:pPr>
            <w:r w:rsidRPr="00490C53">
              <w:rPr>
                <w:b/>
                <w:bCs/>
              </w:rPr>
              <w:t>Turnover</w:t>
            </w:r>
          </w:p>
        </w:tc>
        <w:tc>
          <w:tcPr>
            <w:tcW w:w="1746" w:type="pct"/>
            <w:noWrap/>
            <w:vAlign w:val="top"/>
          </w:tcPr>
          <w:p w14:paraId="1C489B6D" w14:textId="77777777" w:rsidR="006171CE" w:rsidRPr="00490C53" w:rsidRDefault="006171CE">
            <w:pPr>
              <w:pStyle w:val="Tabletext"/>
              <w:rPr>
                <w:lang w:eastAsia="en-GB"/>
              </w:rPr>
            </w:pPr>
            <w:r w:rsidRPr="00490C53">
              <w:t>Less than 25,000</w:t>
            </w:r>
          </w:p>
        </w:tc>
        <w:tc>
          <w:tcPr>
            <w:tcW w:w="1117" w:type="pct"/>
            <w:noWrap/>
            <w:vAlign w:val="center"/>
          </w:tcPr>
          <w:p w14:paraId="287F6869" w14:textId="77777777" w:rsidR="006171CE" w:rsidRPr="00490C53" w:rsidRDefault="006171CE">
            <w:pPr>
              <w:pStyle w:val="Tabletext"/>
              <w:jc w:val="right"/>
              <w:rPr>
                <w:lang w:eastAsia="en-GB"/>
              </w:rPr>
            </w:pPr>
            <w:r w:rsidRPr="00490C53">
              <w:rPr>
                <w:rFonts w:cs="Calibri"/>
                <w:szCs w:val="20"/>
              </w:rPr>
              <w:t>6.3%</w:t>
            </w:r>
          </w:p>
        </w:tc>
        <w:tc>
          <w:tcPr>
            <w:tcW w:w="1160" w:type="pct"/>
            <w:noWrap/>
            <w:vAlign w:val="center"/>
          </w:tcPr>
          <w:p w14:paraId="3AD54662" w14:textId="77777777" w:rsidR="006171CE" w:rsidRPr="00490C53" w:rsidRDefault="006171CE">
            <w:pPr>
              <w:pStyle w:val="Tabletext"/>
              <w:jc w:val="right"/>
              <w:rPr>
                <w:lang w:eastAsia="en-GB"/>
              </w:rPr>
            </w:pPr>
            <w:r w:rsidRPr="00490C53">
              <w:rPr>
                <w:rFonts w:cs="Calibri"/>
                <w:szCs w:val="20"/>
              </w:rPr>
              <w:t>0.1%</w:t>
            </w:r>
          </w:p>
        </w:tc>
      </w:tr>
      <w:tr w:rsidR="006171CE" w:rsidRPr="00490C53" w14:paraId="78698533" w14:textId="77777777">
        <w:tblPrEx>
          <w:tblCellMar>
            <w:left w:w="108" w:type="dxa"/>
            <w:right w:w="108" w:type="dxa"/>
          </w:tblCellMar>
        </w:tblPrEx>
        <w:trPr>
          <w:trHeight w:val="290"/>
        </w:trPr>
        <w:tc>
          <w:tcPr>
            <w:tcW w:w="977" w:type="pct"/>
            <w:noWrap/>
            <w:vAlign w:val="top"/>
          </w:tcPr>
          <w:p w14:paraId="681E182C" w14:textId="77777777" w:rsidR="006171CE" w:rsidRPr="00490C53" w:rsidRDefault="006171CE">
            <w:pPr>
              <w:pStyle w:val="Tabletext"/>
              <w:rPr>
                <w:lang w:eastAsia="en-GB"/>
              </w:rPr>
            </w:pPr>
          </w:p>
        </w:tc>
        <w:tc>
          <w:tcPr>
            <w:tcW w:w="1746" w:type="pct"/>
            <w:noWrap/>
            <w:vAlign w:val="top"/>
          </w:tcPr>
          <w:p w14:paraId="659241A6" w14:textId="77777777" w:rsidR="006171CE" w:rsidRPr="00490C53" w:rsidRDefault="006171CE">
            <w:pPr>
              <w:pStyle w:val="Tabletext"/>
              <w:rPr>
                <w:lang w:eastAsia="en-GB"/>
              </w:rPr>
            </w:pPr>
            <w:r w:rsidRPr="00490C53">
              <w:t>Between 25,000 and 50,000</w:t>
            </w:r>
          </w:p>
        </w:tc>
        <w:tc>
          <w:tcPr>
            <w:tcW w:w="1117" w:type="pct"/>
            <w:noWrap/>
            <w:vAlign w:val="center"/>
          </w:tcPr>
          <w:p w14:paraId="36ED6C33" w14:textId="77777777" w:rsidR="006171CE" w:rsidRPr="00490C53" w:rsidRDefault="006171CE">
            <w:pPr>
              <w:pStyle w:val="Tabletext"/>
              <w:jc w:val="right"/>
              <w:rPr>
                <w:lang w:eastAsia="en-GB"/>
              </w:rPr>
            </w:pPr>
            <w:r w:rsidRPr="00490C53">
              <w:rPr>
                <w:rFonts w:cs="Calibri"/>
                <w:szCs w:val="20"/>
              </w:rPr>
              <w:t>5.3%</w:t>
            </w:r>
          </w:p>
        </w:tc>
        <w:tc>
          <w:tcPr>
            <w:tcW w:w="1160" w:type="pct"/>
            <w:noWrap/>
            <w:vAlign w:val="center"/>
          </w:tcPr>
          <w:p w14:paraId="4D5CB3C6" w14:textId="77777777" w:rsidR="006171CE" w:rsidRPr="00490C53" w:rsidRDefault="006171CE">
            <w:pPr>
              <w:pStyle w:val="Tabletext"/>
              <w:jc w:val="right"/>
              <w:rPr>
                <w:lang w:eastAsia="en-GB"/>
              </w:rPr>
            </w:pPr>
            <w:r w:rsidRPr="00490C53">
              <w:rPr>
                <w:rFonts w:cs="Calibri"/>
                <w:szCs w:val="20"/>
              </w:rPr>
              <w:t>0.0%</w:t>
            </w:r>
          </w:p>
        </w:tc>
      </w:tr>
      <w:tr w:rsidR="006171CE" w:rsidRPr="00490C53" w14:paraId="03C0565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327E04E" w14:textId="77777777" w:rsidR="006171CE" w:rsidRPr="00490C53" w:rsidRDefault="006171CE">
            <w:pPr>
              <w:pStyle w:val="Tabletext"/>
              <w:rPr>
                <w:lang w:eastAsia="en-GB"/>
              </w:rPr>
            </w:pPr>
          </w:p>
        </w:tc>
        <w:tc>
          <w:tcPr>
            <w:tcW w:w="1746" w:type="pct"/>
            <w:noWrap/>
            <w:vAlign w:val="top"/>
          </w:tcPr>
          <w:p w14:paraId="2BD4BDAB" w14:textId="77777777" w:rsidR="006171CE" w:rsidRPr="00490C53" w:rsidRDefault="006171CE">
            <w:pPr>
              <w:pStyle w:val="Tabletext"/>
              <w:rPr>
                <w:lang w:eastAsia="en-GB"/>
              </w:rPr>
            </w:pPr>
            <w:r w:rsidRPr="00490C53">
              <w:t>Between 50,000 and 75,000</w:t>
            </w:r>
          </w:p>
        </w:tc>
        <w:tc>
          <w:tcPr>
            <w:tcW w:w="1117" w:type="pct"/>
            <w:noWrap/>
            <w:vAlign w:val="center"/>
          </w:tcPr>
          <w:p w14:paraId="1B7D1ED8" w14:textId="77777777" w:rsidR="006171CE" w:rsidRPr="00490C53" w:rsidRDefault="006171CE">
            <w:pPr>
              <w:pStyle w:val="Tabletext"/>
              <w:jc w:val="right"/>
              <w:rPr>
                <w:lang w:eastAsia="en-GB"/>
              </w:rPr>
            </w:pPr>
            <w:r w:rsidRPr="00490C53">
              <w:rPr>
                <w:rFonts w:cs="Calibri"/>
                <w:szCs w:val="20"/>
              </w:rPr>
              <w:t>10.9%</w:t>
            </w:r>
          </w:p>
        </w:tc>
        <w:tc>
          <w:tcPr>
            <w:tcW w:w="1160" w:type="pct"/>
            <w:noWrap/>
            <w:vAlign w:val="center"/>
          </w:tcPr>
          <w:p w14:paraId="2A150728" w14:textId="77777777" w:rsidR="006171CE" w:rsidRPr="00490C53" w:rsidRDefault="006171CE">
            <w:pPr>
              <w:pStyle w:val="Tabletext"/>
              <w:jc w:val="right"/>
              <w:rPr>
                <w:lang w:eastAsia="en-GB"/>
              </w:rPr>
            </w:pPr>
            <w:r w:rsidRPr="00490C53">
              <w:rPr>
                <w:rFonts w:cs="Calibri"/>
                <w:szCs w:val="20"/>
              </w:rPr>
              <w:t>0.2%</w:t>
            </w:r>
          </w:p>
        </w:tc>
      </w:tr>
      <w:tr w:rsidR="006171CE" w:rsidRPr="00490C53" w14:paraId="13823E3C" w14:textId="77777777">
        <w:tblPrEx>
          <w:tblCellMar>
            <w:left w:w="108" w:type="dxa"/>
            <w:right w:w="108" w:type="dxa"/>
          </w:tblCellMar>
        </w:tblPrEx>
        <w:trPr>
          <w:trHeight w:val="290"/>
        </w:trPr>
        <w:tc>
          <w:tcPr>
            <w:tcW w:w="977" w:type="pct"/>
            <w:noWrap/>
            <w:vAlign w:val="top"/>
          </w:tcPr>
          <w:p w14:paraId="04BCDBB1" w14:textId="77777777" w:rsidR="006171CE" w:rsidRPr="00490C53" w:rsidRDefault="006171CE">
            <w:pPr>
              <w:pStyle w:val="Tabletext"/>
              <w:rPr>
                <w:lang w:eastAsia="en-GB"/>
              </w:rPr>
            </w:pPr>
          </w:p>
        </w:tc>
        <w:tc>
          <w:tcPr>
            <w:tcW w:w="1746" w:type="pct"/>
            <w:noWrap/>
            <w:vAlign w:val="top"/>
          </w:tcPr>
          <w:p w14:paraId="5C44BC7D" w14:textId="77777777" w:rsidR="006171CE" w:rsidRPr="00490C53" w:rsidRDefault="006171CE">
            <w:pPr>
              <w:pStyle w:val="Tabletext"/>
              <w:rPr>
                <w:lang w:eastAsia="en-GB"/>
              </w:rPr>
            </w:pPr>
            <w:r w:rsidRPr="00490C53">
              <w:t>Between 75,000 and 100,000</w:t>
            </w:r>
          </w:p>
        </w:tc>
        <w:tc>
          <w:tcPr>
            <w:tcW w:w="1117" w:type="pct"/>
            <w:noWrap/>
            <w:vAlign w:val="center"/>
          </w:tcPr>
          <w:p w14:paraId="53FFE12C" w14:textId="77777777" w:rsidR="006171CE" w:rsidRPr="00490C53" w:rsidRDefault="006171CE">
            <w:pPr>
              <w:pStyle w:val="Tabletext"/>
              <w:jc w:val="right"/>
              <w:rPr>
                <w:lang w:eastAsia="en-GB"/>
              </w:rPr>
            </w:pPr>
            <w:r w:rsidRPr="00490C53">
              <w:rPr>
                <w:rFonts w:cs="Calibri"/>
                <w:szCs w:val="20"/>
              </w:rPr>
              <w:t>6.5%</w:t>
            </w:r>
          </w:p>
        </w:tc>
        <w:tc>
          <w:tcPr>
            <w:tcW w:w="1160" w:type="pct"/>
            <w:noWrap/>
            <w:vAlign w:val="center"/>
          </w:tcPr>
          <w:p w14:paraId="1A6E460E" w14:textId="77777777" w:rsidR="006171CE" w:rsidRPr="00490C53" w:rsidRDefault="006171CE">
            <w:pPr>
              <w:pStyle w:val="Tabletext"/>
              <w:jc w:val="right"/>
              <w:rPr>
                <w:lang w:eastAsia="en-GB"/>
              </w:rPr>
            </w:pPr>
            <w:r w:rsidRPr="00490C53">
              <w:rPr>
                <w:rFonts w:cs="Calibri"/>
                <w:szCs w:val="20"/>
              </w:rPr>
              <w:t>0.1%</w:t>
            </w:r>
          </w:p>
        </w:tc>
      </w:tr>
      <w:tr w:rsidR="006171CE" w:rsidRPr="00490C53" w14:paraId="4960BAB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69A51A7" w14:textId="77777777" w:rsidR="006171CE" w:rsidRPr="00490C53" w:rsidRDefault="006171CE">
            <w:pPr>
              <w:pStyle w:val="Tabletext"/>
              <w:rPr>
                <w:lang w:eastAsia="en-GB"/>
              </w:rPr>
            </w:pPr>
          </w:p>
        </w:tc>
        <w:tc>
          <w:tcPr>
            <w:tcW w:w="1746" w:type="pct"/>
            <w:noWrap/>
            <w:vAlign w:val="top"/>
          </w:tcPr>
          <w:p w14:paraId="693B1C94" w14:textId="77777777" w:rsidR="006171CE" w:rsidRPr="00490C53" w:rsidRDefault="006171CE">
            <w:pPr>
              <w:pStyle w:val="Tabletext"/>
              <w:rPr>
                <w:lang w:eastAsia="en-GB"/>
              </w:rPr>
            </w:pPr>
            <w:r w:rsidRPr="00490C53">
              <w:t>Between 100,000 and 125,000</w:t>
            </w:r>
          </w:p>
        </w:tc>
        <w:tc>
          <w:tcPr>
            <w:tcW w:w="1117" w:type="pct"/>
            <w:noWrap/>
            <w:vAlign w:val="center"/>
          </w:tcPr>
          <w:p w14:paraId="1BC43A5A" w14:textId="77777777" w:rsidR="006171CE" w:rsidRPr="00490C53" w:rsidRDefault="006171CE">
            <w:pPr>
              <w:pStyle w:val="Tabletext"/>
              <w:jc w:val="right"/>
              <w:rPr>
                <w:lang w:eastAsia="en-GB"/>
              </w:rPr>
            </w:pPr>
            <w:r w:rsidRPr="00490C53">
              <w:rPr>
                <w:rFonts w:cs="Calibri"/>
                <w:szCs w:val="20"/>
              </w:rPr>
              <w:t>5.5%</w:t>
            </w:r>
          </w:p>
        </w:tc>
        <w:tc>
          <w:tcPr>
            <w:tcW w:w="1160" w:type="pct"/>
            <w:noWrap/>
            <w:vAlign w:val="center"/>
          </w:tcPr>
          <w:p w14:paraId="51FF4757" w14:textId="77777777" w:rsidR="006171CE" w:rsidRPr="00490C53" w:rsidRDefault="006171CE">
            <w:pPr>
              <w:pStyle w:val="Tabletext"/>
              <w:jc w:val="right"/>
              <w:rPr>
                <w:lang w:eastAsia="en-GB"/>
              </w:rPr>
            </w:pPr>
            <w:r w:rsidRPr="00490C53">
              <w:rPr>
                <w:rFonts w:cs="Calibri"/>
                <w:szCs w:val="20"/>
              </w:rPr>
              <w:t>0.2%</w:t>
            </w:r>
          </w:p>
        </w:tc>
      </w:tr>
      <w:tr w:rsidR="006171CE" w:rsidRPr="00490C53" w14:paraId="30F80934" w14:textId="77777777">
        <w:tblPrEx>
          <w:tblCellMar>
            <w:left w:w="108" w:type="dxa"/>
            <w:right w:w="108" w:type="dxa"/>
          </w:tblCellMar>
        </w:tblPrEx>
        <w:trPr>
          <w:trHeight w:val="290"/>
        </w:trPr>
        <w:tc>
          <w:tcPr>
            <w:tcW w:w="977" w:type="pct"/>
            <w:noWrap/>
            <w:vAlign w:val="top"/>
          </w:tcPr>
          <w:p w14:paraId="1EE887E1" w14:textId="77777777" w:rsidR="006171CE" w:rsidRPr="00490C53" w:rsidRDefault="006171CE">
            <w:pPr>
              <w:pStyle w:val="Tabletext"/>
              <w:rPr>
                <w:lang w:eastAsia="en-GB"/>
              </w:rPr>
            </w:pPr>
          </w:p>
        </w:tc>
        <w:tc>
          <w:tcPr>
            <w:tcW w:w="1746" w:type="pct"/>
            <w:noWrap/>
            <w:vAlign w:val="top"/>
          </w:tcPr>
          <w:p w14:paraId="59B18473" w14:textId="77777777" w:rsidR="006171CE" w:rsidRPr="00490C53" w:rsidRDefault="006171CE">
            <w:pPr>
              <w:pStyle w:val="Tabletext"/>
              <w:rPr>
                <w:lang w:eastAsia="en-GB"/>
              </w:rPr>
            </w:pPr>
            <w:r w:rsidRPr="00490C53">
              <w:t>Between 125,000 and 150,000</w:t>
            </w:r>
          </w:p>
        </w:tc>
        <w:tc>
          <w:tcPr>
            <w:tcW w:w="1117" w:type="pct"/>
            <w:noWrap/>
            <w:vAlign w:val="center"/>
          </w:tcPr>
          <w:p w14:paraId="0A331516" w14:textId="77777777" w:rsidR="006171CE" w:rsidRPr="00490C53" w:rsidRDefault="006171CE">
            <w:pPr>
              <w:pStyle w:val="Tabletext"/>
              <w:jc w:val="right"/>
              <w:rPr>
                <w:lang w:eastAsia="en-GB"/>
              </w:rPr>
            </w:pPr>
            <w:r w:rsidRPr="00490C53">
              <w:rPr>
                <w:rFonts w:cs="Calibri"/>
                <w:szCs w:val="20"/>
              </w:rPr>
              <w:t>3.3%</w:t>
            </w:r>
          </w:p>
        </w:tc>
        <w:tc>
          <w:tcPr>
            <w:tcW w:w="1160" w:type="pct"/>
            <w:noWrap/>
            <w:vAlign w:val="center"/>
          </w:tcPr>
          <w:p w14:paraId="64BC9048" w14:textId="77777777" w:rsidR="006171CE" w:rsidRPr="00490C53" w:rsidRDefault="006171CE">
            <w:pPr>
              <w:pStyle w:val="Tabletext"/>
              <w:jc w:val="right"/>
              <w:rPr>
                <w:lang w:eastAsia="en-GB"/>
              </w:rPr>
            </w:pPr>
            <w:r w:rsidRPr="00490C53">
              <w:rPr>
                <w:rFonts w:cs="Calibri"/>
                <w:szCs w:val="20"/>
              </w:rPr>
              <w:t>0.1%</w:t>
            </w:r>
          </w:p>
        </w:tc>
      </w:tr>
      <w:tr w:rsidR="006171CE" w:rsidRPr="00490C53" w14:paraId="6976129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685CAB6" w14:textId="77777777" w:rsidR="006171CE" w:rsidRPr="00490C53" w:rsidRDefault="006171CE">
            <w:pPr>
              <w:pStyle w:val="Tabletext"/>
              <w:rPr>
                <w:lang w:eastAsia="en-GB"/>
              </w:rPr>
            </w:pPr>
          </w:p>
        </w:tc>
        <w:tc>
          <w:tcPr>
            <w:tcW w:w="1746" w:type="pct"/>
            <w:noWrap/>
            <w:vAlign w:val="top"/>
          </w:tcPr>
          <w:p w14:paraId="45BE7225" w14:textId="77777777" w:rsidR="006171CE" w:rsidRPr="00490C53" w:rsidRDefault="006171CE">
            <w:pPr>
              <w:pStyle w:val="Tabletext"/>
              <w:rPr>
                <w:lang w:eastAsia="en-GB"/>
              </w:rPr>
            </w:pPr>
            <w:r w:rsidRPr="00490C53">
              <w:t>Between 150,000 and 175,000</w:t>
            </w:r>
          </w:p>
        </w:tc>
        <w:tc>
          <w:tcPr>
            <w:tcW w:w="1117" w:type="pct"/>
            <w:noWrap/>
            <w:vAlign w:val="center"/>
          </w:tcPr>
          <w:p w14:paraId="362DE0F7" w14:textId="77777777" w:rsidR="006171CE" w:rsidRPr="00490C53" w:rsidRDefault="006171CE">
            <w:pPr>
              <w:pStyle w:val="Tabletext"/>
              <w:jc w:val="right"/>
              <w:rPr>
                <w:lang w:eastAsia="en-GB"/>
              </w:rPr>
            </w:pPr>
            <w:r w:rsidRPr="00490C53">
              <w:rPr>
                <w:rFonts w:cs="Calibri"/>
                <w:szCs w:val="20"/>
              </w:rPr>
              <w:t>1.1%</w:t>
            </w:r>
          </w:p>
        </w:tc>
        <w:tc>
          <w:tcPr>
            <w:tcW w:w="1160" w:type="pct"/>
            <w:noWrap/>
            <w:vAlign w:val="center"/>
          </w:tcPr>
          <w:p w14:paraId="191C304F" w14:textId="77777777" w:rsidR="006171CE" w:rsidRPr="00490C53" w:rsidRDefault="006171CE">
            <w:pPr>
              <w:pStyle w:val="Tabletext"/>
              <w:jc w:val="right"/>
              <w:rPr>
                <w:lang w:eastAsia="en-GB"/>
              </w:rPr>
            </w:pPr>
            <w:r w:rsidRPr="00490C53">
              <w:rPr>
                <w:rFonts w:cs="Calibri"/>
                <w:szCs w:val="20"/>
              </w:rPr>
              <w:t>0.1%</w:t>
            </w:r>
          </w:p>
        </w:tc>
      </w:tr>
      <w:tr w:rsidR="006171CE" w:rsidRPr="00490C53" w14:paraId="3B633A0E" w14:textId="77777777">
        <w:tblPrEx>
          <w:tblCellMar>
            <w:left w:w="108" w:type="dxa"/>
            <w:right w:w="108" w:type="dxa"/>
          </w:tblCellMar>
        </w:tblPrEx>
        <w:trPr>
          <w:trHeight w:val="290"/>
        </w:trPr>
        <w:tc>
          <w:tcPr>
            <w:tcW w:w="977" w:type="pct"/>
            <w:noWrap/>
            <w:vAlign w:val="top"/>
          </w:tcPr>
          <w:p w14:paraId="71B477DB" w14:textId="77777777" w:rsidR="006171CE" w:rsidRPr="00490C53" w:rsidRDefault="006171CE">
            <w:pPr>
              <w:pStyle w:val="Tabletext"/>
              <w:rPr>
                <w:lang w:eastAsia="en-GB"/>
              </w:rPr>
            </w:pPr>
          </w:p>
        </w:tc>
        <w:tc>
          <w:tcPr>
            <w:tcW w:w="1746" w:type="pct"/>
            <w:noWrap/>
            <w:vAlign w:val="top"/>
          </w:tcPr>
          <w:p w14:paraId="33670B90" w14:textId="77777777" w:rsidR="006171CE" w:rsidRPr="00490C53" w:rsidRDefault="006171CE">
            <w:pPr>
              <w:pStyle w:val="Tabletext"/>
              <w:rPr>
                <w:lang w:eastAsia="en-GB"/>
              </w:rPr>
            </w:pPr>
            <w:r w:rsidRPr="00490C53">
              <w:t>Between 175,000 and 200,000</w:t>
            </w:r>
          </w:p>
        </w:tc>
        <w:tc>
          <w:tcPr>
            <w:tcW w:w="1117" w:type="pct"/>
            <w:noWrap/>
            <w:vAlign w:val="center"/>
          </w:tcPr>
          <w:p w14:paraId="133368A9" w14:textId="77777777" w:rsidR="006171CE" w:rsidRPr="00490C53" w:rsidRDefault="006171CE">
            <w:pPr>
              <w:pStyle w:val="Tabletext"/>
              <w:jc w:val="right"/>
              <w:rPr>
                <w:lang w:eastAsia="en-GB"/>
              </w:rPr>
            </w:pPr>
            <w:r w:rsidRPr="00490C53">
              <w:rPr>
                <w:rFonts w:cs="Calibri"/>
                <w:szCs w:val="20"/>
              </w:rPr>
              <w:t>0.2%</w:t>
            </w:r>
          </w:p>
        </w:tc>
        <w:tc>
          <w:tcPr>
            <w:tcW w:w="1160" w:type="pct"/>
            <w:noWrap/>
            <w:vAlign w:val="center"/>
          </w:tcPr>
          <w:p w14:paraId="3642CA9A" w14:textId="77777777" w:rsidR="006171CE" w:rsidRPr="00490C53" w:rsidRDefault="006171CE">
            <w:pPr>
              <w:pStyle w:val="Tabletext"/>
              <w:jc w:val="right"/>
              <w:rPr>
                <w:lang w:eastAsia="en-GB"/>
              </w:rPr>
            </w:pPr>
            <w:r w:rsidRPr="00490C53">
              <w:rPr>
                <w:rFonts w:cs="Calibri"/>
                <w:szCs w:val="20"/>
              </w:rPr>
              <w:t>0.2%</w:t>
            </w:r>
          </w:p>
        </w:tc>
      </w:tr>
      <w:tr w:rsidR="006171CE" w:rsidRPr="00490C53" w14:paraId="06AAA33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8B70932" w14:textId="77777777" w:rsidR="006171CE" w:rsidRPr="00490C53" w:rsidRDefault="006171CE">
            <w:pPr>
              <w:pStyle w:val="Tabletext"/>
              <w:rPr>
                <w:lang w:eastAsia="en-GB"/>
              </w:rPr>
            </w:pPr>
          </w:p>
        </w:tc>
        <w:tc>
          <w:tcPr>
            <w:tcW w:w="1746" w:type="pct"/>
            <w:noWrap/>
            <w:vAlign w:val="top"/>
          </w:tcPr>
          <w:p w14:paraId="50E8A266" w14:textId="77777777" w:rsidR="006171CE" w:rsidRPr="00490C53" w:rsidRDefault="006171CE">
            <w:pPr>
              <w:pStyle w:val="Tabletext"/>
              <w:rPr>
                <w:lang w:eastAsia="en-GB"/>
              </w:rPr>
            </w:pPr>
            <w:r w:rsidRPr="00490C53">
              <w:t>Between 200,000 and 250,000</w:t>
            </w:r>
          </w:p>
        </w:tc>
        <w:tc>
          <w:tcPr>
            <w:tcW w:w="1117" w:type="pct"/>
            <w:noWrap/>
            <w:vAlign w:val="center"/>
          </w:tcPr>
          <w:p w14:paraId="07AAF7BA" w14:textId="77777777" w:rsidR="006171CE" w:rsidRPr="00490C53" w:rsidRDefault="006171CE">
            <w:pPr>
              <w:pStyle w:val="Tabletext"/>
              <w:jc w:val="right"/>
              <w:rPr>
                <w:lang w:eastAsia="en-GB"/>
              </w:rPr>
            </w:pPr>
            <w:r w:rsidRPr="00490C53">
              <w:rPr>
                <w:rFonts w:cs="Calibri"/>
                <w:szCs w:val="20"/>
              </w:rPr>
              <w:t>0.1%</w:t>
            </w:r>
          </w:p>
        </w:tc>
        <w:tc>
          <w:tcPr>
            <w:tcW w:w="1160" w:type="pct"/>
            <w:noWrap/>
            <w:vAlign w:val="center"/>
          </w:tcPr>
          <w:p w14:paraId="44EE57C9" w14:textId="77777777" w:rsidR="006171CE" w:rsidRPr="00490C53" w:rsidRDefault="006171CE">
            <w:pPr>
              <w:pStyle w:val="Tabletext"/>
              <w:jc w:val="right"/>
              <w:rPr>
                <w:lang w:eastAsia="en-GB"/>
              </w:rPr>
            </w:pPr>
            <w:r w:rsidRPr="00490C53">
              <w:rPr>
                <w:rFonts w:cs="Calibri"/>
                <w:szCs w:val="20"/>
              </w:rPr>
              <w:t>0.3%</w:t>
            </w:r>
          </w:p>
        </w:tc>
      </w:tr>
      <w:tr w:rsidR="006171CE" w:rsidRPr="00490C53" w14:paraId="234ADB5F" w14:textId="77777777">
        <w:tblPrEx>
          <w:tblCellMar>
            <w:left w:w="108" w:type="dxa"/>
            <w:right w:w="108" w:type="dxa"/>
          </w:tblCellMar>
        </w:tblPrEx>
        <w:trPr>
          <w:trHeight w:val="290"/>
        </w:trPr>
        <w:tc>
          <w:tcPr>
            <w:tcW w:w="977" w:type="pct"/>
            <w:noWrap/>
            <w:vAlign w:val="top"/>
          </w:tcPr>
          <w:p w14:paraId="5B447615" w14:textId="77777777" w:rsidR="006171CE" w:rsidRPr="00490C53" w:rsidRDefault="006171CE">
            <w:pPr>
              <w:pStyle w:val="Tabletext"/>
              <w:rPr>
                <w:lang w:eastAsia="en-GB"/>
              </w:rPr>
            </w:pPr>
          </w:p>
        </w:tc>
        <w:tc>
          <w:tcPr>
            <w:tcW w:w="1746" w:type="pct"/>
            <w:noWrap/>
            <w:vAlign w:val="top"/>
          </w:tcPr>
          <w:p w14:paraId="6C72DC31" w14:textId="77777777" w:rsidR="006171CE" w:rsidRPr="00490C53" w:rsidRDefault="006171CE">
            <w:pPr>
              <w:pStyle w:val="Tabletext"/>
              <w:rPr>
                <w:lang w:eastAsia="en-GB"/>
              </w:rPr>
            </w:pPr>
            <w:r w:rsidRPr="00490C53">
              <w:t>Between 250,000 and 350,000</w:t>
            </w:r>
          </w:p>
        </w:tc>
        <w:tc>
          <w:tcPr>
            <w:tcW w:w="1117" w:type="pct"/>
            <w:noWrap/>
            <w:vAlign w:val="center"/>
          </w:tcPr>
          <w:p w14:paraId="0D763878" w14:textId="77777777" w:rsidR="006171CE" w:rsidRPr="00490C53" w:rsidRDefault="006171CE">
            <w:pPr>
              <w:pStyle w:val="Tabletext"/>
              <w:jc w:val="right"/>
              <w:rPr>
                <w:lang w:eastAsia="en-GB"/>
              </w:rPr>
            </w:pPr>
            <w:r w:rsidRPr="00490C53">
              <w:rPr>
                <w:rFonts w:cs="Calibri"/>
                <w:szCs w:val="20"/>
              </w:rPr>
              <w:t>1.8%</w:t>
            </w:r>
          </w:p>
        </w:tc>
        <w:tc>
          <w:tcPr>
            <w:tcW w:w="1160" w:type="pct"/>
            <w:noWrap/>
            <w:vAlign w:val="center"/>
          </w:tcPr>
          <w:p w14:paraId="0B610008" w14:textId="77777777" w:rsidR="006171CE" w:rsidRPr="00490C53" w:rsidRDefault="006171CE">
            <w:pPr>
              <w:pStyle w:val="Tabletext"/>
              <w:jc w:val="right"/>
              <w:rPr>
                <w:lang w:eastAsia="en-GB"/>
              </w:rPr>
            </w:pPr>
            <w:r w:rsidRPr="00490C53">
              <w:rPr>
                <w:rFonts w:cs="Calibri"/>
                <w:szCs w:val="20"/>
              </w:rPr>
              <w:t>0.5%</w:t>
            </w:r>
          </w:p>
        </w:tc>
      </w:tr>
      <w:tr w:rsidR="006171CE" w:rsidRPr="00490C53" w14:paraId="70C6CA7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9CE824A" w14:textId="77777777" w:rsidR="006171CE" w:rsidRPr="00490C53" w:rsidRDefault="006171CE">
            <w:pPr>
              <w:pStyle w:val="Tabletext"/>
              <w:rPr>
                <w:lang w:eastAsia="en-GB"/>
              </w:rPr>
            </w:pPr>
          </w:p>
        </w:tc>
        <w:tc>
          <w:tcPr>
            <w:tcW w:w="1746" w:type="pct"/>
            <w:noWrap/>
            <w:vAlign w:val="top"/>
          </w:tcPr>
          <w:p w14:paraId="5268FBE4" w14:textId="77777777" w:rsidR="006171CE" w:rsidRPr="00490C53" w:rsidRDefault="006171CE">
            <w:pPr>
              <w:pStyle w:val="Tabletext"/>
              <w:rPr>
                <w:lang w:eastAsia="en-GB"/>
              </w:rPr>
            </w:pPr>
            <w:r w:rsidRPr="00490C53">
              <w:t>Between 350,000 and 500,000</w:t>
            </w:r>
          </w:p>
        </w:tc>
        <w:tc>
          <w:tcPr>
            <w:tcW w:w="1117" w:type="pct"/>
            <w:noWrap/>
            <w:vAlign w:val="center"/>
          </w:tcPr>
          <w:p w14:paraId="20943DB6" w14:textId="77777777" w:rsidR="006171CE" w:rsidRPr="00490C53" w:rsidRDefault="006171CE">
            <w:pPr>
              <w:pStyle w:val="Tabletext"/>
              <w:jc w:val="right"/>
              <w:rPr>
                <w:lang w:eastAsia="en-GB"/>
              </w:rPr>
            </w:pPr>
            <w:r w:rsidRPr="00490C53">
              <w:rPr>
                <w:rFonts w:cs="Calibri"/>
                <w:szCs w:val="20"/>
              </w:rPr>
              <w:t>3.7%</w:t>
            </w:r>
          </w:p>
        </w:tc>
        <w:tc>
          <w:tcPr>
            <w:tcW w:w="1160" w:type="pct"/>
            <w:noWrap/>
            <w:vAlign w:val="center"/>
          </w:tcPr>
          <w:p w14:paraId="72102776" w14:textId="77777777" w:rsidR="006171CE" w:rsidRPr="00490C53" w:rsidRDefault="006171CE">
            <w:pPr>
              <w:pStyle w:val="Tabletext"/>
              <w:jc w:val="right"/>
              <w:rPr>
                <w:lang w:eastAsia="en-GB"/>
              </w:rPr>
            </w:pPr>
            <w:r w:rsidRPr="00490C53">
              <w:rPr>
                <w:rFonts w:cs="Calibri"/>
                <w:szCs w:val="20"/>
              </w:rPr>
              <w:t>0.4%</w:t>
            </w:r>
          </w:p>
        </w:tc>
      </w:tr>
      <w:tr w:rsidR="006171CE" w:rsidRPr="00490C53" w14:paraId="4EABDAB3" w14:textId="77777777">
        <w:tblPrEx>
          <w:tblCellMar>
            <w:left w:w="108" w:type="dxa"/>
            <w:right w:w="108" w:type="dxa"/>
          </w:tblCellMar>
        </w:tblPrEx>
        <w:trPr>
          <w:trHeight w:val="290"/>
        </w:trPr>
        <w:tc>
          <w:tcPr>
            <w:tcW w:w="977" w:type="pct"/>
            <w:noWrap/>
            <w:vAlign w:val="top"/>
          </w:tcPr>
          <w:p w14:paraId="1552D130" w14:textId="77777777" w:rsidR="006171CE" w:rsidRPr="00490C53" w:rsidRDefault="006171CE">
            <w:pPr>
              <w:pStyle w:val="Tabletext"/>
              <w:rPr>
                <w:lang w:eastAsia="en-GB"/>
              </w:rPr>
            </w:pPr>
          </w:p>
        </w:tc>
        <w:tc>
          <w:tcPr>
            <w:tcW w:w="1746" w:type="pct"/>
            <w:noWrap/>
            <w:vAlign w:val="top"/>
          </w:tcPr>
          <w:p w14:paraId="252FE5B2" w14:textId="77777777" w:rsidR="006171CE" w:rsidRPr="00490C53" w:rsidRDefault="006171CE">
            <w:pPr>
              <w:pStyle w:val="Tabletext"/>
              <w:rPr>
                <w:lang w:eastAsia="en-GB"/>
              </w:rPr>
            </w:pPr>
            <w:r w:rsidRPr="00490C53">
              <w:t>Between 500,000 and 1 million</w:t>
            </w:r>
          </w:p>
        </w:tc>
        <w:tc>
          <w:tcPr>
            <w:tcW w:w="1117" w:type="pct"/>
            <w:noWrap/>
            <w:vAlign w:val="center"/>
          </w:tcPr>
          <w:p w14:paraId="398BAD8A" w14:textId="77777777" w:rsidR="006171CE" w:rsidRPr="00490C53" w:rsidRDefault="006171CE">
            <w:pPr>
              <w:pStyle w:val="Tabletext"/>
              <w:jc w:val="right"/>
              <w:rPr>
                <w:lang w:eastAsia="en-GB"/>
              </w:rPr>
            </w:pPr>
            <w:r w:rsidRPr="00490C53">
              <w:rPr>
                <w:rFonts w:cs="Calibri"/>
                <w:szCs w:val="20"/>
              </w:rPr>
              <w:t>14.8%</w:t>
            </w:r>
          </w:p>
        </w:tc>
        <w:tc>
          <w:tcPr>
            <w:tcW w:w="1160" w:type="pct"/>
            <w:noWrap/>
            <w:vAlign w:val="center"/>
          </w:tcPr>
          <w:p w14:paraId="3E8D52BC" w14:textId="77777777" w:rsidR="006171CE" w:rsidRPr="00490C53" w:rsidRDefault="006171CE">
            <w:pPr>
              <w:pStyle w:val="Tabletext"/>
              <w:jc w:val="right"/>
              <w:rPr>
                <w:lang w:eastAsia="en-GB"/>
              </w:rPr>
            </w:pPr>
            <w:r w:rsidRPr="00490C53">
              <w:rPr>
                <w:rFonts w:cs="Calibri"/>
                <w:szCs w:val="20"/>
              </w:rPr>
              <w:t>0.4%</w:t>
            </w:r>
          </w:p>
        </w:tc>
      </w:tr>
      <w:tr w:rsidR="006171CE" w:rsidRPr="00490C53" w14:paraId="1A62333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1F1EE27" w14:textId="77777777" w:rsidR="006171CE" w:rsidRPr="00490C53" w:rsidRDefault="006171CE">
            <w:pPr>
              <w:pStyle w:val="Tabletext"/>
              <w:rPr>
                <w:lang w:eastAsia="en-GB"/>
              </w:rPr>
            </w:pPr>
          </w:p>
        </w:tc>
        <w:tc>
          <w:tcPr>
            <w:tcW w:w="1746" w:type="pct"/>
            <w:noWrap/>
            <w:vAlign w:val="top"/>
          </w:tcPr>
          <w:p w14:paraId="294A21F1" w14:textId="77777777" w:rsidR="006171CE" w:rsidRPr="00490C53" w:rsidRDefault="006171CE">
            <w:pPr>
              <w:pStyle w:val="Tabletext"/>
              <w:rPr>
                <w:lang w:eastAsia="en-GB"/>
              </w:rPr>
            </w:pPr>
            <w:r w:rsidRPr="00490C53">
              <w:t>Between 1 million and 5 million</w:t>
            </w:r>
          </w:p>
        </w:tc>
        <w:tc>
          <w:tcPr>
            <w:tcW w:w="1117" w:type="pct"/>
            <w:noWrap/>
            <w:vAlign w:val="center"/>
          </w:tcPr>
          <w:p w14:paraId="1C04D0E0" w14:textId="77777777" w:rsidR="006171CE" w:rsidRPr="00490C53" w:rsidRDefault="006171CE">
            <w:pPr>
              <w:pStyle w:val="Tabletext"/>
              <w:jc w:val="right"/>
              <w:rPr>
                <w:lang w:eastAsia="en-GB"/>
              </w:rPr>
            </w:pPr>
            <w:r w:rsidRPr="00490C53">
              <w:rPr>
                <w:rFonts w:cs="Calibri"/>
                <w:szCs w:val="20"/>
              </w:rPr>
              <w:t>18.8%</w:t>
            </w:r>
          </w:p>
        </w:tc>
        <w:tc>
          <w:tcPr>
            <w:tcW w:w="1160" w:type="pct"/>
            <w:noWrap/>
            <w:vAlign w:val="center"/>
          </w:tcPr>
          <w:p w14:paraId="7FCDEF4C" w14:textId="77777777" w:rsidR="006171CE" w:rsidRPr="00490C53" w:rsidRDefault="006171CE">
            <w:pPr>
              <w:pStyle w:val="Tabletext"/>
              <w:jc w:val="right"/>
              <w:rPr>
                <w:lang w:eastAsia="en-GB"/>
              </w:rPr>
            </w:pPr>
            <w:r w:rsidRPr="00490C53">
              <w:rPr>
                <w:rFonts w:cs="Calibri"/>
                <w:szCs w:val="20"/>
              </w:rPr>
              <w:t>1.2%</w:t>
            </w:r>
          </w:p>
        </w:tc>
      </w:tr>
      <w:tr w:rsidR="006171CE" w:rsidRPr="00490C53" w14:paraId="6F5DBF6D" w14:textId="77777777">
        <w:tblPrEx>
          <w:tblCellMar>
            <w:left w:w="108" w:type="dxa"/>
            <w:right w:w="108" w:type="dxa"/>
          </w:tblCellMar>
        </w:tblPrEx>
        <w:trPr>
          <w:trHeight w:val="290"/>
        </w:trPr>
        <w:tc>
          <w:tcPr>
            <w:tcW w:w="977" w:type="pct"/>
            <w:noWrap/>
            <w:vAlign w:val="top"/>
          </w:tcPr>
          <w:p w14:paraId="4453A184" w14:textId="77777777" w:rsidR="006171CE" w:rsidRPr="00490C53" w:rsidRDefault="006171CE">
            <w:pPr>
              <w:pStyle w:val="Tabletext"/>
              <w:rPr>
                <w:lang w:eastAsia="en-GB"/>
              </w:rPr>
            </w:pPr>
            <w:r w:rsidRPr="00490C53">
              <w:rPr>
                <w:b/>
                <w:bCs/>
              </w:rPr>
              <w:t>Employment</w:t>
            </w:r>
          </w:p>
        </w:tc>
        <w:tc>
          <w:tcPr>
            <w:tcW w:w="1746" w:type="pct"/>
            <w:noWrap/>
            <w:vAlign w:val="top"/>
          </w:tcPr>
          <w:p w14:paraId="57682B4E" w14:textId="77777777" w:rsidR="006171CE" w:rsidRPr="00490C53" w:rsidRDefault="006171CE">
            <w:pPr>
              <w:pStyle w:val="Tabletext"/>
              <w:rPr>
                <w:lang w:eastAsia="en-GB"/>
              </w:rPr>
            </w:pPr>
            <w:r w:rsidRPr="00490C53">
              <w:t>1 employee</w:t>
            </w:r>
          </w:p>
        </w:tc>
        <w:tc>
          <w:tcPr>
            <w:tcW w:w="1117" w:type="pct"/>
            <w:noWrap/>
            <w:vAlign w:val="center"/>
          </w:tcPr>
          <w:p w14:paraId="52522DD2" w14:textId="77777777" w:rsidR="006171CE" w:rsidRPr="00490C53" w:rsidRDefault="006171CE">
            <w:pPr>
              <w:pStyle w:val="Tabletext"/>
              <w:jc w:val="right"/>
              <w:rPr>
                <w:lang w:eastAsia="en-GB"/>
              </w:rPr>
            </w:pPr>
            <w:r w:rsidRPr="00490C53">
              <w:rPr>
                <w:rFonts w:cs="Calibri"/>
                <w:szCs w:val="20"/>
              </w:rPr>
              <w:t>33.0%</w:t>
            </w:r>
          </w:p>
        </w:tc>
        <w:tc>
          <w:tcPr>
            <w:tcW w:w="1160" w:type="pct"/>
            <w:noWrap/>
            <w:vAlign w:val="center"/>
          </w:tcPr>
          <w:p w14:paraId="35B4AD01" w14:textId="77777777" w:rsidR="006171CE" w:rsidRPr="00490C53" w:rsidRDefault="006171CE">
            <w:pPr>
              <w:pStyle w:val="Tabletext"/>
              <w:jc w:val="right"/>
              <w:rPr>
                <w:lang w:eastAsia="en-GB"/>
              </w:rPr>
            </w:pPr>
            <w:r w:rsidRPr="00490C53">
              <w:rPr>
                <w:rFonts w:cs="Calibri"/>
                <w:szCs w:val="20"/>
              </w:rPr>
              <w:t>0.3%</w:t>
            </w:r>
          </w:p>
        </w:tc>
      </w:tr>
      <w:tr w:rsidR="006171CE" w:rsidRPr="00490C53" w14:paraId="63903C7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A859E0C" w14:textId="77777777" w:rsidR="006171CE" w:rsidRPr="00490C53" w:rsidRDefault="006171CE">
            <w:pPr>
              <w:pStyle w:val="Tabletext"/>
              <w:rPr>
                <w:lang w:eastAsia="en-GB"/>
              </w:rPr>
            </w:pPr>
          </w:p>
        </w:tc>
        <w:tc>
          <w:tcPr>
            <w:tcW w:w="1746" w:type="pct"/>
            <w:noWrap/>
            <w:vAlign w:val="top"/>
          </w:tcPr>
          <w:p w14:paraId="730D3076" w14:textId="77777777" w:rsidR="006171CE" w:rsidRPr="00490C53" w:rsidRDefault="006171CE">
            <w:pPr>
              <w:pStyle w:val="Tabletext"/>
              <w:rPr>
                <w:lang w:eastAsia="en-GB"/>
              </w:rPr>
            </w:pPr>
            <w:r w:rsidRPr="00490C53">
              <w:t>2-3 employees</w:t>
            </w:r>
          </w:p>
        </w:tc>
        <w:tc>
          <w:tcPr>
            <w:tcW w:w="1117" w:type="pct"/>
            <w:noWrap/>
            <w:vAlign w:val="center"/>
          </w:tcPr>
          <w:p w14:paraId="5C0913AE" w14:textId="77777777" w:rsidR="006171CE" w:rsidRPr="00490C53" w:rsidRDefault="006171CE">
            <w:pPr>
              <w:pStyle w:val="Tabletext"/>
              <w:jc w:val="right"/>
              <w:rPr>
                <w:lang w:eastAsia="en-GB"/>
              </w:rPr>
            </w:pPr>
            <w:r w:rsidRPr="00490C53">
              <w:rPr>
                <w:rFonts w:cs="Calibri"/>
                <w:szCs w:val="20"/>
              </w:rPr>
              <w:t>1.0%</w:t>
            </w:r>
          </w:p>
        </w:tc>
        <w:tc>
          <w:tcPr>
            <w:tcW w:w="1160" w:type="pct"/>
            <w:noWrap/>
            <w:vAlign w:val="center"/>
          </w:tcPr>
          <w:p w14:paraId="6344DAF1" w14:textId="77777777" w:rsidR="006171CE" w:rsidRPr="00490C53" w:rsidRDefault="006171CE">
            <w:pPr>
              <w:pStyle w:val="Tabletext"/>
              <w:jc w:val="right"/>
              <w:rPr>
                <w:lang w:eastAsia="en-GB"/>
              </w:rPr>
            </w:pPr>
            <w:r w:rsidRPr="00490C53">
              <w:rPr>
                <w:rFonts w:cs="Calibri"/>
                <w:szCs w:val="20"/>
              </w:rPr>
              <w:t>0.2%</w:t>
            </w:r>
          </w:p>
        </w:tc>
      </w:tr>
      <w:tr w:rsidR="006171CE" w:rsidRPr="00490C53" w14:paraId="0C0C5BE1" w14:textId="77777777">
        <w:tblPrEx>
          <w:tblCellMar>
            <w:left w:w="108" w:type="dxa"/>
            <w:right w:w="108" w:type="dxa"/>
          </w:tblCellMar>
        </w:tblPrEx>
        <w:trPr>
          <w:trHeight w:val="290"/>
        </w:trPr>
        <w:tc>
          <w:tcPr>
            <w:tcW w:w="977" w:type="pct"/>
            <w:noWrap/>
            <w:vAlign w:val="top"/>
          </w:tcPr>
          <w:p w14:paraId="2F6DB206" w14:textId="77777777" w:rsidR="006171CE" w:rsidRPr="00490C53" w:rsidRDefault="006171CE">
            <w:pPr>
              <w:pStyle w:val="Tabletext"/>
              <w:rPr>
                <w:lang w:eastAsia="en-GB"/>
              </w:rPr>
            </w:pPr>
          </w:p>
        </w:tc>
        <w:tc>
          <w:tcPr>
            <w:tcW w:w="1746" w:type="pct"/>
            <w:noWrap/>
            <w:vAlign w:val="top"/>
          </w:tcPr>
          <w:p w14:paraId="1E535A83" w14:textId="77777777" w:rsidR="006171CE" w:rsidRPr="00490C53" w:rsidRDefault="006171CE">
            <w:pPr>
              <w:pStyle w:val="Tabletext"/>
              <w:rPr>
                <w:lang w:eastAsia="en-GB"/>
              </w:rPr>
            </w:pPr>
            <w:r w:rsidRPr="00490C53">
              <w:t>4-5 employees</w:t>
            </w:r>
          </w:p>
        </w:tc>
        <w:tc>
          <w:tcPr>
            <w:tcW w:w="1117" w:type="pct"/>
            <w:noWrap/>
            <w:vAlign w:val="center"/>
          </w:tcPr>
          <w:p w14:paraId="7EC40E41" w14:textId="77777777" w:rsidR="006171CE" w:rsidRPr="00490C53" w:rsidRDefault="006171CE">
            <w:pPr>
              <w:pStyle w:val="Tabletext"/>
              <w:jc w:val="right"/>
              <w:rPr>
                <w:lang w:eastAsia="en-GB"/>
              </w:rPr>
            </w:pPr>
            <w:r w:rsidRPr="00490C53">
              <w:rPr>
                <w:rFonts w:cs="Calibri"/>
                <w:szCs w:val="20"/>
              </w:rPr>
              <w:t>5.3%</w:t>
            </w:r>
          </w:p>
        </w:tc>
        <w:tc>
          <w:tcPr>
            <w:tcW w:w="1160" w:type="pct"/>
            <w:noWrap/>
            <w:vAlign w:val="center"/>
          </w:tcPr>
          <w:p w14:paraId="4263DC6F" w14:textId="77777777" w:rsidR="006171CE" w:rsidRPr="00490C53" w:rsidRDefault="006171CE">
            <w:pPr>
              <w:pStyle w:val="Tabletext"/>
              <w:jc w:val="right"/>
              <w:rPr>
                <w:lang w:eastAsia="en-GB"/>
              </w:rPr>
            </w:pPr>
            <w:r w:rsidRPr="00490C53">
              <w:rPr>
                <w:rFonts w:cs="Calibri"/>
                <w:szCs w:val="20"/>
              </w:rPr>
              <w:t>0.4%</w:t>
            </w:r>
          </w:p>
        </w:tc>
      </w:tr>
      <w:tr w:rsidR="006171CE" w:rsidRPr="00490C53" w14:paraId="36605F4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12D7A23" w14:textId="77777777" w:rsidR="006171CE" w:rsidRPr="00490C53" w:rsidRDefault="006171CE">
            <w:pPr>
              <w:pStyle w:val="Tabletext"/>
              <w:rPr>
                <w:lang w:eastAsia="en-GB"/>
              </w:rPr>
            </w:pPr>
          </w:p>
        </w:tc>
        <w:tc>
          <w:tcPr>
            <w:tcW w:w="1746" w:type="pct"/>
            <w:noWrap/>
            <w:vAlign w:val="top"/>
          </w:tcPr>
          <w:p w14:paraId="58B381C8" w14:textId="77777777" w:rsidR="006171CE" w:rsidRPr="00490C53" w:rsidRDefault="006171CE">
            <w:pPr>
              <w:pStyle w:val="Tabletext"/>
              <w:rPr>
                <w:lang w:eastAsia="en-GB"/>
              </w:rPr>
            </w:pPr>
            <w:r w:rsidRPr="00490C53">
              <w:t>6-7 employees</w:t>
            </w:r>
          </w:p>
        </w:tc>
        <w:tc>
          <w:tcPr>
            <w:tcW w:w="1117" w:type="pct"/>
            <w:noWrap/>
            <w:vAlign w:val="center"/>
          </w:tcPr>
          <w:p w14:paraId="7986B32A" w14:textId="77777777" w:rsidR="006171CE" w:rsidRPr="00490C53" w:rsidRDefault="006171CE">
            <w:pPr>
              <w:pStyle w:val="Tabletext"/>
              <w:jc w:val="right"/>
              <w:rPr>
                <w:lang w:eastAsia="en-GB"/>
              </w:rPr>
            </w:pPr>
            <w:r w:rsidRPr="00490C53">
              <w:rPr>
                <w:rFonts w:cs="Calibri"/>
                <w:szCs w:val="20"/>
              </w:rPr>
              <w:t>5.2%</w:t>
            </w:r>
          </w:p>
        </w:tc>
        <w:tc>
          <w:tcPr>
            <w:tcW w:w="1160" w:type="pct"/>
            <w:noWrap/>
            <w:vAlign w:val="center"/>
          </w:tcPr>
          <w:p w14:paraId="3F944679" w14:textId="77777777" w:rsidR="006171CE" w:rsidRPr="00490C53" w:rsidRDefault="006171CE">
            <w:pPr>
              <w:pStyle w:val="Tabletext"/>
              <w:jc w:val="right"/>
              <w:rPr>
                <w:lang w:eastAsia="en-GB"/>
              </w:rPr>
            </w:pPr>
            <w:r w:rsidRPr="00490C53">
              <w:rPr>
                <w:rFonts w:cs="Calibri"/>
                <w:szCs w:val="20"/>
              </w:rPr>
              <w:t>0.0%</w:t>
            </w:r>
          </w:p>
        </w:tc>
      </w:tr>
      <w:tr w:rsidR="006171CE" w:rsidRPr="00490C53" w14:paraId="1F0B1FF7" w14:textId="77777777">
        <w:tblPrEx>
          <w:tblCellMar>
            <w:left w:w="108" w:type="dxa"/>
            <w:right w:w="108" w:type="dxa"/>
          </w:tblCellMar>
        </w:tblPrEx>
        <w:trPr>
          <w:trHeight w:val="290"/>
        </w:trPr>
        <w:tc>
          <w:tcPr>
            <w:tcW w:w="977" w:type="pct"/>
            <w:noWrap/>
            <w:vAlign w:val="top"/>
          </w:tcPr>
          <w:p w14:paraId="2A351AE3" w14:textId="77777777" w:rsidR="006171CE" w:rsidRPr="00490C53" w:rsidRDefault="006171CE">
            <w:pPr>
              <w:pStyle w:val="Tabletext"/>
              <w:rPr>
                <w:lang w:eastAsia="en-GB"/>
              </w:rPr>
            </w:pPr>
          </w:p>
        </w:tc>
        <w:tc>
          <w:tcPr>
            <w:tcW w:w="1746" w:type="pct"/>
            <w:noWrap/>
            <w:vAlign w:val="top"/>
          </w:tcPr>
          <w:p w14:paraId="5255515A" w14:textId="77777777" w:rsidR="006171CE" w:rsidRPr="00490C53" w:rsidRDefault="006171CE">
            <w:pPr>
              <w:pStyle w:val="Tabletext"/>
              <w:rPr>
                <w:lang w:eastAsia="en-GB"/>
              </w:rPr>
            </w:pPr>
            <w:r w:rsidRPr="00490C53">
              <w:t>8-9 employees</w:t>
            </w:r>
          </w:p>
        </w:tc>
        <w:tc>
          <w:tcPr>
            <w:tcW w:w="1117" w:type="pct"/>
            <w:noWrap/>
            <w:vAlign w:val="center"/>
          </w:tcPr>
          <w:p w14:paraId="2E1ED033" w14:textId="77777777" w:rsidR="006171CE" w:rsidRPr="00490C53" w:rsidRDefault="006171CE">
            <w:pPr>
              <w:pStyle w:val="Tabletext"/>
              <w:jc w:val="right"/>
              <w:rPr>
                <w:lang w:eastAsia="en-GB"/>
              </w:rPr>
            </w:pPr>
            <w:r w:rsidRPr="00490C53">
              <w:rPr>
                <w:rFonts w:cs="Calibri"/>
                <w:szCs w:val="20"/>
              </w:rPr>
              <w:t>4.8%</w:t>
            </w:r>
          </w:p>
        </w:tc>
        <w:tc>
          <w:tcPr>
            <w:tcW w:w="1160" w:type="pct"/>
            <w:noWrap/>
            <w:vAlign w:val="center"/>
          </w:tcPr>
          <w:p w14:paraId="6F25FA95" w14:textId="77777777" w:rsidR="006171CE" w:rsidRPr="00490C53" w:rsidRDefault="006171CE">
            <w:pPr>
              <w:pStyle w:val="Tabletext"/>
              <w:jc w:val="right"/>
              <w:rPr>
                <w:lang w:eastAsia="en-GB"/>
              </w:rPr>
            </w:pPr>
            <w:r w:rsidRPr="00490C53">
              <w:rPr>
                <w:rFonts w:cs="Calibri"/>
                <w:szCs w:val="20"/>
              </w:rPr>
              <w:t>0.1%</w:t>
            </w:r>
          </w:p>
        </w:tc>
      </w:tr>
      <w:tr w:rsidR="006171CE" w:rsidRPr="00490C53" w14:paraId="70E8556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8D607B2" w14:textId="77777777" w:rsidR="006171CE" w:rsidRPr="00490C53" w:rsidRDefault="006171CE">
            <w:pPr>
              <w:pStyle w:val="Tabletext"/>
              <w:rPr>
                <w:lang w:eastAsia="en-GB"/>
              </w:rPr>
            </w:pPr>
          </w:p>
        </w:tc>
        <w:tc>
          <w:tcPr>
            <w:tcW w:w="1746" w:type="pct"/>
            <w:noWrap/>
            <w:vAlign w:val="top"/>
          </w:tcPr>
          <w:p w14:paraId="15F1FDA6" w14:textId="77777777" w:rsidR="006171CE" w:rsidRPr="00490C53" w:rsidRDefault="006171CE">
            <w:pPr>
              <w:pStyle w:val="Tabletext"/>
              <w:rPr>
                <w:lang w:eastAsia="en-GB"/>
              </w:rPr>
            </w:pPr>
            <w:r w:rsidRPr="00490C53">
              <w:t>10-14 employees</w:t>
            </w:r>
          </w:p>
        </w:tc>
        <w:tc>
          <w:tcPr>
            <w:tcW w:w="1117" w:type="pct"/>
            <w:noWrap/>
            <w:vAlign w:val="center"/>
          </w:tcPr>
          <w:p w14:paraId="7F9C95CE" w14:textId="77777777" w:rsidR="006171CE" w:rsidRPr="00490C53" w:rsidRDefault="006171CE">
            <w:pPr>
              <w:pStyle w:val="Tabletext"/>
              <w:jc w:val="right"/>
              <w:rPr>
                <w:lang w:eastAsia="en-GB"/>
              </w:rPr>
            </w:pPr>
            <w:r w:rsidRPr="00490C53">
              <w:rPr>
                <w:rFonts w:cs="Calibri"/>
                <w:szCs w:val="20"/>
              </w:rPr>
              <w:t>6.7%</w:t>
            </w:r>
          </w:p>
        </w:tc>
        <w:tc>
          <w:tcPr>
            <w:tcW w:w="1160" w:type="pct"/>
            <w:noWrap/>
            <w:vAlign w:val="center"/>
          </w:tcPr>
          <w:p w14:paraId="352BEB22" w14:textId="77777777" w:rsidR="006171CE" w:rsidRPr="00490C53" w:rsidRDefault="006171CE">
            <w:pPr>
              <w:pStyle w:val="Tabletext"/>
              <w:jc w:val="right"/>
              <w:rPr>
                <w:lang w:eastAsia="en-GB"/>
              </w:rPr>
            </w:pPr>
            <w:r w:rsidRPr="00490C53">
              <w:rPr>
                <w:rFonts w:cs="Calibri"/>
                <w:szCs w:val="20"/>
              </w:rPr>
              <w:t>0.0%</w:t>
            </w:r>
          </w:p>
        </w:tc>
      </w:tr>
      <w:tr w:rsidR="006171CE" w:rsidRPr="00490C53" w14:paraId="7D545E9B" w14:textId="77777777">
        <w:tblPrEx>
          <w:tblCellMar>
            <w:left w:w="108" w:type="dxa"/>
            <w:right w:w="108" w:type="dxa"/>
          </w:tblCellMar>
        </w:tblPrEx>
        <w:trPr>
          <w:trHeight w:val="290"/>
        </w:trPr>
        <w:tc>
          <w:tcPr>
            <w:tcW w:w="977" w:type="pct"/>
            <w:noWrap/>
            <w:vAlign w:val="top"/>
          </w:tcPr>
          <w:p w14:paraId="1C208F3C" w14:textId="77777777" w:rsidR="006171CE" w:rsidRPr="00490C53" w:rsidRDefault="006171CE">
            <w:pPr>
              <w:pStyle w:val="Tabletext"/>
              <w:rPr>
                <w:lang w:eastAsia="en-GB"/>
              </w:rPr>
            </w:pPr>
          </w:p>
        </w:tc>
        <w:tc>
          <w:tcPr>
            <w:tcW w:w="1746" w:type="pct"/>
            <w:noWrap/>
            <w:vAlign w:val="top"/>
          </w:tcPr>
          <w:p w14:paraId="2823A360" w14:textId="77777777" w:rsidR="006171CE" w:rsidRPr="00490C53" w:rsidRDefault="006171CE">
            <w:pPr>
              <w:pStyle w:val="Tabletext"/>
              <w:rPr>
                <w:lang w:eastAsia="en-GB"/>
              </w:rPr>
            </w:pPr>
            <w:r w:rsidRPr="00490C53">
              <w:t>15-24 employees</w:t>
            </w:r>
          </w:p>
        </w:tc>
        <w:tc>
          <w:tcPr>
            <w:tcW w:w="1117" w:type="pct"/>
            <w:noWrap/>
            <w:vAlign w:val="center"/>
          </w:tcPr>
          <w:p w14:paraId="7A3F64A6" w14:textId="77777777" w:rsidR="006171CE" w:rsidRPr="00490C53" w:rsidRDefault="006171CE">
            <w:pPr>
              <w:pStyle w:val="Tabletext"/>
              <w:jc w:val="right"/>
              <w:rPr>
                <w:lang w:eastAsia="en-GB"/>
              </w:rPr>
            </w:pPr>
            <w:r w:rsidRPr="00490C53">
              <w:rPr>
                <w:rFonts w:cs="Calibri"/>
                <w:szCs w:val="20"/>
              </w:rPr>
              <w:t>6.3%</w:t>
            </w:r>
          </w:p>
        </w:tc>
        <w:tc>
          <w:tcPr>
            <w:tcW w:w="1160" w:type="pct"/>
            <w:noWrap/>
            <w:vAlign w:val="center"/>
          </w:tcPr>
          <w:p w14:paraId="6D053F25" w14:textId="77777777" w:rsidR="006171CE" w:rsidRPr="00490C53" w:rsidRDefault="006171CE">
            <w:pPr>
              <w:pStyle w:val="Tabletext"/>
              <w:jc w:val="right"/>
              <w:rPr>
                <w:lang w:eastAsia="en-GB"/>
              </w:rPr>
            </w:pPr>
            <w:r w:rsidRPr="00490C53">
              <w:rPr>
                <w:rFonts w:cs="Calibri"/>
                <w:szCs w:val="20"/>
              </w:rPr>
              <w:t>0.1%</w:t>
            </w:r>
          </w:p>
        </w:tc>
      </w:tr>
      <w:tr w:rsidR="006171CE" w:rsidRPr="00490C53" w14:paraId="035EC95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8BE5D5E" w14:textId="77777777" w:rsidR="006171CE" w:rsidRPr="00490C53" w:rsidRDefault="006171CE">
            <w:pPr>
              <w:pStyle w:val="Tabletext"/>
              <w:rPr>
                <w:lang w:eastAsia="en-GB"/>
              </w:rPr>
            </w:pPr>
          </w:p>
        </w:tc>
        <w:tc>
          <w:tcPr>
            <w:tcW w:w="1746" w:type="pct"/>
            <w:noWrap/>
            <w:vAlign w:val="top"/>
          </w:tcPr>
          <w:p w14:paraId="2A1098C5" w14:textId="77777777" w:rsidR="006171CE" w:rsidRPr="00490C53" w:rsidRDefault="006171CE">
            <w:pPr>
              <w:pStyle w:val="Tabletext"/>
              <w:rPr>
                <w:lang w:eastAsia="en-GB"/>
              </w:rPr>
            </w:pPr>
            <w:r w:rsidRPr="00490C53">
              <w:t>25-49 employees</w:t>
            </w:r>
          </w:p>
        </w:tc>
        <w:tc>
          <w:tcPr>
            <w:tcW w:w="1117" w:type="pct"/>
            <w:noWrap/>
            <w:vAlign w:val="center"/>
          </w:tcPr>
          <w:p w14:paraId="59C18B31" w14:textId="77777777" w:rsidR="006171CE" w:rsidRPr="00490C53" w:rsidRDefault="006171CE">
            <w:pPr>
              <w:pStyle w:val="Tabletext"/>
              <w:jc w:val="right"/>
              <w:rPr>
                <w:lang w:eastAsia="en-GB"/>
              </w:rPr>
            </w:pPr>
            <w:r w:rsidRPr="00490C53">
              <w:rPr>
                <w:rFonts w:cs="Calibri"/>
                <w:szCs w:val="20"/>
              </w:rPr>
              <w:t>4.4%</w:t>
            </w:r>
          </w:p>
        </w:tc>
        <w:tc>
          <w:tcPr>
            <w:tcW w:w="1160" w:type="pct"/>
            <w:noWrap/>
            <w:vAlign w:val="center"/>
          </w:tcPr>
          <w:p w14:paraId="7105B788" w14:textId="77777777" w:rsidR="006171CE" w:rsidRPr="00490C53" w:rsidRDefault="006171CE">
            <w:pPr>
              <w:pStyle w:val="Tabletext"/>
              <w:jc w:val="right"/>
              <w:rPr>
                <w:lang w:eastAsia="en-GB"/>
              </w:rPr>
            </w:pPr>
            <w:r w:rsidRPr="00490C53">
              <w:rPr>
                <w:rFonts w:cs="Calibri"/>
                <w:szCs w:val="20"/>
              </w:rPr>
              <w:t>0.0%</w:t>
            </w:r>
          </w:p>
        </w:tc>
      </w:tr>
      <w:tr w:rsidR="006171CE" w:rsidRPr="00490C53" w14:paraId="12D42515" w14:textId="77777777">
        <w:tblPrEx>
          <w:tblCellMar>
            <w:left w:w="108" w:type="dxa"/>
            <w:right w:w="108" w:type="dxa"/>
          </w:tblCellMar>
        </w:tblPrEx>
        <w:trPr>
          <w:trHeight w:val="290"/>
        </w:trPr>
        <w:tc>
          <w:tcPr>
            <w:tcW w:w="977" w:type="pct"/>
            <w:noWrap/>
            <w:vAlign w:val="top"/>
          </w:tcPr>
          <w:p w14:paraId="665F5FBA" w14:textId="77777777" w:rsidR="006171CE" w:rsidRPr="00490C53" w:rsidRDefault="006171CE">
            <w:pPr>
              <w:pStyle w:val="Tabletext"/>
              <w:rPr>
                <w:lang w:eastAsia="en-GB"/>
              </w:rPr>
            </w:pPr>
          </w:p>
        </w:tc>
        <w:tc>
          <w:tcPr>
            <w:tcW w:w="1746" w:type="pct"/>
            <w:noWrap/>
            <w:vAlign w:val="top"/>
          </w:tcPr>
          <w:p w14:paraId="73E86132" w14:textId="77777777" w:rsidR="006171CE" w:rsidRPr="00490C53" w:rsidRDefault="006171CE">
            <w:pPr>
              <w:pStyle w:val="Tabletext"/>
              <w:rPr>
                <w:lang w:eastAsia="en-GB"/>
              </w:rPr>
            </w:pPr>
            <w:r w:rsidRPr="00490C53">
              <w:t>50-249 employees</w:t>
            </w:r>
          </w:p>
        </w:tc>
        <w:tc>
          <w:tcPr>
            <w:tcW w:w="1117" w:type="pct"/>
            <w:noWrap/>
            <w:vAlign w:val="center"/>
          </w:tcPr>
          <w:p w14:paraId="34E5BA52" w14:textId="77777777" w:rsidR="006171CE" w:rsidRPr="00490C53" w:rsidRDefault="006171CE">
            <w:pPr>
              <w:pStyle w:val="Tabletext"/>
              <w:jc w:val="right"/>
              <w:rPr>
                <w:lang w:eastAsia="en-GB"/>
              </w:rPr>
            </w:pPr>
            <w:r w:rsidRPr="00490C53">
              <w:rPr>
                <w:rFonts w:cs="Calibri"/>
                <w:szCs w:val="20"/>
              </w:rPr>
              <w:t>1.3%</w:t>
            </w:r>
          </w:p>
        </w:tc>
        <w:tc>
          <w:tcPr>
            <w:tcW w:w="1160" w:type="pct"/>
            <w:noWrap/>
            <w:vAlign w:val="center"/>
          </w:tcPr>
          <w:p w14:paraId="6C2998B4" w14:textId="77777777" w:rsidR="006171CE" w:rsidRPr="00490C53" w:rsidRDefault="006171CE">
            <w:pPr>
              <w:pStyle w:val="Tabletext"/>
              <w:jc w:val="right"/>
              <w:rPr>
                <w:lang w:eastAsia="en-GB"/>
              </w:rPr>
            </w:pPr>
            <w:r w:rsidRPr="00490C53">
              <w:rPr>
                <w:rFonts w:cs="Calibri"/>
                <w:szCs w:val="20"/>
              </w:rPr>
              <w:t>0.0%</w:t>
            </w:r>
          </w:p>
        </w:tc>
      </w:tr>
      <w:tr w:rsidR="006171CE" w:rsidRPr="00490C53" w14:paraId="0F60AD2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F9F5B7C" w14:textId="77777777" w:rsidR="006171CE" w:rsidRPr="00490C53" w:rsidRDefault="006171CE">
            <w:pPr>
              <w:pStyle w:val="Tabletext"/>
              <w:rPr>
                <w:lang w:eastAsia="en-GB"/>
              </w:rPr>
            </w:pPr>
          </w:p>
        </w:tc>
        <w:tc>
          <w:tcPr>
            <w:tcW w:w="1746" w:type="pct"/>
            <w:noWrap/>
            <w:vAlign w:val="top"/>
          </w:tcPr>
          <w:p w14:paraId="4F85A17A" w14:textId="77777777" w:rsidR="006171CE" w:rsidRPr="00490C53" w:rsidRDefault="006171CE">
            <w:pPr>
              <w:pStyle w:val="Tabletext"/>
              <w:rPr>
                <w:lang w:eastAsia="en-GB"/>
              </w:rPr>
            </w:pPr>
            <w:r w:rsidRPr="00490C53">
              <w:t>More than 250 employees</w:t>
            </w:r>
          </w:p>
        </w:tc>
        <w:tc>
          <w:tcPr>
            <w:tcW w:w="1117" w:type="pct"/>
            <w:noWrap/>
            <w:vAlign w:val="center"/>
          </w:tcPr>
          <w:p w14:paraId="5490A1DB" w14:textId="77777777" w:rsidR="006171CE" w:rsidRPr="00490C53" w:rsidRDefault="006171CE">
            <w:pPr>
              <w:pStyle w:val="Tabletext"/>
              <w:jc w:val="right"/>
              <w:rPr>
                <w:lang w:eastAsia="en-GB"/>
              </w:rPr>
            </w:pPr>
            <w:r w:rsidRPr="00490C53">
              <w:rPr>
                <w:rFonts w:cs="Calibri"/>
                <w:szCs w:val="20"/>
              </w:rPr>
              <w:t>0.0%</w:t>
            </w:r>
          </w:p>
        </w:tc>
        <w:tc>
          <w:tcPr>
            <w:tcW w:w="1160" w:type="pct"/>
            <w:noWrap/>
            <w:vAlign w:val="center"/>
          </w:tcPr>
          <w:p w14:paraId="4B9E34E9" w14:textId="77777777" w:rsidR="006171CE" w:rsidRPr="00490C53" w:rsidRDefault="006171CE">
            <w:pPr>
              <w:pStyle w:val="Tabletext"/>
              <w:jc w:val="right"/>
              <w:rPr>
                <w:lang w:eastAsia="en-GB"/>
              </w:rPr>
            </w:pPr>
            <w:r w:rsidRPr="00490C53">
              <w:rPr>
                <w:rFonts w:cs="Calibri"/>
                <w:szCs w:val="20"/>
              </w:rPr>
              <w:t>0.0%</w:t>
            </w:r>
          </w:p>
        </w:tc>
      </w:tr>
      <w:tr w:rsidR="006171CE" w:rsidRPr="00490C53" w14:paraId="1E9F3401" w14:textId="77777777">
        <w:tblPrEx>
          <w:tblCellMar>
            <w:left w:w="108" w:type="dxa"/>
            <w:right w:w="108" w:type="dxa"/>
          </w:tblCellMar>
        </w:tblPrEx>
        <w:trPr>
          <w:trHeight w:val="290"/>
        </w:trPr>
        <w:tc>
          <w:tcPr>
            <w:tcW w:w="977" w:type="pct"/>
            <w:noWrap/>
            <w:vAlign w:val="top"/>
          </w:tcPr>
          <w:p w14:paraId="0ADEA6B4" w14:textId="77777777" w:rsidR="006171CE" w:rsidRPr="00490C53" w:rsidRDefault="006171CE">
            <w:pPr>
              <w:pStyle w:val="Tabletext"/>
              <w:rPr>
                <w:lang w:eastAsia="en-GB"/>
              </w:rPr>
            </w:pPr>
            <w:r w:rsidRPr="00490C53">
              <w:rPr>
                <w:b/>
                <w:bCs/>
              </w:rPr>
              <w:t>Region</w:t>
            </w:r>
          </w:p>
        </w:tc>
        <w:tc>
          <w:tcPr>
            <w:tcW w:w="1746" w:type="pct"/>
            <w:noWrap/>
            <w:vAlign w:val="top"/>
          </w:tcPr>
          <w:p w14:paraId="1AAE0775" w14:textId="77777777" w:rsidR="006171CE" w:rsidRPr="00490C53" w:rsidRDefault="006171CE">
            <w:pPr>
              <w:pStyle w:val="Tabletext"/>
              <w:rPr>
                <w:lang w:eastAsia="en-GB"/>
              </w:rPr>
            </w:pPr>
            <w:r w:rsidRPr="00490C53">
              <w:t>East / Midlands</w:t>
            </w:r>
          </w:p>
        </w:tc>
        <w:tc>
          <w:tcPr>
            <w:tcW w:w="1117" w:type="pct"/>
            <w:noWrap/>
            <w:vAlign w:val="center"/>
          </w:tcPr>
          <w:p w14:paraId="2160D299" w14:textId="77777777" w:rsidR="006171CE" w:rsidRPr="00490C53" w:rsidRDefault="006171CE">
            <w:pPr>
              <w:pStyle w:val="Tabletext"/>
              <w:jc w:val="right"/>
              <w:rPr>
                <w:lang w:eastAsia="en-GB"/>
              </w:rPr>
            </w:pPr>
            <w:r w:rsidRPr="00490C53">
              <w:rPr>
                <w:rFonts w:cs="Calibri"/>
                <w:szCs w:val="20"/>
              </w:rPr>
              <w:t>0.5%</w:t>
            </w:r>
          </w:p>
        </w:tc>
        <w:tc>
          <w:tcPr>
            <w:tcW w:w="1160" w:type="pct"/>
            <w:noWrap/>
            <w:vAlign w:val="center"/>
          </w:tcPr>
          <w:p w14:paraId="1A7BE8D0" w14:textId="77777777" w:rsidR="006171CE" w:rsidRPr="00490C53" w:rsidRDefault="006171CE">
            <w:pPr>
              <w:pStyle w:val="Tabletext"/>
              <w:jc w:val="right"/>
              <w:rPr>
                <w:lang w:eastAsia="en-GB"/>
              </w:rPr>
            </w:pPr>
            <w:r w:rsidRPr="00490C53">
              <w:rPr>
                <w:rFonts w:cs="Calibri"/>
                <w:szCs w:val="20"/>
              </w:rPr>
              <w:t>0.5%</w:t>
            </w:r>
          </w:p>
        </w:tc>
      </w:tr>
      <w:tr w:rsidR="006171CE" w:rsidRPr="00490C53" w14:paraId="1745A81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C9AC5EE" w14:textId="77777777" w:rsidR="006171CE" w:rsidRPr="00490C53" w:rsidRDefault="006171CE">
            <w:pPr>
              <w:pStyle w:val="Tabletext"/>
              <w:rPr>
                <w:lang w:eastAsia="en-GB"/>
              </w:rPr>
            </w:pPr>
          </w:p>
        </w:tc>
        <w:tc>
          <w:tcPr>
            <w:tcW w:w="1746" w:type="pct"/>
            <w:noWrap/>
            <w:vAlign w:val="top"/>
          </w:tcPr>
          <w:p w14:paraId="38A824D0" w14:textId="77777777" w:rsidR="006171CE" w:rsidRPr="00490C53" w:rsidRDefault="006171CE">
            <w:pPr>
              <w:pStyle w:val="Tabletext"/>
              <w:rPr>
                <w:lang w:eastAsia="en-GB"/>
              </w:rPr>
            </w:pPr>
            <w:r w:rsidRPr="00490C53">
              <w:t>London</w:t>
            </w:r>
          </w:p>
        </w:tc>
        <w:tc>
          <w:tcPr>
            <w:tcW w:w="1117" w:type="pct"/>
            <w:noWrap/>
            <w:vAlign w:val="center"/>
          </w:tcPr>
          <w:p w14:paraId="259901E0" w14:textId="77777777" w:rsidR="006171CE" w:rsidRPr="00490C53" w:rsidRDefault="006171CE">
            <w:pPr>
              <w:pStyle w:val="Tabletext"/>
              <w:jc w:val="right"/>
              <w:rPr>
                <w:lang w:eastAsia="en-GB"/>
              </w:rPr>
            </w:pPr>
            <w:r w:rsidRPr="00490C53">
              <w:rPr>
                <w:rFonts w:cs="Calibri"/>
                <w:szCs w:val="20"/>
              </w:rPr>
              <w:t>4.6%</w:t>
            </w:r>
          </w:p>
        </w:tc>
        <w:tc>
          <w:tcPr>
            <w:tcW w:w="1160" w:type="pct"/>
            <w:noWrap/>
            <w:vAlign w:val="center"/>
          </w:tcPr>
          <w:p w14:paraId="79E9BEB2" w14:textId="77777777" w:rsidR="006171CE" w:rsidRPr="00490C53" w:rsidRDefault="006171CE">
            <w:pPr>
              <w:pStyle w:val="Tabletext"/>
              <w:jc w:val="right"/>
              <w:rPr>
                <w:lang w:eastAsia="en-GB"/>
              </w:rPr>
            </w:pPr>
            <w:r w:rsidRPr="00490C53">
              <w:rPr>
                <w:rFonts w:cs="Calibri"/>
                <w:szCs w:val="20"/>
              </w:rPr>
              <w:t>1.1%</w:t>
            </w:r>
          </w:p>
        </w:tc>
      </w:tr>
      <w:tr w:rsidR="006171CE" w:rsidRPr="00490C53" w14:paraId="563CC95E" w14:textId="77777777">
        <w:tblPrEx>
          <w:tblCellMar>
            <w:left w:w="108" w:type="dxa"/>
            <w:right w:w="108" w:type="dxa"/>
          </w:tblCellMar>
        </w:tblPrEx>
        <w:trPr>
          <w:trHeight w:val="290"/>
        </w:trPr>
        <w:tc>
          <w:tcPr>
            <w:tcW w:w="977" w:type="pct"/>
            <w:noWrap/>
            <w:vAlign w:val="top"/>
          </w:tcPr>
          <w:p w14:paraId="664DD304" w14:textId="77777777" w:rsidR="006171CE" w:rsidRPr="00490C53" w:rsidRDefault="006171CE">
            <w:pPr>
              <w:pStyle w:val="Tabletext"/>
              <w:rPr>
                <w:lang w:eastAsia="en-GB"/>
              </w:rPr>
            </w:pPr>
          </w:p>
        </w:tc>
        <w:tc>
          <w:tcPr>
            <w:tcW w:w="1746" w:type="pct"/>
            <w:noWrap/>
            <w:vAlign w:val="top"/>
          </w:tcPr>
          <w:p w14:paraId="52A532CB" w14:textId="77777777" w:rsidR="006171CE" w:rsidRPr="00490C53" w:rsidRDefault="006171CE">
            <w:pPr>
              <w:pStyle w:val="Tabletext"/>
              <w:rPr>
                <w:lang w:eastAsia="en-GB"/>
              </w:rPr>
            </w:pPr>
            <w:r w:rsidRPr="00490C53">
              <w:t>North / Yorkshire</w:t>
            </w:r>
          </w:p>
        </w:tc>
        <w:tc>
          <w:tcPr>
            <w:tcW w:w="1117" w:type="pct"/>
            <w:noWrap/>
            <w:vAlign w:val="center"/>
          </w:tcPr>
          <w:p w14:paraId="269A76A1" w14:textId="77777777" w:rsidR="006171CE" w:rsidRPr="00490C53" w:rsidRDefault="006171CE">
            <w:pPr>
              <w:pStyle w:val="Tabletext"/>
              <w:jc w:val="right"/>
              <w:rPr>
                <w:lang w:eastAsia="en-GB"/>
              </w:rPr>
            </w:pPr>
            <w:r w:rsidRPr="00490C53">
              <w:rPr>
                <w:rFonts w:cs="Calibri"/>
                <w:szCs w:val="20"/>
              </w:rPr>
              <w:t>1.7%</w:t>
            </w:r>
          </w:p>
        </w:tc>
        <w:tc>
          <w:tcPr>
            <w:tcW w:w="1160" w:type="pct"/>
            <w:noWrap/>
            <w:vAlign w:val="center"/>
          </w:tcPr>
          <w:p w14:paraId="0EC5D303" w14:textId="77777777" w:rsidR="006171CE" w:rsidRPr="00490C53" w:rsidRDefault="006171CE">
            <w:pPr>
              <w:pStyle w:val="Tabletext"/>
              <w:jc w:val="right"/>
              <w:rPr>
                <w:lang w:eastAsia="en-GB"/>
              </w:rPr>
            </w:pPr>
            <w:r w:rsidRPr="00490C53">
              <w:rPr>
                <w:rFonts w:cs="Calibri"/>
                <w:szCs w:val="20"/>
              </w:rPr>
              <w:t>0.1%</w:t>
            </w:r>
          </w:p>
        </w:tc>
      </w:tr>
      <w:tr w:rsidR="006171CE" w:rsidRPr="00490C53" w14:paraId="7C12875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5060C96" w14:textId="77777777" w:rsidR="006171CE" w:rsidRPr="00490C53" w:rsidRDefault="006171CE">
            <w:pPr>
              <w:pStyle w:val="Tabletext"/>
              <w:rPr>
                <w:lang w:eastAsia="en-GB"/>
              </w:rPr>
            </w:pPr>
          </w:p>
        </w:tc>
        <w:tc>
          <w:tcPr>
            <w:tcW w:w="1746" w:type="pct"/>
            <w:noWrap/>
            <w:vAlign w:val="top"/>
          </w:tcPr>
          <w:p w14:paraId="041DD6D9" w14:textId="77777777" w:rsidR="006171CE" w:rsidRPr="00490C53" w:rsidRDefault="006171CE">
            <w:pPr>
              <w:pStyle w:val="Tabletext"/>
              <w:rPr>
                <w:lang w:eastAsia="en-GB"/>
              </w:rPr>
            </w:pPr>
            <w:r w:rsidRPr="00490C53">
              <w:t>Northern Ireland</w:t>
            </w:r>
          </w:p>
        </w:tc>
        <w:tc>
          <w:tcPr>
            <w:tcW w:w="1117" w:type="pct"/>
            <w:noWrap/>
            <w:vAlign w:val="center"/>
          </w:tcPr>
          <w:p w14:paraId="07C7FC28" w14:textId="77777777" w:rsidR="006171CE" w:rsidRPr="00490C53" w:rsidRDefault="006171CE">
            <w:pPr>
              <w:pStyle w:val="Tabletext"/>
              <w:jc w:val="right"/>
              <w:rPr>
                <w:lang w:eastAsia="en-GB"/>
              </w:rPr>
            </w:pPr>
            <w:r w:rsidRPr="00490C53">
              <w:rPr>
                <w:rFonts w:cs="Calibri"/>
                <w:szCs w:val="20"/>
              </w:rPr>
              <w:t>0.9%</w:t>
            </w:r>
          </w:p>
        </w:tc>
        <w:tc>
          <w:tcPr>
            <w:tcW w:w="1160" w:type="pct"/>
            <w:noWrap/>
            <w:vAlign w:val="center"/>
          </w:tcPr>
          <w:p w14:paraId="1E213C49" w14:textId="77777777" w:rsidR="006171CE" w:rsidRPr="00490C53" w:rsidRDefault="006171CE">
            <w:pPr>
              <w:pStyle w:val="Tabletext"/>
              <w:jc w:val="right"/>
              <w:rPr>
                <w:lang w:eastAsia="en-GB"/>
              </w:rPr>
            </w:pPr>
            <w:r w:rsidRPr="00490C53">
              <w:rPr>
                <w:rFonts w:cs="Calibri"/>
                <w:szCs w:val="20"/>
              </w:rPr>
              <w:t>0.1%</w:t>
            </w:r>
          </w:p>
        </w:tc>
      </w:tr>
      <w:tr w:rsidR="006171CE" w:rsidRPr="00490C53" w14:paraId="547F7D55" w14:textId="77777777">
        <w:tblPrEx>
          <w:tblCellMar>
            <w:left w:w="108" w:type="dxa"/>
            <w:right w:w="108" w:type="dxa"/>
          </w:tblCellMar>
        </w:tblPrEx>
        <w:trPr>
          <w:trHeight w:val="290"/>
        </w:trPr>
        <w:tc>
          <w:tcPr>
            <w:tcW w:w="977" w:type="pct"/>
            <w:noWrap/>
            <w:vAlign w:val="top"/>
          </w:tcPr>
          <w:p w14:paraId="6DE032F5" w14:textId="77777777" w:rsidR="006171CE" w:rsidRPr="00490C53" w:rsidRDefault="006171CE">
            <w:pPr>
              <w:pStyle w:val="Tabletext"/>
              <w:rPr>
                <w:lang w:eastAsia="en-GB"/>
              </w:rPr>
            </w:pPr>
          </w:p>
        </w:tc>
        <w:tc>
          <w:tcPr>
            <w:tcW w:w="1746" w:type="pct"/>
            <w:noWrap/>
            <w:vAlign w:val="top"/>
          </w:tcPr>
          <w:p w14:paraId="4D0FCD20" w14:textId="77777777" w:rsidR="006171CE" w:rsidRPr="00490C53" w:rsidRDefault="006171CE">
            <w:pPr>
              <w:pStyle w:val="Tabletext"/>
              <w:rPr>
                <w:lang w:eastAsia="en-GB"/>
              </w:rPr>
            </w:pPr>
            <w:r w:rsidRPr="00490C53">
              <w:t>Scotland</w:t>
            </w:r>
          </w:p>
        </w:tc>
        <w:tc>
          <w:tcPr>
            <w:tcW w:w="1117" w:type="pct"/>
            <w:noWrap/>
            <w:vAlign w:val="center"/>
          </w:tcPr>
          <w:p w14:paraId="723D22A8" w14:textId="77777777" w:rsidR="006171CE" w:rsidRPr="00490C53" w:rsidRDefault="006171CE">
            <w:pPr>
              <w:pStyle w:val="Tabletext"/>
              <w:jc w:val="right"/>
              <w:rPr>
                <w:lang w:eastAsia="en-GB"/>
              </w:rPr>
            </w:pPr>
            <w:r w:rsidRPr="00490C53">
              <w:rPr>
                <w:rFonts w:cs="Calibri"/>
                <w:szCs w:val="20"/>
              </w:rPr>
              <w:t>0.2%</w:t>
            </w:r>
          </w:p>
        </w:tc>
        <w:tc>
          <w:tcPr>
            <w:tcW w:w="1160" w:type="pct"/>
            <w:noWrap/>
            <w:vAlign w:val="center"/>
          </w:tcPr>
          <w:p w14:paraId="2E6785A9" w14:textId="77777777" w:rsidR="006171CE" w:rsidRPr="00490C53" w:rsidRDefault="006171CE">
            <w:pPr>
              <w:pStyle w:val="Tabletext"/>
              <w:jc w:val="right"/>
              <w:rPr>
                <w:lang w:eastAsia="en-GB"/>
              </w:rPr>
            </w:pPr>
            <w:r w:rsidRPr="00490C53">
              <w:rPr>
                <w:rFonts w:cs="Calibri"/>
                <w:szCs w:val="20"/>
              </w:rPr>
              <w:t>0.4%</w:t>
            </w:r>
          </w:p>
        </w:tc>
      </w:tr>
      <w:tr w:rsidR="006171CE" w:rsidRPr="00490C53" w14:paraId="5C14BFA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9F81705" w14:textId="77777777" w:rsidR="006171CE" w:rsidRPr="00490C53" w:rsidRDefault="006171CE">
            <w:pPr>
              <w:pStyle w:val="Tabletext"/>
              <w:rPr>
                <w:lang w:eastAsia="en-GB"/>
              </w:rPr>
            </w:pPr>
          </w:p>
        </w:tc>
        <w:tc>
          <w:tcPr>
            <w:tcW w:w="1746" w:type="pct"/>
            <w:noWrap/>
            <w:vAlign w:val="top"/>
          </w:tcPr>
          <w:p w14:paraId="7D97FF4B" w14:textId="77777777" w:rsidR="006171CE" w:rsidRPr="00490C53" w:rsidRDefault="006171CE">
            <w:pPr>
              <w:pStyle w:val="Tabletext"/>
              <w:rPr>
                <w:lang w:eastAsia="en-GB"/>
              </w:rPr>
            </w:pPr>
            <w:r w:rsidRPr="00490C53">
              <w:t>South</w:t>
            </w:r>
          </w:p>
        </w:tc>
        <w:tc>
          <w:tcPr>
            <w:tcW w:w="1117" w:type="pct"/>
            <w:noWrap/>
            <w:vAlign w:val="center"/>
          </w:tcPr>
          <w:p w14:paraId="4B29D057" w14:textId="77777777" w:rsidR="006171CE" w:rsidRPr="00490C53" w:rsidRDefault="006171CE">
            <w:pPr>
              <w:pStyle w:val="Tabletext"/>
              <w:jc w:val="right"/>
              <w:rPr>
                <w:lang w:eastAsia="en-GB"/>
              </w:rPr>
            </w:pPr>
            <w:r w:rsidRPr="00490C53">
              <w:rPr>
                <w:rFonts w:cs="Calibri"/>
                <w:szCs w:val="20"/>
              </w:rPr>
              <w:t>0.8%</w:t>
            </w:r>
          </w:p>
        </w:tc>
        <w:tc>
          <w:tcPr>
            <w:tcW w:w="1160" w:type="pct"/>
            <w:noWrap/>
            <w:vAlign w:val="center"/>
          </w:tcPr>
          <w:p w14:paraId="1E2A6942" w14:textId="77777777" w:rsidR="006171CE" w:rsidRPr="00490C53" w:rsidRDefault="006171CE">
            <w:pPr>
              <w:pStyle w:val="Tabletext"/>
              <w:jc w:val="right"/>
              <w:rPr>
                <w:lang w:eastAsia="en-GB"/>
              </w:rPr>
            </w:pPr>
            <w:r w:rsidRPr="00490C53">
              <w:rPr>
                <w:rFonts w:cs="Calibri"/>
                <w:szCs w:val="20"/>
              </w:rPr>
              <w:t>0.0%</w:t>
            </w:r>
          </w:p>
        </w:tc>
      </w:tr>
      <w:tr w:rsidR="006171CE" w:rsidRPr="00490C53" w14:paraId="0AF8D960" w14:textId="77777777">
        <w:tblPrEx>
          <w:tblCellMar>
            <w:left w:w="108" w:type="dxa"/>
            <w:right w:w="108" w:type="dxa"/>
          </w:tblCellMar>
        </w:tblPrEx>
        <w:trPr>
          <w:trHeight w:val="290"/>
        </w:trPr>
        <w:tc>
          <w:tcPr>
            <w:tcW w:w="977" w:type="pct"/>
            <w:noWrap/>
            <w:vAlign w:val="top"/>
          </w:tcPr>
          <w:p w14:paraId="230A1A41" w14:textId="77777777" w:rsidR="006171CE" w:rsidRPr="00490C53" w:rsidRDefault="006171CE">
            <w:pPr>
              <w:pStyle w:val="Tabletext"/>
              <w:rPr>
                <w:lang w:eastAsia="en-GB"/>
              </w:rPr>
            </w:pPr>
          </w:p>
        </w:tc>
        <w:tc>
          <w:tcPr>
            <w:tcW w:w="1746" w:type="pct"/>
            <w:noWrap/>
            <w:vAlign w:val="top"/>
          </w:tcPr>
          <w:p w14:paraId="559DF140" w14:textId="77777777" w:rsidR="006171CE" w:rsidRPr="00490C53" w:rsidRDefault="006171CE">
            <w:pPr>
              <w:pStyle w:val="Tabletext"/>
              <w:rPr>
                <w:lang w:eastAsia="en-GB"/>
              </w:rPr>
            </w:pPr>
            <w:r w:rsidRPr="00490C53">
              <w:t>Wales</w:t>
            </w:r>
          </w:p>
        </w:tc>
        <w:tc>
          <w:tcPr>
            <w:tcW w:w="1117" w:type="pct"/>
            <w:noWrap/>
            <w:vAlign w:val="center"/>
          </w:tcPr>
          <w:p w14:paraId="273D0296" w14:textId="77777777" w:rsidR="006171CE" w:rsidRPr="00490C53" w:rsidRDefault="006171CE">
            <w:pPr>
              <w:pStyle w:val="Tabletext"/>
              <w:jc w:val="right"/>
              <w:rPr>
                <w:lang w:eastAsia="en-GB"/>
              </w:rPr>
            </w:pPr>
            <w:r w:rsidRPr="00490C53">
              <w:rPr>
                <w:rFonts w:cs="Calibri"/>
                <w:szCs w:val="20"/>
              </w:rPr>
              <w:t>0.3%</w:t>
            </w:r>
          </w:p>
        </w:tc>
        <w:tc>
          <w:tcPr>
            <w:tcW w:w="1160" w:type="pct"/>
            <w:noWrap/>
            <w:vAlign w:val="center"/>
          </w:tcPr>
          <w:p w14:paraId="6A990244" w14:textId="77777777" w:rsidR="006171CE" w:rsidRPr="00490C53" w:rsidRDefault="006171CE">
            <w:pPr>
              <w:pStyle w:val="Tabletext"/>
              <w:jc w:val="right"/>
              <w:rPr>
                <w:lang w:eastAsia="en-GB"/>
              </w:rPr>
            </w:pPr>
            <w:r w:rsidRPr="00490C53">
              <w:rPr>
                <w:rFonts w:cs="Calibri"/>
                <w:szCs w:val="20"/>
              </w:rPr>
              <w:t>0.2%</w:t>
            </w:r>
          </w:p>
        </w:tc>
      </w:tr>
      <w:tr w:rsidR="006171CE" w:rsidRPr="00490C53" w14:paraId="3686A5C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7B7F638" w14:textId="77777777" w:rsidR="006171CE" w:rsidRPr="00490C53" w:rsidRDefault="006171CE">
            <w:pPr>
              <w:pStyle w:val="Tabletext"/>
              <w:rPr>
                <w:lang w:eastAsia="en-GB"/>
              </w:rPr>
            </w:pPr>
            <w:r w:rsidRPr="00490C53">
              <w:rPr>
                <w:b/>
                <w:bCs/>
              </w:rPr>
              <w:t>Sector</w:t>
            </w:r>
          </w:p>
        </w:tc>
        <w:tc>
          <w:tcPr>
            <w:tcW w:w="1746" w:type="pct"/>
            <w:noWrap/>
            <w:vAlign w:val="top"/>
          </w:tcPr>
          <w:p w14:paraId="376D7A9E" w14:textId="77777777" w:rsidR="006171CE" w:rsidRPr="00490C53" w:rsidRDefault="006171CE">
            <w:pPr>
              <w:pStyle w:val="Tabletext"/>
              <w:rPr>
                <w:lang w:eastAsia="en-GB"/>
              </w:rPr>
            </w:pPr>
            <w:r w:rsidRPr="00490C53">
              <w:t>Business Services</w:t>
            </w:r>
          </w:p>
        </w:tc>
        <w:tc>
          <w:tcPr>
            <w:tcW w:w="1117" w:type="pct"/>
            <w:noWrap/>
            <w:vAlign w:val="center"/>
          </w:tcPr>
          <w:p w14:paraId="7E05C2AE" w14:textId="77777777" w:rsidR="006171CE" w:rsidRPr="00490C53" w:rsidRDefault="006171CE">
            <w:pPr>
              <w:pStyle w:val="Tabletext"/>
              <w:jc w:val="right"/>
              <w:rPr>
                <w:lang w:eastAsia="en-GB"/>
              </w:rPr>
            </w:pPr>
            <w:r w:rsidRPr="00490C53">
              <w:rPr>
                <w:rFonts w:cs="Calibri"/>
                <w:szCs w:val="20"/>
              </w:rPr>
              <w:t>17.3%</w:t>
            </w:r>
          </w:p>
        </w:tc>
        <w:tc>
          <w:tcPr>
            <w:tcW w:w="1160" w:type="pct"/>
            <w:noWrap/>
            <w:vAlign w:val="center"/>
          </w:tcPr>
          <w:p w14:paraId="3E0A91C2" w14:textId="77777777" w:rsidR="006171CE" w:rsidRPr="00490C53" w:rsidRDefault="006171CE">
            <w:pPr>
              <w:pStyle w:val="Tabletext"/>
              <w:jc w:val="right"/>
              <w:rPr>
                <w:lang w:eastAsia="en-GB"/>
              </w:rPr>
            </w:pPr>
            <w:r w:rsidRPr="00490C53">
              <w:rPr>
                <w:rFonts w:cs="Calibri"/>
                <w:szCs w:val="20"/>
              </w:rPr>
              <w:t>0.3%</w:t>
            </w:r>
          </w:p>
        </w:tc>
      </w:tr>
      <w:tr w:rsidR="006171CE" w:rsidRPr="00490C53" w14:paraId="68F28334" w14:textId="77777777">
        <w:tblPrEx>
          <w:tblCellMar>
            <w:left w:w="108" w:type="dxa"/>
            <w:right w:w="108" w:type="dxa"/>
          </w:tblCellMar>
        </w:tblPrEx>
        <w:trPr>
          <w:trHeight w:val="290"/>
        </w:trPr>
        <w:tc>
          <w:tcPr>
            <w:tcW w:w="977" w:type="pct"/>
            <w:noWrap/>
            <w:vAlign w:val="top"/>
          </w:tcPr>
          <w:p w14:paraId="6691B4A1" w14:textId="77777777" w:rsidR="006171CE" w:rsidRPr="00490C53" w:rsidRDefault="006171CE">
            <w:pPr>
              <w:pStyle w:val="Tabletext"/>
              <w:rPr>
                <w:lang w:eastAsia="en-GB"/>
              </w:rPr>
            </w:pPr>
          </w:p>
        </w:tc>
        <w:tc>
          <w:tcPr>
            <w:tcW w:w="1746" w:type="pct"/>
            <w:noWrap/>
            <w:vAlign w:val="top"/>
          </w:tcPr>
          <w:p w14:paraId="7ECB6451" w14:textId="77777777" w:rsidR="006171CE" w:rsidRPr="00490C53" w:rsidRDefault="006171CE">
            <w:pPr>
              <w:pStyle w:val="Tabletext"/>
              <w:rPr>
                <w:lang w:eastAsia="en-GB"/>
              </w:rPr>
            </w:pPr>
            <w:r w:rsidRPr="00490C53">
              <w:t>Construction</w:t>
            </w:r>
          </w:p>
        </w:tc>
        <w:tc>
          <w:tcPr>
            <w:tcW w:w="1117" w:type="pct"/>
            <w:noWrap/>
            <w:vAlign w:val="center"/>
          </w:tcPr>
          <w:p w14:paraId="5BD483D7" w14:textId="77777777" w:rsidR="006171CE" w:rsidRPr="00490C53" w:rsidRDefault="006171CE">
            <w:pPr>
              <w:pStyle w:val="Tabletext"/>
              <w:jc w:val="right"/>
              <w:rPr>
                <w:lang w:eastAsia="en-GB"/>
              </w:rPr>
            </w:pPr>
            <w:r w:rsidRPr="00490C53">
              <w:rPr>
                <w:rFonts w:cs="Calibri"/>
                <w:szCs w:val="20"/>
              </w:rPr>
              <w:t>6.8%</w:t>
            </w:r>
          </w:p>
        </w:tc>
        <w:tc>
          <w:tcPr>
            <w:tcW w:w="1160" w:type="pct"/>
            <w:noWrap/>
            <w:vAlign w:val="center"/>
          </w:tcPr>
          <w:p w14:paraId="02D2B83C" w14:textId="77777777" w:rsidR="006171CE" w:rsidRPr="00490C53" w:rsidRDefault="006171CE">
            <w:pPr>
              <w:pStyle w:val="Tabletext"/>
              <w:jc w:val="right"/>
              <w:rPr>
                <w:lang w:eastAsia="en-GB"/>
              </w:rPr>
            </w:pPr>
            <w:r w:rsidRPr="00490C53">
              <w:rPr>
                <w:rFonts w:cs="Calibri"/>
                <w:szCs w:val="20"/>
              </w:rPr>
              <w:t>0.2%</w:t>
            </w:r>
          </w:p>
        </w:tc>
      </w:tr>
      <w:tr w:rsidR="006171CE" w:rsidRPr="00490C53" w14:paraId="427175A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AA03E94" w14:textId="77777777" w:rsidR="006171CE" w:rsidRPr="00490C53" w:rsidRDefault="006171CE">
            <w:pPr>
              <w:pStyle w:val="Tabletext"/>
              <w:rPr>
                <w:lang w:eastAsia="en-GB"/>
              </w:rPr>
            </w:pPr>
          </w:p>
        </w:tc>
        <w:tc>
          <w:tcPr>
            <w:tcW w:w="1746" w:type="pct"/>
            <w:noWrap/>
            <w:vAlign w:val="top"/>
          </w:tcPr>
          <w:p w14:paraId="308D98B2" w14:textId="77777777" w:rsidR="006171CE" w:rsidRPr="00490C53" w:rsidRDefault="006171CE">
            <w:pPr>
              <w:pStyle w:val="Tabletext"/>
              <w:rPr>
                <w:lang w:eastAsia="en-GB"/>
              </w:rPr>
            </w:pPr>
            <w:r w:rsidRPr="00490C53">
              <w:t>Distribution</w:t>
            </w:r>
          </w:p>
        </w:tc>
        <w:tc>
          <w:tcPr>
            <w:tcW w:w="1117" w:type="pct"/>
            <w:noWrap/>
            <w:vAlign w:val="center"/>
          </w:tcPr>
          <w:p w14:paraId="4327B1D7" w14:textId="77777777" w:rsidR="006171CE" w:rsidRPr="00490C53" w:rsidRDefault="006171CE">
            <w:pPr>
              <w:pStyle w:val="Tabletext"/>
              <w:jc w:val="right"/>
              <w:rPr>
                <w:lang w:eastAsia="en-GB"/>
              </w:rPr>
            </w:pPr>
            <w:r w:rsidRPr="00490C53">
              <w:rPr>
                <w:rFonts w:cs="Calibri"/>
                <w:szCs w:val="20"/>
              </w:rPr>
              <w:t>7.8%</w:t>
            </w:r>
          </w:p>
        </w:tc>
        <w:tc>
          <w:tcPr>
            <w:tcW w:w="1160" w:type="pct"/>
            <w:noWrap/>
            <w:vAlign w:val="center"/>
          </w:tcPr>
          <w:p w14:paraId="64DE6264" w14:textId="77777777" w:rsidR="006171CE" w:rsidRPr="00490C53" w:rsidRDefault="006171CE">
            <w:pPr>
              <w:pStyle w:val="Tabletext"/>
              <w:jc w:val="right"/>
              <w:rPr>
                <w:lang w:eastAsia="en-GB"/>
              </w:rPr>
            </w:pPr>
            <w:r w:rsidRPr="00490C53">
              <w:rPr>
                <w:rFonts w:cs="Calibri"/>
                <w:szCs w:val="20"/>
              </w:rPr>
              <w:t>0.1%</w:t>
            </w:r>
          </w:p>
        </w:tc>
      </w:tr>
      <w:tr w:rsidR="006171CE" w:rsidRPr="00490C53" w14:paraId="7C2374FB" w14:textId="77777777">
        <w:tblPrEx>
          <w:tblCellMar>
            <w:left w:w="108" w:type="dxa"/>
            <w:right w:w="108" w:type="dxa"/>
          </w:tblCellMar>
        </w:tblPrEx>
        <w:trPr>
          <w:trHeight w:val="290"/>
        </w:trPr>
        <w:tc>
          <w:tcPr>
            <w:tcW w:w="977" w:type="pct"/>
            <w:noWrap/>
            <w:vAlign w:val="top"/>
          </w:tcPr>
          <w:p w14:paraId="15BAC9DB" w14:textId="77777777" w:rsidR="006171CE" w:rsidRPr="00490C53" w:rsidRDefault="006171CE">
            <w:pPr>
              <w:pStyle w:val="Tabletext"/>
              <w:rPr>
                <w:lang w:eastAsia="en-GB"/>
              </w:rPr>
            </w:pPr>
          </w:p>
        </w:tc>
        <w:tc>
          <w:tcPr>
            <w:tcW w:w="1746" w:type="pct"/>
            <w:noWrap/>
            <w:vAlign w:val="top"/>
          </w:tcPr>
          <w:p w14:paraId="39DE8FA8" w14:textId="77777777" w:rsidR="006171CE" w:rsidRPr="00490C53" w:rsidRDefault="006171CE">
            <w:pPr>
              <w:pStyle w:val="Tabletext"/>
              <w:rPr>
                <w:lang w:eastAsia="en-GB"/>
              </w:rPr>
            </w:pPr>
            <w:r w:rsidRPr="00490C53">
              <w:t>Other Services</w:t>
            </w:r>
          </w:p>
        </w:tc>
        <w:tc>
          <w:tcPr>
            <w:tcW w:w="1117" w:type="pct"/>
            <w:noWrap/>
            <w:vAlign w:val="center"/>
          </w:tcPr>
          <w:p w14:paraId="2A39E33E" w14:textId="77777777" w:rsidR="006171CE" w:rsidRPr="00490C53" w:rsidRDefault="006171CE">
            <w:pPr>
              <w:pStyle w:val="Tabletext"/>
              <w:jc w:val="right"/>
              <w:rPr>
                <w:lang w:eastAsia="en-GB"/>
              </w:rPr>
            </w:pPr>
            <w:r w:rsidRPr="00490C53">
              <w:rPr>
                <w:rFonts w:cs="Calibri"/>
                <w:szCs w:val="20"/>
              </w:rPr>
              <w:t>0.5%</w:t>
            </w:r>
          </w:p>
        </w:tc>
        <w:tc>
          <w:tcPr>
            <w:tcW w:w="1160" w:type="pct"/>
            <w:noWrap/>
            <w:vAlign w:val="center"/>
          </w:tcPr>
          <w:p w14:paraId="09CF98BE" w14:textId="77777777" w:rsidR="006171CE" w:rsidRPr="00490C53" w:rsidRDefault="006171CE">
            <w:pPr>
              <w:pStyle w:val="Tabletext"/>
              <w:jc w:val="right"/>
              <w:rPr>
                <w:lang w:eastAsia="en-GB"/>
              </w:rPr>
            </w:pPr>
            <w:r w:rsidRPr="00490C53">
              <w:rPr>
                <w:rFonts w:cs="Calibri"/>
                <w:szCs w:val="20"/>
              </w:rPr>
              <w:t>0.6%</w:t>
            </w:r>
          </w:p>
        </w:tc>
      </w:tr>
      <w:tr w:rsidR="006171CE" w:rsidRPr="00490C53" w14:paraId="43AE893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74BB7B8" w14:textId="77777777" w:rsidR="006171CE" w:rsidRPr="00490C53" w:rsidRDefault="006171CE">
            <w:pPr>
              <w:pStyle w:val="Tabletext"/>
              <w:rPr>
                <w:lang w:eastAsia="en-GB"/>
              </w:rPr>
            </w:pPr>
          </w:p>
        </w:tc>
        <w:tc>
          <w:tcPr>
            <w:tcW w:w="1746" w:type="pct"/>
            <w:noWrap/>
            <w:vAlign w:val="top"/>
          </w:tcPr>
          <w:p w14:paraId="2ED3F579" w14:textId="77777777" w:rsidR="006171CE" w:rsidRPr="00490C53" w:rsidRDefault="006171CE">
            <w:pPr>
              <w:pStyle w:val="Tabletext"/>
              <w:rPr>
                <w:lang w:eastAsia="en-GB"/>
              </w:rPr>
            </w:pPr>
            <w:r w:rsidRPr="00490C53">
              <w:t>Primary/Manufacturing</w:t>
            </w:r>
          </w:p>
        </w:tc>
        <w:tc>
          <w:tcPr>
            <w:tcW w:w="1117" w:type="pct"/>
            <w:noWrap/>
            <w:vAlign w:val="center"/>
          </w:tcPr>
          <w:p w14:paraId="147CDE87" w14:textId="77777777" w:rsidR="006171CE" w:rsidRPr="00490C53" w:rsidRDefault="006171CE">
            <w:pPr>
              <w:pStyle w:val="Tabletext"/>
              <w:jc w:val="right"/>
              <w:rPr>
                <w:lang w:eastAsia="en-GB"/>
              </w:rPr>
            </w:pPr>
            <w:r w:rsidRPr="00490C53">
              <w:rPr>
                <w:rFonts w:cs="Calibri"/>
                <w:szCs w:val="20"/>
              </w:rPr>
              <w:t>3.4%</w:t>
            </w:r>
          </w:p>
        </w:tc>
        <w:tc>
          <w:tcPr>
            <w:tcW w:w="1160" w:type="pct"/>
            <w:noWrap/>
            <w:vAlign w:val="center"/>
          </w:tcPr>
          <w:p w14:paraId="1571A408" w14:textId="77777777" w:rsidR="006171CE" w:rsidRPr="00490C53" w:rsidRDefault="006171CE">
            <w:pPr>
              <w:pStyle w:val="Tabletext"/>
              <w:jc w:val="right"/>
              <w:rPr>
                <w:lang w:eastAsia="en-GB"/>
              </w:rPr>
            </w:pPr>
            <w:r w:rsidRPr="00490C53">
              <w:rPr>
                <w:rFonts w:cs="Calibri"/>
                <w:szCs w:val="20"/>
              </w:rPr>
              <w:t>0.2%</w:t>
            </w:r>
          </w:p>
        </w:tc>
      </w:tr>
      <w:tr w:rsidR="006171CE" w:rsidRPr="00490C53" w14:paraId="3776F948" w14:textId="77777777">
        <w:tblPrEx>
          <w:tblCellMar>
            <w:left w:w="108" w:type="dxa"/>
            <w:right w:w="108" w:type="dxa"/>
          </w:tblCellMar>
        </w:tblPrEx>
        <w:trPr>
          <w:trHeight w:val="290"/>
        </w:trPr>
        <w:tc>
          <w:tcPr>
            <w:tcW w:w="977" w:type="pct"/>
            <w:noWrap/>
            <w:vAlign w:val="top"/>
          </w:tcPr>
          <w:p w14:paraId="19D2F9AB" w14:textId="77777777" w:rsidR="006171CE" w:rsidRPr="00490C53" w:rsidRDefault="006171CE">
            <w:pPr>
              <w:pStyle w:val="Tabletext"/>
              <w:rPr>
                <w:lang w:eastAsia="en-GB"/>
              </w:rPr>
            </w:pPr>
            <w:r w:rsidRPr="00490C53">
              <w:rPr>
                <w:b/>
                <w:bCs/>
              </w:rPr>
              <w:t>Turnover growth 2017/2018</w:t>
            </w:r>
          </w:p>
        </w:tc>
        <w:tc>
          <w:tcPr>
            <w:tcW w:w="1746" w:type="pct"/>
            <w:noWrap/>
            <w:vAlign w:val="top"/>
          </w:tcPr>
          <w:p w14:paraId="4DC0E42C" w14:textId="77777777" w:rsidR="006171CE" w:rsidRPr="00490C53" w:rsidRDefault="006171CE">
            <w:pPr>
              <w:pStyle w:val="Tabletext"/>
              <w:rPr>
                <w:lang w:eastAsia="en-GB"/>
              </w:rPr>
            </w:pPr>
            <w:r w:rsidRPr="00490C53">
              <w:t>Decrease of more than 50%</w:t>
            </w:r>
          </w:p>
        </w:tc>
        <w:tc>
          <w:tcPr>
            <w:tcW w:w="1117" w:type="pct"/>
            <w:noWrap/>
            <w:vAlign w:val="center"/>
          </w:tcPr>
          <w:p w14:paraId="7BFE37A9" w14:textId="77777777" w:rsidR="006171CE" w:rsidRPr="00490C53" w:rsidRDefault="006171CE">
            <w:pPr>
              <w:pStyle w:val="Tabletext"/>
              <w:jc w:val="right"/>
              <w:rPr>
                <w:lang w:eastAsia="en-GB"/>
              </w:rPr>
            </w:pPr>
            <w:r w:rsidRPr="00490C53">
              <w:rPr>
                <w:rFonts w:cs="Calibri"/>
                <w:szCs w:val="20"/>
              </w:rPr>
              <w:t>2.3%</w:t>
            </w:r>
          </w:p>
        </w:tc>
        <w:tc>
          <w:tcPr>
            <w:tcW w:w="1160" w:type="pct"/>
            <w:noWrap/>
            <w:vAlign w:val="center"/>
          </w:tcPr>
          <w:p w14:paraId="62AA39C4" w14:textId="77777777" w:rsidR="006171CE" w:rsidRPr="00490C53" w:rsidRDefault="006171CE">
            <w:pPr>
              <w:pStyle w:val="Tabletext"/>
              <w:jc w:val="right"/>
              <w:rPr>
                <w:lang w:eastAsia="en-GB"/>
              </w:rPr>
            </w:pPr>
            <w:r w:rsidRPr="00490C53">
              <w:rPr>
                <w:rFonts w:cs="Calibri"/>
                <w:szCs w:val="20"/>
              </w:rPr>
              <w:t>0.1%</w:t>
            </w:r>
          </w:p>
        </w:tc>
      </w:tr>
      <w:tr w:rsidR="006171CE" w:rsidRPr="00490C53" w14:paraId="0FAB9D3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A461A44" w14:textId="77777777" w:rsidR="006171CE" w:rsidRPr="00490C53" w:rsidRDefault="006171CE">
            <w:pPr>
              <w:pStyle w:val="Tabletext"/>
              <w:rPr>
                <w:lang w:eastAsia="en-GB"/>
              </w:rPr>
            </w:pPr>
          </w:p>
        </w:tc>
        <w:tc>
          <w:tcPr>
            <w:tcW w:w="1746" w:type="pct"/>
            <w:noWrap/>
            <w:vAlign w:val="top"/>
          </w:tcPr>
          <w:p w14:paraId="1E6A9E1D" w14:textId="77777777" w:rsidR="006171CE" w:rsidRPr="00490C53" w:rsidRDefault="006171CE">
            <w:pPr>
              <w:pStyle w:val="Tabletext"/>
              <w:rPr>
                <w:lang w:eastAsia="en-GB"/>
              </w:rPr>
            </w:pPr>
            <w:r w:rsidRPr="00490C53">
              <w:t>Decrease of between 25% and 50%</w:t>
            </w:r>
          </w:p>
        </w:tc>
        <w:tc>
          <w:tcPr>
            <w:tcW w:w="1117" w:type="pct"/>
            <w:noWrap/>
            <w:vAlign w:val="center"/>
          </w:tcPr>
          <w:p w14:paraId="7B40783A" w14:textId="77777777" w:rsidR="006171CE" w:rsidRPr="00490C53" w:rsidRDefault="006171CE">
            <w:pPr>
              <w:pStyle w:val="Tabletext"/>
              <w:jc w:val="right"/>
              <w:rPr>
                <w:lang w:eastAsia="en-GB"/>
              </w:rPr>
            </w:pPr>
            <w:r w:rsidRPr="00490C53">
              <w:rPr>
                <w:rFonts w:cs="Calibri"/>
                <w:szCs w:val="20"/>
              </w:rPr>
              <w:t>0.6%</w:t>
            </w:r>
          </w:p>
        </w:tc>
        <w:tc>
          <w:tcPr>
            <w:tcW w:w="1160" w:type="pct"/>
            <w:noWrap/>
            <w:vAlign w:val="center"/>
          </w:tcPr>
          <w:p w14:paraId="73514406" w14:textId="77777777" w:rsidR="006171CE" w:rsidRPr="00490C53" w:rsidRDefault="006171CE">
            <w:pPr>
              <w:pStyle w:val="Tabletext"/>
              <w:jc w:val="right"/>
              <w:rPr>
                <w:lang w:eastAsia="en-GB"/>
              </w:rPr>
            </w:pPr>
            <w:r w:rsidRPr="00490C53">
              <w:rPr>
                <w:rFonts w:cs="Calibri"/>
                <w:szCs w:val="20"/>
              </w:rPr>
              <w:t>0.1%</w:t>
            </w:r>
          </w:p>
        </w:tc>
      </w:tr>
      <w:tr w:rsidR="006171CE" w:rsidRPr="00490C53" w14:paraId="7B049FB1" w14:textId="77777777">
        <w:tblPrEx>
          <w:tblCellMar>
            <w:left w:w="108" w:type="dxa"/>
            <w:right w:w="108" w:type="dxa"/>
          </w:tblCellMar>
        </w:tblPrEx>
        <w:trPr>
          <w:trHeight w:val="290"/>
        </w:trPr>
        <w:tc>
          <w:tcPr>
            <w:tcW w:w="977" w:type="pct"/>
            <w:noWrap/>
            <w:vAlign w:val="top"/>
          </w:tcPr>
          <w:p w14:paraId="45BBAE6F" w14:textId="77777777" w:rsidR="006171CE" w:rsidRPr="00490C53" w:rsidRDefault="006171CE">
            <w:pPr>
              <w:pStyle w:val="Tabletext"/>
              <w:rPr>
                <w:lang w:eastAsia="en-GB"/>
              </w:rPr>
            </w:pPr>
          </w:p>
        </w:tc>
        <w:tc>
          <w:tcPr>
            <w:tcW w:w="1746" w:type="pct"/>
            <w:noWrap/>
            <w:vAlign w:val="top"/>
          </w:tcPr>
          <w:p w14:paraId="4C1FB589" w14:textId="77777777" w:rsidR="006171CE" w:rsidRPr="00490C53" w:rsidRDefault="006171CE">
            <w:pPr>
              <w:pStyle w:val="Tabletext"/>
              <w:rPr>
                <w:lang w:eastAsia="en-GB"/>
              </w:rPr>
            </w:pPr>
            <w:r w:rsidRPr="00490C53">
              <w:t>Decrease of between 10% and 25%</w:t>
            </w:r>
          </w:p>
        </w:tc>
        <w:tc>
          <w:tcPr>
            <w:tcW w:w="1117" w:type="pct"/>
            <w:noWrap/>
            <w:vAlign w:val="center"/>
          </w:tcPr>
          <w:p w14:paraId="7784211B" w14:textId="77777777" w:rsidR="006171CE" w:rsidRPr="00490C53" w:rsidRDefault="006171CE">
            <w:pPr>
              <w:pStyle w:val="Tabletext"/>
              <w:jc w:val="right"/>
              <w:rPr>
                <w:lang w:eastAsia="en-GB"/>
              </w:rPr>
            </w:pPr>
            <w:r w:rsidRPr="00490C53">
              <w:rPr>
                <w:rFonts w:cs="Calibri"/>
                <w:szCs w:val="20"/>
              </w:rPr>
              <w:t>2.2%</w:t>
            </w:r>
          </w:p>
        </w:tc>
        <w:tc>
          <w:tcPr>
            <w:tcW w:w="1160" w:type="pct"/>
            <w:noWrap/>
            <w:vAlign w:val="center"/>
          </w:tcPr>
          <w:p w14:paraId="22F70EEF" w14:textId="77777777" w:rsidR="006171CE" w:rsidRPr="00490C53" w:rsidRDefault="006171CE">
            <w:pPr>
              <w:pStyle w:val="Tabletext"/>
              <w:jc w:val="right"/>
              <w:rPr>
                <w:lang w:eastAsia="en-GB"/>
              </w:rPr>
            </w:pPr>
            <w:r w:rsidRPr="00490C53">
              <w:rPr>
                <w:rFonts w:cs="Calibri"/>
                <w:szCs w:val="20"/>
              </w:rPr>
              <w:t>0.2%</w:t>
            </w:r>
          </w:p>
        </w:tc>
      </w:tr>
      <w:tr w:rsidR="006171CE" w:rsidRPr="00490C53" w14:paraId="60EA15B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B6F4454" w14:textId="77777777" w:rsidR="006171CE" w:rsidRPr="00490C53" w:rsidRDefault="006171CE">
            <w:pPr>
              <w:pStyle w:val="Tabletext"/>
              <w:rPr>
                <w:lang w:eastAsia="en-GB"/>
              </w:rPr>
            </w:pPr>
          </w:p>
        </w:tc>
        <w:tc>
          <w:tcPr>
            <w:tcW w:w="1746" w:type="pct"/>
            <w:noWrap/>
            <w:vAlign w:val="top"/>
          </w:tcPr>
          <w:p w14:paraId="769D549B" w14:textId="77777777" w:rsidR="006171CE" w:rsidRPr="00490C53" w:rsidRDefault="006171CE">
            <w:pPr>
              <w:pStyle w:val="Tabletext"/>
              <w:rPr>
                <w:lang w:eastAsia="en-GB"/>
              </w:rPr>
            </w:pPr>
            <w:r w:rsidRPr="00490C53">
              <w:t>Decrease of less than 10%</w:t>
            </w:r>
          </w:p>
        </w:tc>
        <w:tc>
          <w:tcPr>
            <w:tcW w:w="1117" w:type="pct"/>
            <w:noWrap/>
            <w:vAlign w:val="center"/>
          </w:tcPr>
          <w:p w14:paraId="0CC3B586" w14:textId="77777777" w:rsidR="006171CE" w:rsidRPr="00490C53" w:rsidRDefault="006171CE">
            <w:pPr>
              <w:pStyle w:val="Tabletext"/>
              <w:jc w:val="right"/>
              <w:rPr>
                <w:lang w:eastAsia="en-GB"/>
              </w:rPr>
            </w:pPr>
            <w:r w:rsidRPr="00490C53">
              <w:rPr>
                <w:rFonts w:cs="Calibri"/>
                <w:szCs w:val="20"/>
              </w:rPr>
              <w:t>3.5%</w:t>
            </w:r>
          </w:p>
        </w:tc>
        <w:tc>
          <w:tcPr>
            <w:tcW w:w="1160" w:type="pct"/>
            <w:noWrap/>
            <w:vAlign w:val="center"/>
          </w:tcPr>
          <w:p w14:paraId="4B1788DB" w14:textId="77777777" w:rsidR="006171CE" w:rsidRPr="00490C53" w:rsidRDefault="006171CE">
            <w:pPr>
              <w:pStyle w:val="Tabletext"/>
              <w:jc w:val="right"/>
              <w:rPr>
                <w:lang w:eastAsia="en-GB"/>
              </w:rPr>
            </w:pPr>
            <w:r w:rsidRPr="00490C53">
              <w:rPr>
                <w:rFonts w:cs="Calibri"/>
                <w:szCs w:val="20"/>
              </w:rPr>
              <w:t>0.0%</w:t>
            </w:r>
          </w:p>
        </w:tc>
      </w:tr>
      <w:tr w:rsidR="006171CE" w:rsidRPr="00490C53" w14:paraId="5604EC88" w14:textId="77777777">
        <w:tblPrEx>
          <w:tblCellMar>
            <w:left w:w="108" w:type="dxa"/>
            <w:right w:w="108" w:type="dxa"/>
          </w:tblCellMar>
        </w:tblPrEx>
        <w:trPr>
          <w:trHeight w:val="290"/>
        </w:trPr>
        <w:tc>
          <w:tcPr>
            <w:tcW w:w="977" w:type="pct"/>
            <w:noWrap/>
            <w:vAlign w:val="top"/>
          </w:tcPr>
          <w:p w14:paraId="0F501DB9" w14:textId="77777777" w:rsidR="006171CE" w:rsidRPr="00490C53" w:rsidRDefault="006171CE">
            <w:pPr>
              <w:pStyle w:val="Tabletext"/>
              <w:rPr>
                <w:lang w:eastAsia="en-GB"/>
              </w:rPr>
            </w:pPr>
          </w:p>
        </w:tc>
        <w:tc>
          <w:tcPr>
            <w:tcW w:w="1746" w:type="pct"/>
            <w:noWrap/>
            <w:vAlign w:val="top"/>
          </w:tcPr>
          <w:p w14:paraId="0F90E893" w14:textId="77777777" w:rsidR="006171CE" w:rsidRPr="00490C53" w:rsidRDefault="006171CE">
            <w:pPr>
              <w:pStyle w:val="Tabletext"/>
              <w:rPr>
                <w:lang w:eastAsia="en-GB"/>
              </w:rPr>
            </w:pPr>
            <w:r w:rsidRPr="00490C53">
              <w:t>Increase of less than 5%</w:t>
            </w:r>
          </w:p>
        </w:tc>
        <w:tc>
          <w:tcPr>
            <w:tcW w:w="1117" w:type="pct"/>
            <w:noWrap/>
            <w:vAlign w:val="center"/>
          </w:tcPr>
          <w:p w14:paraId="453702E1" w14:textId="77777777" w:rsidR="006171CE" w:rsidRPr="00490C53" w:rsidRDefault="006171CE">
            <w:pPr>
              <w:pStyle w:val="Tabletext"/>
              <w:jc w:val="right"/>
              <w:rPr>
                <w:lang w:eastAsia="en-GB"/>
              </w:rPr>
            </w:pPr>
            <w:r w:rsidRPr="00490C53">
              <w:rPr>
                <w:rFonts w:cs="Calibri"/>
                <w:szCs w:val="20"/>
              </w:rPr>
              <w:t>21.3%</w:t>
            </w:r>
          </w:p>
        </w:tc>
        <w:tc>
          <w:tcPr>
            <w:tcW w:w="1160" w:type="pct"/>
            <w:noWrap/>
            <w:vAlign w:val="center"/>
          </w:tcPr>
          <w:p w14:paraId="6A764368" w14:textId="77777777" w:rsidR="006171CE" w:rsidRPr="00490C53" w:rsidRDefault="006171CE">
            <w:pPr>
              <w:pStyle w:val="Tabletext"/>
              <w:jc w:val="right"/>
              <w:rPr>
                <w:lang w:eastAsia="en-GB"/>
              </w:rPr>
            </w:pPr>
            <w:r w:rsidRPr="00490C53">
              <w:rPr>
                <w:rFonts w:cs="Calibri"/>
                <w:szCs w:val="20"/>
              </w:rPr>
              <w:t>0.8%</w:t>
            </w:r>
          </w:p>
        </w:tc>
      </w:tr>
      <w:tr w:rsidR="006171CE" w:rsidRPr="00490C53" w14:paraId="7AD6D8E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15F311FF" w14:textId="77777777" w:rsidR="006171CE" w:rsidRPr="00490C53" w:rsidRDefault="006171CE">
            <w:pPr>
              <w:pStyle w:val="Tabletext"/>
              <w:rPr>
                <w:lang w:eastAsia="en-GB"/>
              </w:rPr>
            </w:pPr>
          </w:p>
        </w:tc>
        <w:tc>
          <w:tcPr>
            <w:tcW w:w="1746" w:type="pct"/>
            <w:noWrap/>
            <w:vAlign w:val="top"/>
          </w:tcPr>
          <w:p w14:paraId="29062F64" w14:textId="77777777" w:rsidR="006171CE" w:rsidRPr="00490C53" w:rsidRDefault="006171CE">
            <w:pPr>
              <w:pStyle w:val="Tabletext"/>
              <w:rPr>
                <w:lang w:eastAsia="en-GB"/>
              </w:rPr>
            </w:pPr>
            <w:r w:rsidRPr="00490C53">
              <w:t>Increase of between 5% and 25%</w:t>
            </w:r>
          </w:p>
        </w:tc>
        <w:tc>
          <w:tcPr>
            <w:tcW w:w="1117" w:type="pct"/>
            <w:noWrap/>
            <w:vAlign w:val="center"/>
          </w:tcPr>
          <w:p w14:paraId="6D54DB4E" w14:textId="77777777" w:rsidR="006171CE" w:rsidRPr="00490C53" w:rsidRDefault="006171CE">
            <w:pPr>
              <w:pStyle w:val="Tabletext"/>
              <w:jc w:val="right"/>
              <w:rPr>
                <w:lang w:eastAsia="en-GB"/>
              </w:rPr>
            </w:pPr>
            <w:r w:rsidRPr="00490C53">
              <w:rPr>
                <w:rFonts w:cs="Calibri"/>
                <w:szCs w:val="20"/>
              </w:rPr>
              <w:t>9.0%</w:t>
            </w:r>
          </w:p>
        </w:tc>
        <w:tc>
          <w:tcPr>
            <w:tcW w:w="1160" w:type="pct"/>
            <w:noWrap/>
            <w:vAlign w:val="center"/>
          </w:tcPr>
          <w:p w14:paraId="6B6E2037" w14:textId="77777777" w:rsidR="006171CE" w:rsidRPr="00490C53" w:rsidRDefault="006171CE">
            <w:pPr>
              <w:pStyle w:val="Tabletext"/>
              <w:jc w:val="right"/>
              <w:rPr>
                <w:lang w:eastAsia="en-GB"/>
              </w:rPr>
            </w:pPr>
            <w:r w:rsidRPr="00490C53">
              <w:rPr>
                <w:rFonts w:cs="Calibri"/>
                <w:szCs w:val="20"/>
              </w:rPr>
              <w:t>1.3%</w:t>
            </w:r>
          </w:p>
        </w:tc>
      </w:tr>
      <w:tr w:rsidR="006171CE" w:rsidRPr="00490C53" w14:paraId="125B06B7" w14:textId="77777777">
        <w:tblPrEx>
          <w:tblCellMar>
            <w:left w:w="108" w:type="dxa"/>
            <w:right w:w="108" w:type="dxa"/>
          </w:tblCellMar>
        </w:tblPrEx>
        <w:trPr>
          <w:trHeight w:val="290"/>
        </w:trPr>
        <w:tc>
          <w:tcPr>
            <w:tcW w:w="977" w:type="pct"/>
            <w:noWrap/>
            <w:vAlign w:val="top"/>
          </w:tcPr>
          <w:p w14:paraId="1F4D4BE0" w14:textId="77777777" w:rsidR="006171CE" w:rsidRPr="00490C53" w:rsidRDefault="006171CE">
            <w:pPr>
              <w:pStyle w:val="Tabletext"/>
              <w:rPr>
                <w:lang w:eastAsia="en-GB"/>
              </w:rPr>
            </w:pPr>
          </w:p>
        </w:tc>
        <w:tc>
          <w:tcPr>
            <w:tcW w:w="1746" w:type="pct"/>
            <w:noWrap/>
            <w:vAlign w:val="top"/>
          </w:tcPr>
          <w:p w14:paraId="73649E5F" w14:textId="77777777" w:rsidR="006171CE" w:rsidRPr="00490C53" w:rsidRDefault="006171CE">
            <w:pPr>
              <w:pStyle w:val="Tabletext"/>
              <w:rPr>
                <w:lang w:eastAsia="en-GB"/>
              </w:rPr>
            </w:pPr>
            <w:r w:rsidRPr="00490C53">
              <w:t>Increase of between 25% and 50%</w:t>
            </w:r>
          </w:p>
        </w:tc>
        <w:tc>
          <w:tcPr>
            <w:tcW w:w="1117" w:type="pct"/>
            <w:noWrap/>
            <w:vAlign w:val="center"/>
          </w:tcPr>
          <w:p w14:paraId="761CA615" w14:textId="77777777" w:rsidR="006171CE" w:rsidRPr="00490C53" w:rsidRDefault="006171CE">
            <w:pPr>
              <w:pStyle w:val="Tabletext"/>
              <w:jc w:val="right"/>
              <w:rPr>
                <w:lang w:eastAsia="en-GB"/>
              </w:rPr>
            </w:pPr>
            <w:r w:rsidRPr="00490C53">
              <w:rPr>
                <w:rFonts w:cs="Calibri"/>
                <w:szCs w:val="20"/>
              </w:rPr>
              <w:t>4.6%</w:t>
            </w:r>
          </w:p>
        </w:tc>
        <w:tc>
          <w:tcPr>
            <w:tcW w:w="1160" w:type="pct"/>
            <w:noWrap/>
            <w:vAlign w:val="center"/>
          </w:tcPr>
          <w:p w14:paraId="441C7255" w14:textId="77777777" w:rsidR="006171CE" w:rsidRPr="00490C53" w:rsidRDefault="006171CE">
            <w:pPr>
              <w:pStyle w:val="Tabletext"/>
              <w:jc w:val="right"/>
              <w:rPr>
                <w:lang w:eastAsia="en-GB"/>
              </w:rPr>
            </w:pPr>
            <w:r w:rsidRPr="00490C53">
              <w:rPr>
                <w:rFonts w:cs="Calibri"/>
                <w:szCs w:val="20"/>
              </w:rPr>
              <w:t>0.1%</w:t>
            </w:r>
          </w:p>
        </w:tc>
      </w:tr>
      <w:tr w:rsidR="006171CE" w:rsidRPr="00490C53" w14:paraId="0527A7D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91D5A2B" w14:textId="77777777" w:rsidR="006171CE" w:rsidRPr="00490C53" w:rsidRDefault="006171CE">
            <w:pPr>
              <w:pStyle w:val="Tabletext"/>
              <w:rPr>
                <w:lang w:eastAsia="en-GB"/>
              </w:rPr>
            </w:pPr>
          </w:p>
        </w:tc>
        <w:tc>
          <w:tcPr>
            <w:tcW w:w="1746" w:type="pct"/>
            <w:noWrap/>
            <w:vAlign w:val="top"/>
          </w:tcPr>
          <w:p w14:paraId="06190C99" w14:textId="77777777" w:rsidR="006171CE" w:rsidRPr="00490C53" w:rsidRDefault="006171CE">
            <w:pPr>
              <w:pStyle w:val="Tabletext"/>
              <w:rPr>
                <w:lang w:eastAsia="en-GB"/>
              </w:rPr>
            </w:pPr>
            <w:r w:rsidRPr="00490C53">
              <w:t>Increase of more than 50%</w:t>
            </w:r>
          </w:p>
        </w:tc>
        <w:tc>
          <w:tcPr>
            <w:tcW w:w="1117" w:type="pct"/>
            <w:noWrap/>
            <w:vAlign w:val="center"/>
          </w:tcPr>
          <w:p w14:paraId="0A050F6B" w14:textId="77777777" w:rsidR="006171CE" w:rsidRPr="00490C53" w:rsidRDefault="006171CE">
            <w:pPr>
              <w:pStyle w:val="Tabletext"/>
              <w:jc w:val="right"/>
              <w:rPr>
                <w:lang w:eastAsia="en-GB"/>
              </w:rPr>
            </w:pPr>
            <w:r w:rsidRPr="00490C53">
              <w:rPr>
                <w:rFonts w:cs="Calibri"/>
                <w:szCs w:val="20"/>
              </w:rPr>
              <w:t>4.9%</w:t>
            </w:r>
          </w:p>
        </w:tc>
        <w:tc>
          <w:tcPr>
            <w:tcW w:w="1160" w:type="pct"/>
            <w:noWrap/>
            <w:vAlign w:val="center"/>
          </w:tcPr>
          <w:p w14:paraId="7F2D3A6F" w14:textId="77777777" w:rsidR="006171CE" w:rsidRPr="00490C53" w:rsidRDefault="006171CE">
            <w:pPr>
              <w:pStyle w:val="Tabletext"/>
              <w:jc w:val="right"/>
              <w:rPr>
                <w:lang w:eastAsia="en-GB"/>
              </w:rPr>
            </w:pPr>
            <w:r w:rsidRPr="00490C53">
              <w:rPr>
                <w:rFonts w:cs="Calibri"/>
                <w:szCs w:val="20"/>
              </w:rPr>
              <w:t>0.1%</w:t>
            </w:r>
          </w:p>
        </w:tc>
      </w:tr>
      <w:tr w:rsidR="006171CE" w:rsidRPr="00490C53" w14:paraId="0832BD8A" w14:textId="77777777">
        <w:tblPrEx>
          <w:tblCellMar>
            <w:left w:w="108" w:type="dxa"/>
            <w:right w:w="108" w:type="dxa"/>
          </w:tblCellMar>
        </w:tblPrEx>
        <w:trPr>
          <w:trHeight w:val="290"/>
        </w:trPr>
        <w:tc>
          <w:tcPr>
            <w:tcW w:w="977" w:type="pct"/>
            <w:noWrap/>
            <w:vAlign w:val="top"/>
          </w:tcPr>
          <w:p w14:paraId="5D5FA6B8" w14:textId="77777777" w:rsidR="006171CE" w:rsidRPr="00490C53" w:rsidRDefault="006171CE">
            <w:pPr>
              <w:pStyle w:val="Tabletext"/>
              <w:rPr>
                <w:lang w:eastAsia="en-GB"/>
              </w:rPr>
            </w:pPr>
            <w:r w:rsidRPr="00490C53">
              <w:rPr>
                <w:b/>
                <w:bCs/>
              </w:rPr>
              <w:t>Turnover growth 2018/2019</w:t>
            </w:r>
          </w:p>
        </w:tc>
        <w:tc>
          <w:tcPr>
            <w:tcW w:w="1746" w:type="pct"/>
            <w:noWrap/>
            <w:vAlign w:val="top"/>
          </w:tcPr>
          <w:p w14:paraId="398BCE17" w14:textId="77777777" w:rsidR="006171CE" w:rsidRPr="00490C53" w:rsidRDefault="006171CE">
            <w:pPr>
              <w:pStyle w:val="Tabletext"/>
              <w:rPr>
                <w:lang w:eastAsia="en-GB"/>
              </w:rPr>
            </w:pPr>
            <w:r w:rsidRPr="00490C53">
              <w:t>Decrease of more than 50%</w:t>
            </w:r>
          </w:p>
        </w:tc>
        <w:tc>
          <w:tcPr>
            <w:tcW w:w="1117" w:type="pct"/>
            <w:noWrap/>
            <w:vAlign w:val="center"/>
          </w:tcPr>
          <w:p w14:paraId="436E1BC0" w14:textId="77777777" w:rsidR="006171CE" w:rsidRPr="00490C53" w:rsidRDefault="006171CE">
            <w:pPr>
              <w:pStyle w:val="Tabletext"/>
              <w:jc w:val="right"/>
              <w:rPr>
                <w:lang w:eastAsia="en-GB"/>
              </w:rPr>
            </w:pPr>
            <w:r w:rsidRPr="00490C53">
              <w:rPr>
                <w:rFonts w:cs="Calibri"/>
                <w:szCs w:val="20"/>
              </w:rPr>
              <w:t>1.0%</w:t>
            </w:r>
          </w:p>
        </w:tc>
        <w:tc>
          <w:tcPr>
            <w:tcW w:w="1160" w:type="pct"/>
            <w:noWrap/>
            <w:vAlign w:val="center"/>
          </w:tcPr>
          <w:p w14:paraId="722B74F5" w14:textId="77777777" w:rsidR="006171CE" w:rsidRPr="00490C53" w:rsidRDefault="006171CE">
            <w:pPr>
              <w:pStyle w:val="Tabletext"/>
              <w:jc w:val="right"/>
              <w:rPr>
                <w:lang w:eastAsia="en-GB"/>
              </w:rPr>
            </w:pPr>
            <w:r w:rsidRPr="00490C53">
              <w:rPr>
                <w:rFonts w:cs="Calibri"/>
                <w:szCs w:val="20"/>
              </w:rPr>
              <w:t>0.0%</w:t>
            </w:r>
          </w:p>
        </w:tc>
      </w:tr>
      <w:tr w:rsidR="006171CE" w:rsidRPr="00490C53" w14:paraId="48E3297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1D9E0537" w14:textId="77777777" w:rsidR="006171CE" w:rsidRPr="00490C53" w:rsidRDefault="006171CE">
            <w:pPr>
              <w:pStyle w:val="Tabletext"/>
              <w:rPr>
                <w:lang w:eastAsia="en-GB"/>
              </w:rPr>
            </w:pPr>
          </w:p>
        </w:tc>
        <w:tc>
          <w:tcPr>
            <w:tcW w:w="1746" w:type="pct"/>
            <w:noWrap/>
            <w:vAlign w:val="top"/>
          </w:tcPr>
          <w:p w14:paraId="523ADDA8" w14:textId="77777777" w:rsidR="006171CE" w:rsidRPr="00490C53" w:rsidRDefault="006171CE">
            <w:pPr>
              <w:pStyle w:val="Tabletext"/>
              <w:rPr>
                <w:lang w:eastAsia="en-GB"/>
              </w:rPr>
            </w:pPr>
            <w:r w:rsidRPr="00490C53">
              <w:t>Decrease of between 25% and 50%</w:t>
            </w:r>
          </w:p>
        </w:tc>
        <w:tc>
          <w:tcPr>
            <w:tcW w:w="1117" w:type="pct"/>
            <w:noWrap/>
            <w:vAlign w:val="center"/>
          </w:tcPr>
          <w:p w14:paraId="3756453B" w14:textId="77777777" w:rsidR="006171CE" w:rsidRPr="00490C53" w:rsidRDefault="006171CE">
            <w:pPr>
              <w:pStyle w:val="Tabletext"/>
              <w:jc w:val="right"/>
              <w:rPr>
                <w:lang w:eastAsia="en-GB"/>
              </w:rPr>
            </w:pPr>
            <w:r w:rsidRPr="00490C53">
              <w:rPr>
                <w:rFonts w:cs="Calibri"/>
                <w:szCs w:val="20"/>
              </w:rPr>
              <w:t>1.0%</w:t>
            </w:r>
          </w:p>
        </w:tc>
        <w:tc>
          <w:tcPr>
            <w:tcW w:w="1160" w:type="pct"/>
            <w:noWrap/>
            <w:vAlign w:val="center"/>
          </w:tcPr>
          <w:p w14:paraId="03AAC20D" w14:textId="77777777" w:rsidR="006171CE" w:rsidRPr="00490C53" w:rsidRDefault="006171CE">
            <w:pPr>
              <w:pStyle w:val="Tabletext"/>
              <w:jc w:val="right"/>
              <w:rPr>
                <w:lang w:eastAsia="en-GB"/>
              </w:rPr>
            </w:pPr>
            <w:r w:rsidRPr="00490C53">
              <w:rPr>
                <w:rFonts w:cs="Calibri"/>
                <w:szCs w:val="20"/>
              </w:rPr>
              <w:t>0.3%</w:t>
            </w:r>
          </w:p>
        </w:tc>
      </w:tr>
      <w:tr w:rsidR="006171CE" w:rsidRPr="00490C53" w14:paraId="0A78A09F" w14:textId="77777777">
        <w:tblPrEx>
          <w:tblCellMar>
            <w:left w:w="108" w:type="dxa"/>
            <w:right w:w="108" w:type="dxa"/>
          </w:tblCellMar>
        </w:tblPrEx>
        <w:trPr>
          <w:trHeight w:val="290"/>
        </w:trPr>
        <w:tc>
          <w:tcPr>
            <w:tcW w:w="977" w:type="pct"/>
            <w:noWrap/>
            <w:vAlign w:val="top"/>
          </w:tcPr>
          <w:p w14:paraId="4DBB862A" w14:textId="77777777" w:rsidR="006171CE" w:rsidRPr="00490C53" w:rsidRDefault="006171CE">
            <w:pPr>
              <w:pStyle w:val="Tabletext"/>
              <w:rPr>
                <w:lang w:eastAsia="en-GB"/>
              </w:rPr>
            </w:pPr>
          </w:p>
        </w:tc>
        <w:tc>
          <w:tcPr>
            <w:tcW w:w="1746" w:type="pct"/>
            <w:noWrap/>
            <w:vAlign w:val="top"/>
          </w:tcPr>
          <w:p w14:paraId="2E16C65C" w14:textId="77777777" w:rsidR="006171CE" w:rsidRPr="00490C53" w:rsidRDefault="006171CE">
            <w:pPr>
              <w:pStyle w:val="Tabletext"/>
              <w:rPr>
                <w:lang w:eastAsia="en-GB"/>
              </w:rPr>
            </w:pPr>
            <w:r w:rsidRPr="00490C53">
              <w:t>Decrease of between 10% and 25%</w:t>
            </w:r>
          </w:p>
        </w:tc>
        <w:tc>
          <w:tcPr>
            <w:tcW w:w="1117" w:type="pct"/>
            <w:noWrap/>
            <w:vAlign w:val="center"/>
          </w:tcPr>
          <w:p w14:paraId="3AC48DBD" w14:textId="77777777" w:rsidR="006171CE" w:rsidRPr="00490C53" w:rsidRDefault="006171CE">
            <w:pPr>
              <w:pStyle w:val="Tabletext"/>
              <w:jc w:val="right"/>
              <w:rPr>
                <w:lang w:eastAsia="en-GB"/>
              </w:rPr>
            </w:pPr>
            <w:r w:rsidRPr="00490C53">
              <w:rPr>
                <w:rFonts w:cs="Calibri"/>
                <w:szCs w:val="20"/>
              </w:rPr>
              <w:t>3.5%</w:t>
            </w:r>
          </w:p>
        </w:tc>
        <w:tc>
          <w:tcPr>
            <w:tcW w:w="1160" w:type="pct"/>
            <w:noWrap/>
            <w:vAlign w:val="center"/>
          </w:tcPr>
          <w:p w14:paraId="217E6F18" w14:textId="77777777" w:rsidR="006171CE" w:rsidRPr="00490C53" w:rsidRDefault="006171CE">
            <w:pPr>
              <w:pStyle w:val="Tabletext"/>
              <w:jc w:val="right"/>
              <w:rPr>
                <w:lang w:eastAsia="en-GB"/>
              </w:rPr>
            </w:pPr>
            <w:r w:rsidRPr="00490C53">
              <w:rPr>
                <w:rFonts w:cs="Calibri"/>
                <w:szCs w:val="20"/>
              </w:rPr>
              <w:t>0.1%</w:t>
            </w:r>
          </w:p>
        </w:tc>
      </w:tr>
      <w:tr w:rsidR="006171CE" w:rsidRPr="00490C53" w14:paraId="6983058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0B6B061" w14:textId="77777777" w:rsidR="006171CE" w:rsidRPr="00490C53" w:rsidRDefault="006171CE">
            <w:pPr>
              <w:pStyle w:val="Tabletext"/>
              <w:rPr>
                <w:lang w:eastAsia="en-GB"/>
              </w:rPr>
            </w:pPr>
          </w:p>
        </w:tc>
        <w:tc>
          <w:tcPr>
            <w:tcW w:w="1746" w:type="pct"/>
            <w:noWrap/>
            <w:vAlign w:val="top"/>
          </w:tcPr>
          <w:p w14:paraId="0B99510F" w14:textId="77777777" w:rsidR="006171CE" w:rsidRPr="00490C53" w:rsidRDefault="006171CE">
            <w:pPr>
              <w:pStyle w:val="Tabletext"/>
              <w:rPr>
                <w:lang w:eastAsia="en-GB"/>
              </w:rPr>
            </w:pPr>
            <w:r w:rsidRPr="00490C53">
              <w:t>Decrease of less than 10%</w:t>
            </w:r>
          </w:p>
        </w:tc>
        <w:tc>
          <w:tcPr>
            <w:tcW w:w="1117" w:type="pct"/>
            <w:noWrap/>
            <w:vAlign w:val="center"/>
          </w:tcPr>
          <w:p w14:paraId="13C75B6F" w14:textId="77777777" w:rsidR="006171CE" w:rsidRPr="00490C53" w:rsidRDefault="006171CE">
            <w:pPr>
              <w:pStyle w:val="Tabletext"/>
              <w:jc w:val="right"/>
              <w:rPr>
                <w:lang w:eastAsia="en-GB"/>
              </w:rPr>
            </w:pPr>
            <w:r w:rsidRPr="00490C53">
              <w:rPr>
                <w:rFonts w:cs="Calibri"/>
                <w:szCs w:val="20"/>
              </w:rPr>
              <w:t>5.4%</w:t>
            </w:r>
          </w:p>
        </w:tc>
        <w:tc>
          <w:tcPr>
            <w:tcW w:w="1160" w:type="pct"/>
            <w:noWrap/>
            <w:vAlign w:val="center"/>
          </w:tcPr>
          <w:p w14:paraId="620B6087" w14:textId="77777777" w:rsidR="006171CE" w:rsidRPr="00490C53" w:rsidRDefault="006171CE">
            <w:pPr>
              <w:pStyle w:val="Tabletext"/>
              <w:jc w:val="right"/>
              <w:rPr>
                <w:lang w:eastAsia="en-GB"/>
              </w:rPr>
            </w:pPr>
            <w:r w:rsidRPr="00490C53">
              <w:rPr>
                <w:rFonts w:cs="Calibri"/>
                <w:szCs w:val="20"/>
              </w:rPr>
              <w:t>0.1%</w:t>
            </w:r>
          </w:p>
        </w:tc>
      </w:tr>
      <w:tr w:rsidR="006171CE" w:rsidRPr="00490C53" w14:paraId="53B8A789" w14:textId="77777777">
        <w:tblPrEx>
          <w:tblCellMar>
            <w:left w:w="108" w:type="dxa"/>
            <w:right w:w="108" w:type="dxa"/>
          </w:tblCellMar>
        </w:tblPrEx>
        <w:trPr>
          <w:trHeight w:val="290"/>
        </w:trPr>
        <w:tc>
          <w:tcPr>
            <w:tcW w:w="977" w:type="pct"/>
            <w:noWrap/>
            <w:vAlign w:val="top"/>
          </w:tcPr>
          <w:p w14:paraId="62777710" w14:textId="77777777" w:rsidR="006171CE" w:rsidRPr="00490C53" w:rsidRDefault="006171CE">
            <w:pPr>
              <w:pStyle w:val="Tabletext"/>
              <w:rPr>
                <w:lang w:eastAsia="en-GB"/>
              </w:rPr>
            </w:pPr>
          </w:p>
        </w:tc>
        <w:tc>
          <w:tcPr>
            <w:tcW w:w="1746" w:type="pct"/>
            <w:noWrap/>
            <w:vAlign w:val="top"/>
          </w:tcPr>
          <w:p w14:paraId="1C1F800D" w14:textId="77777777" w:rsidR="006171CE" w:rsidRPr="00490C53" w:rsidRDefault="006171CE">
            <w:pPr>
              <w:pStyle w:val="Tabletext"/>
              <w:rPr>
                <w:lang w:eastAsia="en-GB"/>
              </w:rPr>
            </w:pPr>
            <w:r w:rsidRPr="00490C53">
              <w:t>Increase of less than 5%</w:t>
            </w:r>
          </w:p>
        </w:tc>
        <w:tc>
          <w:tcPr>
            <w:tcW w:w="1117" w:type="pct"/>
            <w:noWrap/>
            <w:vAlign w:val="center"/>
          </w:tcPr>
          <w:p w14:paraId="7F802106" w14:textId="77777777" w:rsidR="006171CE" w:rsidRPr="00490C53" w:rsidRDefault="006171CE">
            <w:pPr>
              <w:pStyle w:val="Tabletext"/>
              <w:jc w:val="right"/>
              <w:rPr>
                <w:lang w:eastAsia="en-GB"/>
              </w:rPr>
            </w:pPr>
            <w:r w:rsidRPr="00490C53">
              <w:rPr>
                <w:rFonts w:cs="Calibri"/>
                <w:szCs w:val="20"/>
              </w:rPr>
              <w:t>28.6%</w:t>
            </w:r>
          </w:p>
        </w:tc>
        <w:tc>
          <w:tcPr>
            <w:tcW w:w="1160" w:type="pct"/>
            <w:noWrap/>
            <w:vAlign w:val="center"/>
          </w:tcPr>
          <w:p w14:paraId="717FED1F" w14:textId="77777777" w:rsidR="006171CE" w:rsidRPr="00490C53" w:rsidRDefault="006171CE">
            <w:pPr>
              <w:pStyle w:val="Tabletext"/>
              <w:jc w:val="right"/>
              <w:rPr>
                <w:lang w:eastAsia="en-GB"/>
              </w:rPr>
            </w:pPr>
            <w:r w:rsidRPr="00490C53">
              <w:rPr>
                <w:rFonts w:cs="Calibri"/>
                <w:szCs w:val="20"/>
              </w:rPr>
              <w:t>0.3%</w:t>
            </w:r>
          </w:p>
        </w:tc>
      </w:tr>
      <w:tr w:rsidR="006171CE" w:rsidRPr="00490C53" w14:paraId="338A8B2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E00148C" w14:textId="77777777" w:rsidR="006171CE" w:rsidRPr="00490C53" w:rsidRDefault="006171CE">
            <w:pPr>
              <w:pStyle w:val="Tabletext"/>
              <w:rPr>
                <w:lang w:eastAsia="en-GB"/>
              </w:rPr>
            </w:pPr>
          </w:p>
        </w:tc>
        <w:tc>
          <w:tcPr>
            <w:tcW w:w="1746" w:type="pct"/>
            <w:noWrap/>
            <w:vAlign w:val="top"/>
          </w:tcPr>
          <w:p w14:paraId="142140A3" w14:textId="77777777" w:rsidR="006171CE" w:rsidRPr="00490C53" w:rsidRDefault="006171CE">
            <w:pPr>
              <w:pStyle w:val="Tabletext"/>
              <w:rPr>
                <w:lang w:eastAsia="en-GB"/>
              </w:rPr>
            </w:pPr>
            <w:r w:rsidRPr="00490C53">
              <w:t>Increase of between 5% and 25%</w:t>
            </w:r>
          </w:p>
        </w:tc>
        <w:tc>
          <w:tcPr>
            <w:tcW w:w="1117" w:type="pct"/>
            <w:noWrap/>
            <w:vAlign w:val="center"/>
          </w:tcPr>
          <w:p w14:paraId="5AB977C4" w14:textId="77777777" w:rsidR="006171CE" w:rsidRPr="00490C53" w:rsidRDefault="006171CE">
            <w:pPr>
              <w:pStyle w:val="Tabletext"/>
              <w:jc w:val="right"/>
              <w:rPr>
                <w:lang w:eastAsia="en-GB"/>
              </w:rPr>
            </w:pPr>
            <w:r w:rsidRPr="00490C53">
              <w:rPr>
                <w:rFonts w:cs="Calibri"/>
                <w:szCs w:val="20"/>
              </w:rPr>
              <w:t>7.8%</w:t>
            </w:r>
          </w:p>
        </w:tc>
        <w:tc>
          <w:tcPr>
            <w:tcW w:w="1160" w:type="pct"/>
            <w:noWrap/>
            <w:vAlign w:val="center"/>
          </w:tcPr>
          <w:p w14:paraId="18349025" w14:textId="77777777" w:rsidR="006171CE" w:rsidRPr="00490C53" w:rsidRDefault="006171CE">
            <w:pPr>
              <w:pStyle w:val="Tabletext"/>
              <w:jc w:val="right"/>
              <w:rPr>
                <w:lang w:eastAsia="en-GB"/>
              </w:rPr>
            </w:pPr>
            <w:r w:rsidRPr="00490C53">
              <w:rPr>
                <w:rFonts w:cs="Calibri"/>
                <w:szCs w:val="20"/>
              </w:rPr>
              <w:t>0.3%</w:t>
            </w:r>
          </w:p>
        </w:tc>
      </w:tr>
      <w:tr w:rsidR="006171CE" w:rsidRPr="00490C53" w14:paraId="0057C73F" w14:textId="77777777">
        <w:tblPrEx>
          <w:tblCellMar>
            <w:left w:w="108" w:type="dxa"/>
            <w:right w:w="108" w:type="dxa"/>
          </w:tblCellMar>
        </w:tblPrEx>
        <w:trPr>
          <w:trHeight w:val="290"/>
        </w:trPr>
        <w:tc>
          <w:tcPr>
            <w:tcW w:w="977" w:type="pct"/>
            <w:noWrap/>
            <w:vAlign w:val="top"/>
          </w:tcPr>
          <w:p w14:paraId="6509E582" w14:textId="77777777" w:rsidR="006171CE" w:rsidRPr="00490C53" w:rsidRDefault="006171CE">
            <w:pPr>
              <w:pStyle w:val="Tabletext"/>
              <w:rPr>
                <w:lang w:eastAsia="en-GB"/>
              </w:rPr>
            </w:pPr>
          </w:p>
        </w:tc>
        <w:tc>
          <w:tcPr>
            <w:tcW w:w="1746" w:type="pct"/>
            <w:noWrap/>
            <w:vAlign w:val="top"/>
          </w:tcPr>
          <w:p w14:paraId="47B693DA" w14:textId="77777777" w:rsidR="006171CE" w:rsidRPr="00490C53" w:rsidRDefault="006171CE">
            <w:pPr>
              <w:pStyle w:val="Tabletext"/>
              <w:rPr>
                <w:lang w:eastAsia="en-GB"/>
              </w:rPr>
            </w:pPr>
            <w:r w:rsidRPr="00490C53">
              <w:t>Increase of between 25% and 50%</w:t>
            </w:r>
          </w:p>
        </w:tc>
        <w:tc>
          <w:tcPr>
            <w:tcW w:w="1117" w:type="pct"/>
            <w:noWrap/>
            <w:vAlign w:val="center"/>
          </w:tcPr>
          <w:p w14:paraId="4252F40D" w14:textId="77777777" w:rsidR="006171CE" w:rsidRPr="00490C53" w:rsidRDefault="006171CE">
            <w:pPr>
              <w:pStyle w:val="Tabletext"/>
              <w:jc w:val="right"/>
              <w:rPr>
                <w:lang w:eastAsia="en-GB"/>
              </w:rPr>
            </w:pPr>
            <w:r w:rsidRPr="00490C53">
              <w:rPr>
                <w:rFonts w:cs="Calibri"/>
                <w:szCs w:val="20"/>
              </w:rPr>
              <w:t>5.0%</w:t>
            </w:r>
          </w:p>
        </w:tc>
        <w:tc>
          <w:tcPr>
            <w:tcW w:w="1160" w:type="pct"/>
            <w:noWrap/>
            <w:vAlign w:val="center"/>
          </w:tcPr>
          <w:p w14:paraId="0369791C" w14:textId="77777777" w:rsidR="006171CE" w:rsidRPr="00490C53" w:rsidRDefault="006171CE">
            <w:pPr>
              <w:pStyle w:val="Tabletext"/>
              <w:jc w:val="right"/>
              <w:rPr>
                <w:lang w:eastAsia="en-GB"/>
              </w:rPr>
            </w:pPr>
            <w:r w:rsidRPr="00490C53">
              <w:rPr>
                <w:rFonts w:cs="Calibri"/>
                <w:szCs w:val="20"/>
              </w:rPr>
              <w:t>0.2%</w:t>
            </w:r>
          </w:p>
        </w:tc>
      </w:tr>
      <w:tr w:rsidR="006171CE" w:rsidRPr="00490C53" w14:paraId="6B7102E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2836579" w14:textId="77777777" w:rsidR="006171CE" w:rsidRPr="00490C53" w:rsidRDefault="006171CE">
            <w:pPr>
              <w:pStyle w:val="Tabletext"/>
              <w:rPr>
                <w:lang w:eastAsia="en-GB"/>
              </w:rPr>
            </w:pPr>
          </w:p>
        </w:tc>
        <w:tc>
          <w:tcPr>
            <w:tcW w:w="1746" w:type="pct"/>
            <w:noWrap/>
            <w:vAlign w:val="top"/>
          </w:tcPr>
          <w:p w14:paraId="45D8A588" w14:textId="77777777" w:rsidR="006171CE" w:rsidRPr="00490C53" w:rsidRDefault="006171CE">
            <w:pPr>
              <w:pStyle w:val="Tabletext"/>
              <w:rPr>
                <w:lang w:eastAsia="en-GB"/>
              </w:rPr>
            </w:pPr>
            <w:r w:rsidRPr="00490C53">
              <w:t>Increase of more than 50%</w:t>
            </w:r>
          </w:p>
        </w:tc>
        <w:tc>
          <w:tcPr>
            <w:tcW w:w="1117" w:type="pct"/>
            <w:noWrap/>
            <w:vAlign w:val="center"/>
          </w:tcPr>
          <w:p w14:paraId="23531AB7" w14:textId="77777777" w:rsidR="006171CE" w:rsidRPr="00490C53" w:rsidRDefault="006171CE">
            <w:pPr>
              <w:pStyle w:val="Tabletext"/>
              <w:jc w:val="right"/>
              <w:rPr>
                <w:lang w:eastAsia="en-GB"/>
              </w:rPr>
            </w:pPr>
            <w:r w:rsidRPr="00490C53">
              <w:rPr>
                <w:rFonts w:cs="Calibri"/>
                <w:szCs w:val="20"/>
              </w:rPr>
              <w:t>6.9%</w:t>
            </w:r>
          </w:p>
        </w:tc>
        <w:tc>
          <w:tcPr>
            <w:tcW w:w="1160" w:type="pct"/>
            <w:noWrap/>
            <w:vAlign w:val="center"/>
          </w:tcPr>
          <w:p w14:paraId="46349CD2" w14:textId="77777777" w:rsidR="006171CE" w:rsidRPr="00490C53" w:rsidRDefault="006171CE">
            <w:pPr>
              <w:pStyle w:val="Tabletext"/>
              <w:jc w:val="right"/>
              <w:rPr>
                <w:lang w:eastAsia="en-GB"/>
              </w:rPr>
            </w:pPr>
            <w:r w:rsidRPr="00490C53">
              <w:rPr>
                <w:rFonts w:cs="Calibri"/>
                <w:szCs w:val="20"/>
              </w:rPr>
              <w:t>0.5%</w:t>
            </w:r>
          </w:p>
        </w:tc>
      </w:tr>
      <w:tr w:rsidR="006171CE" w:rsidRPr="00490C53" w14:paraId="0B348FB8" w14:textId="77777777">
        <w:tblPrEx>
          <w:tblCellMar>
            <w:left w:w="108" w:type="dxa"/>
            <w:right w:w="108" w:type="dxa"/>
          </w:tblCellMar>
        </w:tblPrEx>
        <w:trPr>
          <w:trHeight w:val="290"/>
        </w:trPr>
        <w:tc>
          <w:tcPr>
            <w:tcW w:w="977" w:type="pct"/>
            <w:noWrap/>
            <w:vAlign w:val="top"/>
          </w:tcPr>
          <w:p w14:paraId="698A0162" w14:textId="77777777" w:rsidR="006171CE" w:rsidRPr="00490C53" w:rsidRDefault="006171CE">
            <w:pPr>
              <w:pStyle w:val="Tabletext"/>
              <w:rPr>
                <w:lang w:eastAsia="en-GB"/>
              </w:rPr>
            </w:pPr>
            <w:r w:rsidRPr="00490C53">
              <w:rPr>
                <w:b/>
                <w:bCs/>
              </w:rPr>
              <w:t>Employment growth 2017/2018</w:t>
            </w:r>
          </w:p>
        </w:tc>
        <w:tc>
          <w:tcPr>
            <w:tcW w:w="1746" w:type="pct"/>
            <w:noWrap/>
            <w:vAlign w:val="top"/>
          </w:tcPr>
          <w:p w14:paraId="6E63EAEF" w14:textId="77777777" w:rsidR="006171CE" w:rsidRPr="00490C53" w:rsidRDefault="006171CE">
            <w:pPr>
              <w:pStyle w:val="Tabletext"/>
              <w:rPr>
                <w:lang w:eastAsia="en-GB"/>
              </w:rPr>
            </w:pPr>
            <w:r w:rsidRPr="00490C53">
              <w:t>Decrease of more than 50%</w:t>
            </w:r>
          </w:p>
        </w:tc>
        <w:tc>
          <w:tcPr>
            <w:tcW w:w="1117" w:type="pct"/>
            <w:noWrap/>
            <w:vAlign w:val="center"/>
          </w:tcPr>
          <w:p w14:paraId="0A38C6F7" w14:textId="77777777" w:rsidR="006171CE" w:rsidRPr="00490C53" w:rsidRDefault="006171CE">
            <w:pPr>
              <w:pStyle w:val="Tabletext"/>
              <w:jc w:val="right"/>
              <w:rPr>
                <w:lang w:eastAsia="en-GB"/>
              </w:rPr>
            </w:pPr>
            <w:r w:rsidRPr="00490C53">
              <w:rPr>
                <w:rFonts w:cs="Calibri"/>
                <w:szCs w:val="20"/>
              </w:rPr>
              <w:t>0.8%</w:t>
            </w:r>
          </w:p>
        </w:tc>
        <w:tc>
          <w:tcPr>
            <w:tcW w:w="1160" w:type="pct"/>
            <w:noWrap/>
            <w:vAlign w:val="center"/>
          </w:tcPr>
          <w:p w14:paraId="3F35BA30" w14:textId="77777777" w:rsidR="006171CE" w:rsidRPr="00490C53" w:rsidRDefault="006171CE">
            <w:pPr>
              <w:pStyle w:val="Tabletext"/>
              <w:jc w:val="right"/>
              <w:rPr>
                <w:lang w:eastAsia="en-GB"/>
              </w:rPr>
            </w:pPr>
            <w:r w:rsidRPr="00490C53">
              <w:rPr>
                <w:rFonts w:cs="Calibri"/>
                <w:szCs w:val="20"/>
              </w:rPr>
              <w:t>0.2%</w:t>
            </w:r>
          </w:p>
        </w:tc>
      </w:tr>
      <w:tr w:rsidR="006171CE" w:rsidRPr="00490C53" w14:paraId="1D8665A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A7A35DF" w14:textId="77777777" w:rsidR="006171CE" w:rsidRPr="00490C53" w:rsidRDefault="006171CE">
            <w:pPr>
              <w:pStyle w:val="Tabletext"/>
              <w:rPr>
                <w:lang w:eastAsia="en-GB"/>
              </w:rPr>
            </w:pPr>
          </w:p>
        </w:tc>
        <w:tc>
          <w:tcPr>
            <w:tcW w:w="1746" w:type="pct"/>
            <w:noWrap/>
            <w:vAlign w:val="top"/>
          </w:tcPr>
          <w:p w14:paraId="3D719669" w14:textId="77777777" w:rsidR="006171CE" w:rsidRPr="00490C53" w:rsidRDefault="006171CE">
            <w:pPr>
              <w:pStyle w:val="Tabletext"/>
              <w:rPr>
                <w:lang w:eastAsia="en-GB"/>
              </w:rPr>
            </w:pPr>
            <w:r w:rsidRPr="00490C53">
              <w:t>Decrease of less than 50%</w:t>
            </w:r>
          </w:p>
        </w:tc>
        <w:tc>
          <w:tcPr>
            <w:tcW w:w="1117" w:type="pct"/>
            <w:noWrap/>
            <w:vAlign w:val="center"/>
          </w:tcPr>
          <w:p w14:paraId="49A41149" w14:textId="77777777" w:rsidR="006171CE" w:rsidRPr="00490C53" w:rsidRDefault="006171CE">
            <w:pPr>
              <w:pStyle w:val="Tabletext"/>
              <w:jc w:val="right"/>
              <w:rPr>
                <w:lang w:eastAsia="en-GB"/>
              </w:rPr>
            </w:pPr>
            <w:r w:rsidRPr="00490C53">
              <w:rPr>
                <w:rFonts w:cs="Calibri"/>
                <w:szCs w:val="20"/>
              </w:rPr>
              <w:t>3.3%</w:t>
            </w:r>
          </w:p>
        </w:tc>
        <w:tc>
          <w:tcPr>
            <w:tcW w:w="1160" w:type="pct"/>
            <w:noWrap/>
            <w:vAlign w:val="center"/>
          </w:tcPr>
          <w:p w14:paraId="363800E0" w14:textId="77777777" w:rsidR="006171CE" w:rsidRPr="00490C53" w:rsidRDefault="006171CE">
            <w:pPr>
              <w:pStyle w:val="Tabletext"/>
              <w:jc w:val="right"/>
              <w:rPr>
                <w:lang w:eastAsia="en-GB"/>
              </w:rPr>
            </w:pPr>
            <w:r w:rsidRPr="00490C53">
              <w:rPr>
                <w:rFonts w:cs="Calibri"/>
                <w:szCs w:val="20"/>
              </w:rPr>
              <w:t>1.2%</w:t>
            </w:r>
          </w:p>
        </w:tc>
      </w:tr>
      <w:tr w:rsidR="006171CE" w:rsidRPr="00490C53" w14:paraId="526203A9" w14:textId="77777777">
        <w:tblPrEx>
          <w:tblCellMar>
            <w:left w:w="108" w:type="dxa"/>
            <w:right w:w="108" w:type="dxa"/>
          </w:tblCellMar>
        </w:tblPrEx>
        <w:trPr>
          <w:trHeight w:val="290"/>
        </w:trPr>
        <w:tc>
          <w:tcPr>
            <w:tcW w:w="977" w:type="pct"/>
            <w:noWrap/>
            <w:vAlign w:val="top"/>
          </w:tcPr>
          <w:p w14:paraId="47F73839" w14:textId="77777777" w:rsidR="006171CE" w:rsidRPr="00490C53" w:rsidRDefault="006171CE">
            <w:pPr>
              <w:pStyle w:val="Tabletext"/>
              <w:rPr>
                <w:lang w:eastAsia="en-GB"/>
              </w:rPr>
            </w:pPr>
          </w:p>
        </w:tc>
        <w:tc>
          <w:tcPr>
            <w:tcW w:w="1746" w:type="pct"/>
            <w:noWrap/>
            <w:vAlign w:val="top"/>
          </w:tcPr>
          <w:p w14:paraId="7234BA25" w14:textId="77777777" w:rsidR="006171CE" w:rsidRPr="00490C53" w:rsidRDefault="006171CE">
            <w:pPr>
              <w:pStyle w:val="Tabletext"/>
              <w:rPr>
                <w:lang w:eastAsia="en-GB"/>
              </w:rPr>
            </w:pPr>
            <w:r w:rsidRPr="00490C53">
              <w:t>No change</w:t>
            </w:r>
          </w:p>
        </w:tc>
        <w:tc>
          <w:tcPr>
            <w:tcW w:w="1117" w:type="pct"/>
            <w:noWrap/>
            <w:vAlign w:val="center"/>
          </w:tcPr>
          <w:p w14:paraId="6BD61CAB" w14:textId="77777777" w:rsidR="006171CE" w:rsidRPr="00490C53" w:rsidRDefault="006171CE">
            <w:pPr>
              <w:pStyle w:val="Tabletext"/>
              <w:jc w:val="right"/>
              <w:rPr>
                <w:lang w:eastAsia="en-GB"/>
              </w:rPr>
            </w:pPr>
            <w:r w:rsidRPr="00490C53">
              <w:rPr>
                <w:rFonts w:cs="Calibri"/>
                <w:szCs w:val="20"/>
              </w:rPr>
              <w:t>17.4%</w:t>
            </w:r>
          </w:p>
        </w:tc>
        <w:tc>
          <w:tcPr>
            <w:tcW w:w="1160" w:type="pct"/>
            <w:noWrap/>
            <w:vAlign w:val="center"/>
          </w:tcPr>
          <w:p w14:paraId="1016B673" w14:textId="77777777" w:rsidR="006171CE" w:rsidRPr="00490C53" w:rsidRDefault="006171CE">
            <w:pPr>
              <w:pStyle w:val="Tabletext"/>
              <w:jc w:val="right"/>
              <w:rPr>
                <w:lang w:eastAsia="en-GB"/>
              </w:rPr>
            </w:pPr>
            <w:r w:rsidRPr="00490C53">
              <w:rPr>
                <w:rFonts w:cs="Calibri"/>
                <w:szCs w:val="20"/>
              </w:rPr>
              <w:t>2.1%</w:t>
            </w:r>
          </w:p>
        </w:tc>
      </w:tr>
      <w:tr w:rsidR="006171CE" w:rsidRPr="00490C53" w14:paraId="73EA822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153358D7" w14:textId="77777777" w:rsidR="006171CE" w:rsidRPr="00490C53" w:rsidRDefault="006171CE">
            <w:pPr>
              <w:pStyle w:val="Tabletext"/>
              <w:rPr>
                <w:lang w:eastAsia="en-GB"/>
              </w:rPr>
            </w:pPr>
          </w:p>
        </w:tc>
        <w:tc>
          <w:tcPr>
            <w:tcW w:w="1746" w:type="pct"/>
            <w:noWrap/>
            <w:vAlign w:val="top"/>
          </w:tcPr>
          <w:p w14:paraId="6DE3FFE7" w14:textId="77777777" w:rsidR="006171CE" w:rsidRPr="00490C53" w:rsidRDefault="006171CE">
            <w:pPr>
              <w:pStyle w:val="Tabletext"/>
              <w:rPr>
                <w:lang w:eastAsia="en-GB"/>
              </w:rPr>
            </w:pPr>
            <w:r w:rsidRPr="00490C53">
              <w:t>Increase of less than 50%</w:t>
            </w:r>
          </w:p>
        </w:tc>
        <w:tc>
          <w:tcPr>
            <w:tcW w:w="1117" w:type="pct"/>
            <w:noWrap/>
            <w:vAlign w:val="center"/>
          </w:tcPr>
          <w:p w14:paraId="5EDD2BEA" w14:textId="77777777" w:rsidR="006171CE" w:rsidRPr="00490C53" w:rsidRDefault="006171CE">
            <w:pPr>
              <w:pStyle w:val="Tabletext"/>
              <w:jc w:val="right"/>
              <w:rPr>
                <w:lang w:eastAsia="en-GB"/>
              </w:rPr>
            </w:pPr>
            <w:r w:rsidRPr="00490C53">
              <w:rPr>
                <w:rFonts w:cs="Calibri"/>
                <w:szCs w:val="20"/>
              </w:rPr>
              <w:t>10.8%</w:t>
            </w:r>
          </w:p>
        </w:tc>
        <w:tc>
          <w:tcPr>
            <w:tcW w:w="1160" w:type="pct"/>
            <w:noWrap/>
            <w:vAlign w:val="center"/>
          </w:tcPr>
          <w:p w14:paraId="65EA9888" w14:textId="77777777" w:rsidR="006171CE" w:rsidRPr="00490C53" w:rsidRDefault="006171CE">
            <w:pPr>
              <w:pStyle w:val="Tabletext"/>
              <w:jc w:val="right"/>
              <w:rPr>
                <w:lang w:eastAsia="en-GB"/>
              </w:rPr>
            </w:pPr>
            <w:r w:rsidRPr="00490C53">
              <w:rPr>
                <w:rFonts w:cs="Calibri"/>
                <w:szCs w:val="20"/>
              </w:rPr>
              <w:t>0.0%</w:t>
            </w:r>
          </w:p>
        </w:tc>
      </w:tr>
      <w:tr w:rsidR="006171CE" w:rsidRPr="00490C53" w14:paraId="78A73CE9" w14:textId="77777777">
        <w:tblPrEx>
          <w:tblCellMar>
            <w:left w:w="108" w:type="dxa"/>
            <w:right w:w="108" w:type="dxa"/>
          </w:tblCellMar>
        </w:tblPrEx>
        <w:trPr>
          <w:trHeight w:val="290"/>
        </w:trPr>
        <w:tc>
          <w:tcPr>
            <w:tcW w:w="977" w:type="pct"/>
            <w:noWrap/>
            <w:vAlign w:val="top"/>
          </w:tcPr>
          <w:p w14:paraId="06900FD4" w14:textId="77777777" w:rsidR="006171CE" w:rsidRPr="00490C53" w:rsidRDefault="006171CE">
            <w:pPr>
              <w:pStyle w:val="Tabletext"/>
              <w:rPr>
                <w:lang w:eastAsia="en-GB"/>
              </w:rPr>
            </w:pPr>
          </w:p>
        </w:tc>
        <w:tc>
          <w:tcPr>
            <w:tcW w:w="1746" w:type="pct"/>
            <w:noWrap/>
            <w:vAlign w:val="top"/>
          </w:tcPr>
          <w:p w14:paraId="5FBBDCA7" w14:textId="77777777" w:rsidR="006171CE" w:rsidRPr="00490C53" w:rsidRDefault="006171CE">
            <w:pPr>
              <w:pStyle w:val="Tabletext"/>
              <w:rPr>
                <w:lang w:eastAsia="en-GB"/>
              </w:rPr>
            </w:pPr>
            <w:r w:rsidRPr="00490C53">
              <w:t>Increase of more than 50%</w:t>
            </w:r>
          </w:p>
        </w:tc>
        <w:tc>
          <w:tcPr>
            <w:tcW w:w="1117" w:type="pct"/>
            <w:noWrap/>
            <w:vAlign w:val="center"/>
          </w:tcPr>
          <w:p w14:paraId="450CEC0D" w14:textId="77777777" w:rsidR="006171CE" w:rsidRPr="00490C53" w:rsidRDefault="006171CE">
            <w:pPr>
              <w:pStyle w:val="Tabletext"/>
              <w:jc w:val="right"/>
              <w:rPr>
                <w:lang w:eastAsia="en-GB"/>
              </w:rPr>
            </w:pPr>
            <w:r w:rsidRPr="00490C53">
              <w:rPr>
                <w:rFonts w:cs="Calibri"/>
                <w:szCs w:val="20"/>
              </w:rPr>
              <w:t>4.2%</w:t>
            </w:r>
          </w:p>
        </w:tc>
        <w:tc>
          <w:tcPr>
            <w:tcW w:w="1160" w:type="pct"/>
            <w:noWrap/>
            <w:vAlign w:val="center"/>
          </w:tcPr>
          <w:p w14:paraId="1BC89274" w14:textId="77777777" w:rsidR="006171CE" w:rsidRPr="00490C53" w:rsidRDefault="006171CE">
            <w:pPr>
              <w:pStyle w:val="Tabletext"/>
              <w:jc w:val="right"/>
              <w:rPr>
                <w:lang w:eastAsia="en-GB"/>
              </w:rPr>
            </w:pPr>
            <w:r w:rsidRPr="00490C53">
              <w:rPr>
                <w:rFonts w:cs="Calibri"/>
                <w:szCs w:val="20"/>
              </w:rPr>
              <w:t>0.8%</w:t>
            </w:r>
          </w:p>
        </w:tc>
      </w:tr>
      <w:tr w:rsidR="006171CE" w:rsidRPr="00490C53" w14:paraId="7E2CC2E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2D8AF81" w14:textId="77777777" w:rsidR="006171CE" w:rsidRPr="00490C53" w:rsidRDefault="006171CE">
            <w:pPr>
              <w:pStyle w:val="Tabletext"/>
              <w:rPr>
                <w:lang w:eastAsia="en-GB"/>
              </w:rPr>
            </w:pPr>
            <w:r w:rsidRPr="00490C53">
              <w:rPr>
                <w:b/>
                <w:bCs/>
              </w:rPr>
              <w:t>Employment growth 2018/2019</w:t>
            </w:r>
          </w:p>
        </w:tc>
        <w:tc>
          <w:tcPr>
            <w:tcW w:w="1746" w:type="pct"/>
            <w:noWrap/>
            <w:vAlign w:val="top"/>
          </w:tcPr>
          <w:p w14:paraId="0DD1C142" w14:textId="77777777" w:rsidR="006171CE" w:rsidRPr="00490C53" w:rsidRDefault="006171CE">
            <w:pPr>
              <w:pStyle w:val="Tabletext"/>
              <w:rPr>
                <w:lang w:eastAsia="en-GB"/>
              </w:rPr>
            </w:pPr>
            <w:r w:rsidRPr="00490C53">
              <w:t>Decrease of more than 50%</w:t>
            </w:r>
          </w:p>
        </w:tc>
        <w:tc>
          <w:tcPr>
            <w:tcW w:w="1117" w:type="pct"/>
            <w:noWrap/>
            <w:vAlign w:val="center"/>
          </w:tcPr>
          <w:p w14:paraId="42EFA8D7" w14:textId="77777777" w:rsidR="006171CE" w:rsidRPr="00490C53" w:rsidRDefault="006171CE">
            <w:pPr>
              <w:pStyle w:val="Tabletext"/>
              <w:jc w:val="right"/>
              <w:rPr>
                <w:lang w:eastAsia="en-GB"/>
              </w:rPr>
            </w:pPr>
            <w:r w:rsidRPr="00490C53">
              <w:rPr>
                <w:rFonts w:cs="Calibri"/>
                <w:szCs w:val="20"/>
              </w:rPr>
              <w:t>0.6%</w:t>
            </w:r>
          </w:p>
        </w:tc>
        <w:tc>
          <w:tcPr>
            <w:tcW w:w="1160" w:type="pct"/>
            <w:noWrap/>
            <w:vAlign w:val="center"/>
          </w:tcPr>
          <w:p w14:paraId="7F2D0BDB" w14:textId="77777777" w:rsidR="006171CE" w:rsidRPr="00490C53" w:rsidRDefault="006171CE">
            <w:pPr>
              <w:pStyle w:val="Tabletext"/>
              <w:jc w:val="right"/>
              <w:rPr>
                <w:lang w:eastAsia="en-GB"/>
              </w:rPr>
            </w:pPr>
            <w:r w:rsidRPr="00490C53">
              <w:rPr>
                <w:rFonts w:cs="Calibri"/>
                <w:szCs w:val="20"/>
              </w:rPr>
              <w:t>0.1%</w:t>
            </w:r>
          </w:p>
        </w:tc>
      </w:tr>
      <w:tr w:rsidR="006171CE" w:rsidRPr="00490C53" w14:paraId="3C5A12DB" w14:textId="77777777">
        <w:tblPrEx>
          <w:tblCellMar>
            <w:left w:w="108" w:type="dxa"/>
            <w:right w:w="108" w:type="dxa"/>
          </w:tblCellMar>
        </w:tblPrEx>
        <w:trPr>
          <w:trHeight w:val="290"/>
        </w:trPr>
        <w:tc>
          <w:tcPr>
            <w:tcW w:w="977" w:type="pct"/>
            <w:noWrap/>
            <w:vAlign w:val="top"/>
          </w:tcPr>
          <w:p w14:paraId="163DD297" w14:textId="77777777" w:rsidR="006171CE" w:rsidRPr="00490C53" w:rsidRDefault="006171CE">
            <w:pPr>
              <w:pStyle w:val="Tabletext"/>
              <w:rPr>
                <w:lang w:eastAsia="en-GB"/>
              </w:rPr>
            </w:pPr>
          </w:p>
        </w:tc>
        <w:tc>
          <w:tcPr>
            <w:tcW w:w="1746" w:type="pct"/>
            <w:noWrap/>
            <w:vAlign w:val="top"/>
          </w:tcPr>
          <w:p w14:paraId="5CC4A705" w14:textId="77777777" w:rsidR="006171CE" w:rsidRPr="00490C53" w:rsidRDefault="006171CE">
            <w:pPr>
              <w:pStyle w:val="Tabletext"/>
              <w:rPr>
                <w:lang w:eastAsia="en-GB"/>
              </w:rPr>
            </w:pPr>
            <w:r w:rsidRPr="00490C53">
              <w:t>Decrease of less than 50%</w:t>
            </w:r>
          </w:p>
        </w:tc>
        <w:tc>
          <w:tcPr>
            <w:tcW w:w="1117" w:type="pct"/>
            <w:noWrap/>
            <w:vAlign w:val="center"/>
          </w:tcPr>
          <w:p w14:paraId="7F48658C" w14:textId="77777777" w:rsidR="006171CE" w:rsidRPr="00490C53" w:rsidRDefault="006171CE">
            <w:pPr>
              <w:pStyle w:val="Tabletext"/>
              <w:jc w:val="right"/>
              <w:rPr>
                <w:lang w:eastAsia="en-GB"/>
              </w:rPr>
            </w:pPr>
            <w:r w:rsidRPr="00490C53">
              <w:rPr>
                <w:rFonts w:cs="Calibri"/>
                <w:szCs w:val="20"/>
              </w:rPr>
              <w:t>5.0%</w:t>
            </w:r>
          </w:p>
        </w:tc>
        <w:tc>
          <w:tcPr>
            <w:tcW w:w="1160" w:type="pct"/>
            <w:noWrap/>
            <w:vAlign w:val="center"/>
          </w:tcPr>
          <w:p w14:paraId="176C99EF" w14:textId="77777777" w:rsidR="006171CE" w:rsidRPr="00490C53" w:rsidRDefault="006171CE">
            <w:pPr>
              <w:pStyle w:val="Tabletext"/>
              <w:jc w:val="right"/>
              <w:rPr>
                <w:lang w:eastAsia="en-GB"/>
              </w:rPr>
            </w:pPr>
            <w:r w:rsidRPr="00490C53">
              <w:rPr>
                <w:rFonts w:cs="Calibri"/>
                <w:szCs w:val="20"/>
              </w:rPr>
              <w:t>0.8%</w:t>
            </w:r>
          </w:p>
        </w:tc>
      </w:tr>
      <w:tr w:rsidR="006171CE" w:rsidRPr="00490C53" w14:paraId="5455735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6923BC4" w14:textId="77777777" w:rsidR="006171CE" w:rsidRPr="00490C53" w:rsidRDefault="006171CE">
            <w:pPr>
              <w:pStyle w:val="Tabletext"/>
              <w:rPr>
                <w:lang w:eastAsia="en-GB"/>
              </w:rPr>
            </w:pPr>
          </w:p>
        </w:tc>
        <w:tc>
          <w:tcPr>
            <w:tcW w:w="1746" w:type="pct"/>
            <w:noWrap/>
            <w:vAlign w:val="top"/>
          </w:tcPr>
          <w:p w14:paraId="130BB0BD" w14:textId="77777777" w:rsidR="006171CE" w:rsidRPr="00490C53" w:rsidRDefault="006171CE">
            <w:pPr>
              <w:pStyle w:val="Tabletext"/>
              <w:rPr>
                <w:lang w:eastAsia="en-GB"/>
              </w:rPr>
            </w:pPr>
            <w:r w:rsidRPr="00490C53">
              <w:t>No change</w:t>
            </w:r>
          </w:p>
        </w:tc>
        <w:tc>
          <w:tcPr>
            <w:tcW w:w="1117" w:type="pct"/>
            <w:noWrap/>
            <w:vAlign w:val="center"/>
          </w:tcPr>
          <w:p w14:paraId="4287F0AB" w14:textId="77777777" w:rsidR="006171CE" w:rsidRPr="00490C53" w:rsidRDefault="006171CE">
            <w:pPr>
              <w:pStyle w:val="Tabletext"/>
              <w:jc w:val="right"/>
              <w:rPr>
                <w:lang w:eastAsia="en-GB"/>
              </w:rPr>
            </w:pPr>
            <w:r w:rsidRPr="00490C53">
              <w:rPr>
                <w:rFonts w:cs="Calibri"/>
                <w:szCs w:val="20"/>
              </w:rPr>
              <w:t>20.3%</w:t>
            </w:r>
          </w:p>
        </w:tc>
        <w:tc>
          <w:tcPr>
            <w:tcW w:w="1160" w:type="pct"/>
            <w:noWrap/>
            <w:vAlign w:val="center"/>
          </w:tcPr>
          <w:p w14:paraId="742897D3" w14:textId="77777777" w:rsidR="006171CE" w:rsidRPr="00490C53" w:rsidRDefault="006171CE">
            <w:pPr>
              <w:pStyle w:val="Tabletext"/>
              <w:jc w:val="right"/>
              <w:rPr>
                <w:lang w:eastAsia="en-GB"/>
              </w:rPr>
            </w:pPr>
            <w:r w:rsidRPr="00490C53">
              <w:rPr>
                <w:rFonts w:cs="Calibri"/>
                <w:szCs w:val="20"/>
              </w:rPr>
              <w:t>1.6%</w:t>
            </w:r>
          </w:p>
        </w:tc>
      </w:tr>
      <w:tr w:rsidR="006171CE" w:rsidRPr="00490C53" w14:paraId="65A0AFAB" w14:textId="77777777">
        <w:tblPrEx>
          <w:tblCellMar>
            <w:left w:w="108" w:type="dxa"/>
            <w:right w:w="108" w:type="dxa"/>
          </w:tblCellMar>
        </w:tblPrEx>
        <w:trPr>
          <w:trHeight w:val="290"/>
        </w:trPr>
        <w:tc>
          <w:tcPr>
            <w:tcW w:w="977" w:type="pct"/>
            <w:noWrap/>
            <w:vAlign w:val="top"/>
          </w:tcPr>
          <w:p w14:paraId="6D36837B" w14:textId="77777777" w:rsidR="006171CE" w:rsidRPr="00490C53" w:rsidRDefault="006171CE">
            <w:pPr>
              <w:pStyle w:val="Tabletext"/>
              <w:rPr>
                <w:lang w:eastAsia="en-GB"/>
              </w:rPr>
            </w:pPr>
          </w:p>
        </w:tc>
        <w:tc>
          <w:tcPr>
            <w:tcW w:w="1746" w:type="pct"/>
            <w:noWrap/>
            <w:vAlign w:val="top"/>
          </w:tcPr>
          <w:p w14:paraId="5F5EEC55" w14:textId="77777777" w:rsidR="006171CE" w:rsidRPr="00490C53" w:rsidRDefault="006171CE">
            <w:pPr>
              <w:pStyle w:val="Tabletext"/>
              <w:rPr>
                <w:lang w:eastAsia="en-GB"/>
              </w:rPr>
            </w:pPr>
            <w:r w:rsidRPr="00490C53">
              <w:t>Increase of less than 50%</w:t>
            </w:r>
          </w:p>
        </w:tc>
        <w:tc>
          <w:tcPr>
            <w:tcW w:w="1117" w:type="pct"/>
            <w:noWrap/>
            <w:vAlign w:val="center"/>
          </w:tcPr>
          <w:p w14:paraId="579D7363" w14:textId="77777777" w:rsidR="006171CE" w:rsidRPr="00490C53" w:rsidRDefault="006171CE">
            <w:pPr>
              <w:pStyle w:val="Tabletext"/>
              <w:jc w:val="right"/>
              <w:rPr>
                <w:lang w:eastAsia="en-GB"/>
              </w:rPr>
            </w:pPr>
            <w:r w:rsidRPr="00490C53">
              <w:rPr>
                <w:rFonts w:cs="Calibri"/>
                <w:szCs w:val="20"/>
              </w:rPr>
              <w:t>11.2%</w:t>
            </w:r>
          </w:p>
        </w:tc>
        <w:tc>
          <w:tcPr>
            <w:tcW w:w="1160" w:type="pct"/>
            <w:noWrap/>
            <w:vAlign w:val="center"/>
          </w:tcPr>
          <w:p w14:paraId="4E607621" w14:textId="77777777" w:rsidR="006171CE" w:rsidRPr="00490C53" w:rsidRDefault="006171CE">
            <w:pPr>
              <w:pStyle w:val="Tabletext"/>
              <w:jc w:val="right"/>
              <w:rPr>
                <w:lang w:eastAsia="en-GB"/>
              </w:rPr>
            </w:pPr>
            <w:r w:rsidRPr="00490C53">
              <w:rPr>
                <w:rFonts w:cs="Calibri"/>
                <w:szCs w:val="20"/>
              </w:rPr>
              <w:t>0.7%</w:t>
            </w:r>
          </w:p>
        </w:tc>
      </w:tr>
      <w:tr w:rsidR="006171CE" w:rsidRPr="00490C53" w14:paraId="411140F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0803199" w14:textId="77777777" w:rsidR="006171CE" w:rsidRPr="00490C53" w:rsidRDefault="006171CE">
            <w:pPr>
              <w:pStyle w:val="Tabletext"/>
              <w:rPr>
                <w:lang w:eastAsia="en-GB"/>
              </w:rPr>
            </w:pPr>
          </w:p>
        </w:tc>
        <w:tc>
          <w:tcPr>
            <w:tcW w:w="1746" w:type="pct"/>
            <w:noWrap/>
            <w:vAlign w:val="top"/>
          </w:tcPr>
          <w:p w14:paraId="30FBABCD" w14:textId="77777777" w:rsidR="006171CE" w:rsidRPr="00490C53" w:rsidRDefault="006171CE">
            <w:pPr>
              <w:pStyle w:val="Tabletext"/>
              <w:rPr>
                <w:lang w:eastAsia="en-GB"/>
              </w:rPr>
            </w:pPr>
            <w:r w:rsidRPr="00490C53">
              <w:t>Increase of more than 50%</w:t>
            </w:r>
          </w:p>
        </w:tc>
        <w:tc>
          <w:tcPr>
            <w:tcW w:w="1117" w:type="pct"/>
            <w:noWrap/>
            <w:vAlign w:val="center"/>
          </w:tcPr>
          <w:p w14:paraId="41FA9C8F" w14:textId="77777777" w:rsidR="006171CE" w:rsidRPr="00490C53" w:rsidRDefault="006171CE">
            <w:pPr>
              <w:pStyle w:val="Tabletext"/>
              <w:jc w:val="right"/>
              <w:rPr>
                <w:lang w:eastAsia="en-GB"/>
              </w:rPr>
            </w:pPr>
            <w:r w:rsidRPr="00490C53">
              <w:rPr>
                <w:rFonts w:cs="Calibri"/>
                <w:szCs w:val="20"/>
              </w:rPr>
              <w:t>4.7%</w:t>
            </w:r>
          </w:p>
        </w:tc>
        <w:tc>
          <w:tcPr>
            <w:tcW w:w="1160" w:type="pct"/>
            <w:noWrap/>
            <w:vAlign w:val="center"/>
          </w:tcPr>
          <w:p w14:paraId="4654DF8F" w14:textId="77777777" w:rsidR="006171CE" w:rsidRPr="00490C53" w:rsidRDefault="006171CE">
            <w:pPr>
              <w:pStyle w:val="Tabletext"/>
              <w:jc w:val="right"/>
              <w:rPr>
                <w:lang w:eastAsia="en-GB"/>
              </w:rPr>
            </w:pPr>
            <w:r w:rsidRPr="00490C53">
              <w:rPr>
                <w:rFonts w:cs="Calibri"/>
                <w:szCs w:val="20"/>
              </w:rPr>
              <w:t>0.0%</w:t>
            </w:r>
          </w:p>
        </w:tc>
      </w:tr>
      <w:tr w:rsidR="006171CE" w:rsidRPr="00490C53" w14:paraId="604258C5" w14:textId="77777777">
        <w:tblPrEx>
          <w:tblCellMar>
            <w:left w:w="108" w:type="dxa"/>
            <w:right w:w="108" w:type="dxa"/>
          </w:tblCellMar>
        </w:tblPrEx>
        <w:trPr>
          <w:trHeight w:val="290"/>
        </w:trPr>
        <w:tc>
          <w:tcPr>
            <w:tcW w:w="977" w:type="pct"/>
            <w:noWrap/>
            <w:vAlign w:val="top"/>
          </w:tcPr>
          <w:p w14:paraId="4DF669FF" w14:textId="77777777" w:rsidR="006171CE" w:rsidRPr="00490C53" w:rsidRDefault="006171CE">
            <w:pPr>
              <w:pStyle w:val="Tabletext"/>
              <w:rPr>
                <w:lang w:eastAsia="en-GB"/>
              </w:rPr>
            </w:pPr>
            <w:r w:rsidRPr="00490C53">
              <w:rPr>
                <w:b/>
                <w:bCs/>
              </w:rPr>
              <w:t>Age</w:t>
            </w:r>
          </w:p>
        </w:tc>
        <w:tc>
          <w:tcPr>
            <w:tcW w:w="1746" w:type="pct"/>
            <w:noWrap/>
            <w:vAlign w:val="top"/>
          </w:tcPr>
          <w:p w14:paraId="014D37CD" w14:textId="77777777" w:rsidR="006171CE" w:rsidRPr="00490C53" w:rsidRDefault="006171CE">
            <w:pPr>
              <w:pStyle w:val="Tabletext"/>
              <w:rPr>
                <w:lang w:eastAsia="en-GB"/>
              </w:rPr>
            </w:pPr>
            <w:r w:rsidRPr="00490C53">
              <w:t>2 Years or less</w:t>
            </w:r>
          </w:p>
        </w:tc>
        <w:tc>
          <w:tcPr>
            <w:tcW w:w="1117" w:type="pct"/>
            <w:noWrap/>
            <w:vAlign w:val="center"/>
          </w:tcPr>
          <w:p w14:paraId="0A6276FD" w14:textId="77777777" w:rsidR="006171CE" w:rsidRPr="00490C53" w:rsidRDefault="006171CE">
            <w:pPr>
              <w:pStyle w:val="Tabletext"/>
              <w:jc w:val="right"/>
              <w:rPr>
                <w:lang w:eastAsia="en-GB"/>
              </w:rPr>
            </w:pPr>
            <w:r w:rsidRPr="00490C53">
              <w:rPr>
                <w:rFonts w:cs="Calibri"/>
                <w:szCs w:val="20"/>
              </w:rPr>
              <w:t>3.7%</w:t>
            </w:r>
          </w:p>
        </w:tc>
        <w:tc>
          <w:tcPr>
            <w:tcW w:w="1160" w:type="pct"/>
            <w:noWrap/>
            <w:vAlign w:val="center"/>
          </w:tcPr>
          <w:p w14:paraId="7E7B6E45" w14:textId="77777777" w:rsidR="006171CE" w:rsidRPr="00490C53" w:rsidRDefault="006171CE">
            <w:pPr>
              <w:pStyle w:val="Tabletext"/>
              <w:jc w:val="right"/>
              <w:rPr>
                <w:lang w:eastAsia="en-GB"/>
              </w:rPr>
            </w:pPr>
            <w:r w:rsidRPr="00490C53">
              <w:rPr>
                <w:rFonts w:cs="Calibri"/>
                <w:szCs w:val="20"/>
              </w:rPr>
              <w:t>0.3%</w:t>
            </w:r>
          </w:p>
        </w:tc>
      </w:tr>
      <w:tr w:rsidR="006171CE" w:rsidRPr="00490C53" w14:paraId="05343EB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C545DFF" w14:textId="77777777" w:rsidR="006171CE" w:rsidRPr="00490C53" w:rsidRDefault="006171CE">
            <w:pPr>
              <w:pStyle w:val="Tabletext"/>
              <w:rPr>
                <w:lang w:eastAsia="en-GB"/>
              </w:rPr>
            </w:pPr>
          </w:p>
        </w:tc>
        <w:tc>
          <w:tcPr>
            <w:tcW w:w="1746" w:type="pct"/>
            <w:noWrap/>
            <w:vAlign w:val="top"/>
          </w:tcPr>
          <w:p w14:paraId="7BA6F712" w14:textId="77777777" w:rsidR="006171CE" w:rsidRPr="00490C53" w:rsidRDefault="006171CE">
            <w:pPr>
              <w:pStyle w:val="Tabletext"/>
              <w:rPr>
                <w:lang w:eastAsia="en-GB"/>
              </w:rPr>
            </w:pPr>
            <w:r w:rsidRPr="00490C53">
              <w:t>3-5 Years</w:t>
            </w:r>
          </w:p>
        </w:tc>
        <w:tc>
          <w:tcPr>
            <w:tcW w:w="1117" w:type="pct"/>
            <w:noWrap/>
            <w:vAlign w:val="center"/>
          </w:tcPr>
          <w:p w14:paraId="4F615C0F" w14:textId="77777777" w:rsidR="006171CE" w:rsidRPr="00490C53" w:rsidRDefault="006171CE">
            <w:pPr>
              <w:pStyle w:val="Tabletext"/>
              <w:jc w:val="right"/>
              <w:rPr>
                <w:lang w:eastAsia="en-GB"/>
              </w:rPr>
            </w:pPr>
            <w:r w:rsidRPr="00490C53">
              <w:rPr>
                <w:rFonts w:cs="Calibri"/>
                <w:szCs w:val="20"/>
              </w:rPr>
              <w:t>8.0%</w:t>
            </w:r>
          </w:p>
        </w:tc>
        <w:tc>
          <w:tcPr>
            <w:tcW w:w="1160" w:type="pct"/>
            <w:noWrap/>
            <w:vAlign w:val="center"/>
          </w:tcPr>
          <w:p w14:paraId="6515824A" w14:textId="77777777" w:rsidR="006171CE" w:rsidRPr="00490C53" w:rsidRDefault="006171CE">
            <w:pPr>
              <w:pStyle w:val="Tabletext"/>
              <w:jc w:val="right"/>
              <w:rPr>
                <w:lang w:eastAsia="en-GB"/>
              </w:rPr>
            </w:pPr>
            <w:r w:rsidRPr="00490C53">
              <w:rPr>
                <w:rFonts w:cs="Calibri"/>
                <w:szCs w:val="20"/>
              </w:rPr>
              <w:t>0.7%</w:t>
            </w:r>
          </w:p>
        </w:tc>
      </w:tr>
      <w:tr w:rsidR="006171CE" w:rsidRPr="00490C53" w14:paraId="0370062B" w14:textId="77777777">
        <w:tblPrEx>
          <w:tblCellMar>
            <w:left w:w="108" w:type="dxa"/>
            <w:right w:w="108" w:type="dxa"/>
          </w:tblCellMar>
        </w:tblPrEx>
        <w:trPr>
          <w:trHeight w:val="290"/>
        </w:trPr>
        <w:tc>
          <w:tcPr>
            <w:tcW w:w="977" w:type="pct"/>
            <w:noWrap/>
            <w:vAlign w:val="top"/>
          </w:tcPr>
          <w:p w14:paraId="40574A59" w14:textId="77777777" w:rsidR="006171CE" w:rsidRPr="00490C53" w:rsidRDefault="006171CE">
            <w:pPr>
              <w:pStyle w:val="Tabletext"/>
              <w:rPr>
                <w:lang w:eastAsia="en-GB"/>
              </w:rPr>
            </w:pPr>
          </w:p>
        </w:tc>
        <w:tc>
          <w:tcPr>
            <w:tcW w:w="1746" w:type="pct"/>
            <w:noWrap/>
            <w:vAlign w:val="top"/>
          </w:tcPr>
          <w:p w14:paraId="6FCC1DEF" w14:textId="77777777" w:rsidR="006171CE" w:rsidRPr="00490C53" w:rsidRDefault="006171CE">
            <w:pPr>
              <w:pStyle w:val="Tabletext"/>
              <w:rPr>
                <w:lang w:eastAsia="en-GB"/>
              </w:rPr>
            </w:pPr>
            <w:r w:rsidRPr="00490C53">
              <w:t>6-10 Years</w:t>
            </w:r>
          </w:p>
        </w:tc>
        <w:tc>
          <w:tcPr>
            <w:tcW w:w="1117" w:type="pct"/>
            <w:noWrap/>
            <w:vAlign w:val="center"/>
          </w:tcPr>
          <w:p w14:paraId="04A53F5B" w14:textId="77777777" w:rsidR="006171CE" w:rsidRPr="00490C53" w:rsidRDefault="006171CE">
            <w:pPr>
              <w:pStyle w:val="Tabletext"/>
              <w:jc w:val="right"/>
              <w:rPr>
                <w:lang w:eastAsia="en-GB"/>
              </w:rPr>
            </w:pPr>
            <w:r w:rsidRPr="00490C53">
              <w:rPr>
                <w:rFonts w:cs="Calibri"/>
                <w:szCs w:val="20"/>
              </w:rPr>
              <w:t>2.2%</w:t>
            </w:r>
          </w:p>
        </w:tc>
        <w:tc>
          <w:tcPr>
            <w:tcW w:w="1160" w:type="pct"/>
            <w:noWrap/>
            <w:vAlign w:val="center"/>
          </w:tcPr>
          <w:p w14:paraId="527C3E54" w14:textId="77777777" w:rsidR="006171CE" w:rsidRPr="00490C53" w:rsidRDefault="006171CE">
            <w:pPr>
              <w:pStyle w:val="Tabletext"/>
              <w:jc w:val="right"/>
              <w:rPr>
                <w:lang w:eastAsia="en-GB"/>
              </w:rPr>
            </w:pPr>
            <w:r w:rsidRPr="00490C53">
              <w:rPr>
                <w:rFonts w:cs="Calibri"/>
                <w:szCs w:val="20"/>
              </w:rPr>
              <w:t>0.9%</w:t>
            </w:r>
          </w:p>
        </w:tc>
      </w:tr>
      <w:tr w:rsidR="006171CE" w:rsidRPr="00490C53" w14:paraId="7E11008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BA95770" w14:textId="77777777" w:rsidR="006171CE" w:rsidRPr="00490C53" w:rsidRDefault="006171CE">
            <w:pPr>
              <w:pStyle w:val="Tabletext"/>
              <w:rPr>
                <w:lang w:eastAsia="en-GB"/>
              </w:rPr>
            </w:pPr>
          </w:p>
        </w:tc>
        <w:tc>
          <w:tcPr>
            <w:tcW w:w="1746" w:type="pct"/>
            <w:noWrap/>
            <w:vAlign w:val="top"/>
          </w:tcPr>
          <w:p w14:paraId="2A8C7041" w14:textId="77777777" w:rsidR="006171CE" w:rsidRPr="00490C53" w:rsidRDefault="006171CE">
            <w:pPr>
              <w:pStyle w:val="Tabletext"/>
              <w:rPr>
                <w:lang w:eastAsia="en-GB"/>
              </w:rPr>
            </w:pPr>
            <w:r w:rsidRPr="00490C53">
              <w:t>11-15 Years</w:t>
            </w:r>
          </w:p>
        </w:tc>
        <w:tc>
          <w:tcPr>
            <w:tcW w:w="1117" w:type="pct"/>
            <w:noWrap/>
            <w:vAlign w:val="center"/>
          </w:tcPr>
          <w:p w14:paraId="68BB3E29" w14:textId="77777777" w:rsidR="006171CE" w:rsidRPr="00490C53" w:rsidRDefault="006171CE">
            <w:pPr>
              <w:pStyle w:val="Tabletext"/>
              <w:jc w:val="right"/>
              <w:rPr>
                <w:lang w:eastAsia="en-GB"/>
              </w:rPr>
            </w:pPr>
            <w:r w:rsidRPr="00490C53">
              <w:rPr>
                <w:rFonts w:cs="Calibri"/>
                <w:szCs w:val="20"/>
              </w:rPr>
              <w:t>2.5%</w:t>
            </w:r>
          </w:p>
        </w:tc>
        <w:tc>
          <w:tcPr>
            <w:tcW w:w="1160" w:type="pct"/>
            <w:noWrap/>
            <w:vAlign w:val="center"/>
          </w:tcPr>
          <w:p w14:paraId="724C8ED9" w14:textId="77777777" w:rsidR="006171CE" w:rsidRPr="00490C53" w:rsidRDefault="006171CE">
            <w:pPr>
              <w:pStyle w:val="Tabletext"/>
              <w:jc w:val="right"/>
              <w:rPr>
                <w:lang w:eastAsia="en-GB"/>
              </w:rPr>
            </w:pPr>
            <w:r w:rsidRPr="00490C53">
              <w:rPr>
                <w:rFonts w:cs="Calibri"/>
                <w:szCs w:val="20"/>
              </w:rPr>
              <w:t>0.5%</w:t>
            </w:r>
          </w:p>
        </w:tc>
      </w:tr>
      <w:tr w:rsidR="006171CE" w:rsidRPr="00490C53" w14:paraId="26F5A4EC" w14:textId="77777777">
        <w:tblPrEx>
          <w:tblCellMar>
            <w:left w:w="108" w:type="dxa"/>
            <w:right w:w="108" w:type="dxa"/>
          </w:tblCellMar>
        </w:tblPrEx>
        <w:trPr>
          <w:trHeight w:val="290"/>
        </w:trPr>
        <w:tc>
          <w:tcPr>
            <w:tcW w:w="977" w:type="pct"/>
            <w:noWrap/>
            <w:vAlign w:val="top"/>
          </w:tcPr>
          <w:p w14:paraId="6D4D67CC" w14:textId="77777777" w:rsidR="006171CE" w:rsidRPr="00490C53" w:rsidRDefault="006171CE">
            <w:pPr>
              <w:pStyle w:val="Tabletext"/>
              <w:rPr>
                <w:lang w:eastAsia="en-GB"/>
              </w:rPr>
            </w:pPr>
          </w:p>
        </w:tc>
        <w:tc>
          <w:tcPr>
            <w:tcW w:w="1746" w:type="pct"/>
            <w:noWrap/>
            <w:vAlign w:val="top"/>
          </w:tcPr>
          <w:p w14:paraId="4D93DE97" w14:textId="77777777" w:rsidR="006171CE" w:rsidRPr="00490C53" w:rsidRDefault="006171CE">
            <w:pPr>
              <w:pStyle w:val="Tabletext"/>
              <w:rPr>
                <w:lang w:eastAsia="en-GB"/>
              </w:rPr>
            </w:pPr>
            <w:r w:rsidRPr="00490C53">
              <w:t>16-20 Years</w:t>
            </w:r>
          </w:p>
        </w:tc>
        <w:tc>
          <w:tcPr>
            <w:tcW w:w="1117" w:type="pct"/>
            <w:noWrap/>
            <w:vAlign w:val="center"/>
          </w:tcPr>
          <w:p w14:paraId="3CCF2CD5" w14:textId="77777777" w:rsidR="006171CE" w:rsidRPr="00490C53" w:rsidRDefault="006171CE">
            <w:pPr>
              <w:pStyle w:val="Tabletext"/>
              <w:jc w:val="right"/>
              <w:rPr>
                <w:lang w:eastAsia="en-GB"/>
              </w:rPr>
            </w:pPr>
            <w:r w:rsidRPr="00490C53">
              <w:rPr>
                <w:rFonts w:cs="Calibri"/>
                <w:szCs w:val="20"/>
              </w:rPr>
              <w:t>2.2%</w:t>
            </w:r>
          </w:p>
        </w:tc>
        <w:tc>
          <w:tcPr>
            <w:tcW w:w="1160" w:type="pct"/>
            <w:noWrap/>
            <w:vAlign w:val="center"/>
          </w:tcPr>
          <w:p w14:paraId="72F7C962" w14:textId="77777777" w:rsidR="006171CE" w:rsidRPr="00490C53" w:rsidRDefault="006171CE">
            <w:pPr>
              <w:pStyle w:val="Tabletext"/>
              <w:jc w:val="right"/>
              <w:rPr>
                <w:lang w:eastAsia="en-GB"/>
              </w:rPr>
            </w:pPr>
            <w:r w:rsidRPr="00490C53">
              <w:rPr>
                <w:rFonts w:cs="Calibri"/>
                <w:szCs w:val="20"/>
              </w:rPr>
              <w:t>0.2%</w:t>
            </w:r>
          </w:p>
        </w:tc>
      </w:tr>
      <w:tr w:rsidR="006171CE" w:rsidRPr="00490C53" w14:paraId="2393EED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8C4B000" w14:textId="77777777" w:rsidR="006171CE" w:rsidRPr="00490C53" w:rsidRDefault="006171CE">
            <w:pPr>
              <w:pStyle w:val="Tabletext"/>
              <w:rPr>
                <w:lang w:eastAsia="en-GB"/>
              </w:rPr>
            </w:pPr>
          </w:p>
        </w:tc>
        <w:tc>
          <w:tcPr>
            <w:tcW w:w="1746" w:type="pct"/>
            <w:noWrap/>
            <w:vAlign w:val="top"/>
          </w:tcPr>
          <w:p w14:paraId="6CA0C7AA" w14:textId="77777777" w:rsidR="006171CE" w:rsidRPr="00490C53" w:rsidRDefault="006171CE">
            <w:pPr>
              <w:pStyle w:val="Tabletext"/>
              <w:rPr>
                <w:lang w:eastAsia="en-GB"/>
              </w:rPr>
            </w:pPr>
            <w:r w:rsidRPr="00490C53">
              <w:t>21-40 Years</w:t>
            </w:r>
          </w:p>
        </w:tc>
        <w:tc>
          <w:tcPr>
            <w:tcW w:w="1117" w:type="pct"/>
            <w:noWrap/>
            <w:vAlign w:val="center"/>
          </w:tcPr>
          <w:p w14:paraId="6F18B286" w14:textId="77777777" w:rsidR="006171CE" w:rsidRPr="00490C53" w:rsidRDefault="006171CE">
            <w:pPr>
              <w:pStyle w:val="Tabletext"/>
              <w:jc w:val="right"/>
              <w:rPr>
                <w:lang w:eastAsia="en-GB"/>
              </w:rPr>
            </w:pPr>
            <w:r w:rsidRPr="00490C53">
              <w:rPr>
                <w:rFonts w:cs="Calibri"/>
                <w:szCs w:val="20"/>
              </w:rPr>
              <w:t>3.6%</w:t>
            </w:r>
          </w:p>
        </w:tc>
        <w:tc>
          <w:tcPr>
            <w:tcW w:w="1160" w:type="pct"/>
            <w:noWrap/>
            <w:vAlign w:val="center"/>
          </w:tcPr>
          <w:p w14:paraId="2185C2EE" w14:textId="77777777" w:rsidR="006171CE" w:rsidRPr="00490C53" w:rsidRDefault="006171CE">
            <w:pPr>
              <w:pStyle w:val="Tabletext"/>
              <w:jc w:val="right"/>
              <w:rPr>
                <w:lang w:eastAsia="en-GB"/>
              </w:rPr>
            </w:pPr>
            <w:r w:rsidRPr="00490C53">
              <w:rPr>
                <w:rFonts w:cs="Calibri"/>
                <w:szCs w:val="20"/>
              </w:rPr>
              <w:t>0.7%</w:t>
            </w:r>
          </w:p>
        </w:tc>
      </w:tr>
      <w:tr w:rsidR="006171CE" w:rsidRPr="00490C53" w14:paraId="0D718175" w14:textId="77777777">
        <w:tblPrEx>
          <w:tblCellMar>
            <w:left w:w="108" w:type="dxa"/>
            <w:right w:w="108" w:type="dxa"/>
          </w:tblCellMar>
        </w:tblPrEx>
        <w:trPr>
          <w:trHeight w:val="290"/>
        </w:trPr>
        <w:tc>
          <w:tcPr>
            <w:tcW w:w="977" w:type="pct"/>
            <w:noWrap/>
            <w:vAlign w:val="top"/>
          </w:tcPr>
          <w:p w14:paraId="7D3F7C48" w14:textId="77777777" w:rsidR="006171CE" w:rsidRPr="00490C53" w:rsidRDefault="006171CE">
            <w:pPr>
              <w:pStyle w:val="Tabletext"/>
              <w:rPr>
                <w:lang w:eastAsia="en-GB"/>
              </w:rPr>
            </w:pPr>
          </w:p>
        </w:tc>
        <w:tc>
          <w:tcPr>
            <w:tcW w:w="1746" w:type="pct"/>
            <w:noWrap/>
            <w:vAlign w:val="top"/>
          </w:tcPr>
          <w:p w14:paraId="078FDADC" w14:textId="77777777" w:rsidR="006171CE" w:rsidRPr="00490C53" w:rsidRDefault="006171CE">
            <w:pPr>
              <w:pStyle w:val="Tabletext"/>
              <w:rPr>
                <w:lang w:eastAsia="en-GB"/>
              </w:rPr>
            </w:pPr>
            <w:r w:rsidRPr="00490C53">
              <w:t>More than 40 Years</w:t>
            </w:r>
          </w:p>
        </w:tc>
        <w:tc>
          <w:tcPr>
            <w:tcW w:w="1117" w:type="pct"/>
            <w:noWrap/>
            <w:vAlign w:val="center"/>
          </w:tcPr>
          <w:p w14:paraId="34CBD169" w14:textId="77777777" w:rsidR="006171CE" w:rsidRPr="00490C53" w:rsidRDefault="006171CE">
            <w:pPr>
              <w:pStyle w:val="Tabletext"/>
              <w:jc w:val="right"/>
              <w:rPr>
                <w:lang w:eastAsia="en-GB"/>
              </w:rPr>
            </w:pPr>
            <w:r w:rsidRPr="00490C53">
              <w:rPr>
                <w:rFonts w:cs="Calibri"/>
                <w:szCs w:val="20"/>
              </w:rPr>
              <w:t>1.2%</w:t>
            </w:r>
          </w:p>
        </w:tc>
        <w:tc>
          <w:tcPr>
            <w:tcW w:w="1160" w:type="pct"/>
            <w:noWrap/>
            <w:vAlign w:val="center"/>
          </w:tcPr>
          <w:p w14:paraId="0A2D786C" w14:textId="77777777" w:rsidR="006171CE" w:rsidRPr="00490C53" w:rsidRDefault="006171CE">
            <w:pPr>
              <w:pStyle w:val="Tabletext"/>
              <w:jc w:val="right"/>
              <w:rPr>
                <w:lang w:eastAsia="en-GB"/>
              </w:rPr>
            </w:pPr>
            <w:r w:rsidRPr="00490C53">
              <w:rPr>
                <w:rFonts w:cs="Calibri"/>
                <w:szCs w:val="20"/>
              </w:rPr>
              <w:t>0.2%</w:t>
            </w:r>
          </w:p>
        </w:tc>
      </w:tr>
      <w:tr w:rsidR="006171CE" w:rsidRPr="00490C53" w14:paraId="372FBD1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tcBorders>
              <w:bottom w:val="single" w:sz="4" w:space="0" w:color="0054BA" w:themeColor="accent2"/>
            </w:tcBorders>
            <w:noWrap/>
            <w:vAlign w:val="top"/>
          </w:tcPr>
          <w:p w14:paraId="56801E26" w14:textId="77777777" w:rsidR="006171CE" w:rsidRPr="00490C53" w:rsidRDefault="006171CE">
            <w:pPr>
              <w:pStyle w:val="Tabletext"/>
              <w:rPr>
                <w:lang w:eastAsia="en-GB"/>
              </w:rPr>
            </w:pPr>
            <w:r w:rsidRPr="00490C53">
              <w:rPr>
                <w:b/>
                <w:bCs/>
              </w:rPr>
              <w:t>Average</w:t>
            </w:r>
          </w:p>
        </w:tc>
        <w:tc>
          <w:tcPr>
            <w:tcW w:w="1746" w:type="pct"/>
            <w:tcBorders>
              <w:bottom w:val="single" w:sz="4" w:space="0" w:color="0054BA" w:themeColor="accent2"/>
            </w:tcBorders>
            <w:noWrap/>
            <w:vAlign w:val="top"/>
          </w:tcPr>
          <w:p w14:paraId="0C117DEF" w14:textId="77777777" w:rsidR="006171CE" w:rsidRPr="00490C53" w:rsidRDefault="006171CE">
            <w:pPr>
              <w:pStyle w:val="Tabletext"/>
              <w:rPr>
                <w:lang w:eastAsia="en-GB"/>
              </w:rPr>
            </w:pPr>
          </w:p>
        </w:tc>
        <w:tc>
          <w:tcPr>
            <w:tcW w:w="1117" w:type="pct"/>
            <w:tcBorders>
              <w:bottom w:val="single" w:sz="4" w:space="0" w:color="0054BA" w:themeColor="accent2"/>
            </w:tcBorders>
            <w:noWrap/>
            <w:vAlign w:val="center"/>
          </w:tcPr>
          <w:p w14:paraId="16190368" w14:textId="77777777" w:rsidR="006171CE" w:rsidRPr="00490C53" w:rsidRDefault="006171CE">
            <w:pPr>
              <w:pStyle w:val="Tabletext"/>
              <w:jc w:val="right"/>
              <w:rPr>
                <w:lang w:eastAsia="en-GB"/>
              </w:rPr>
            </w:pPr>
            <w:r w:rsidRPr="00490C53">
              <w:rPr>
                <w:rFonts w:cs="Calibri"/>
                <w:b/>
                <w:szCs w:val="20"/>
              </w:rPr>
              <w:t>5.9%</w:t>
            </w:r>
          </w:p>
        </w:tc>
        <w:tc>
          <w:tcPr>
            <w:tcW w:w="1160" w:type="pct"/>
            <w:tcBorders>
              <w:bottom w:val="single" w:sz="4" w:space="0" w:color="0054BA" w:themeColor="accent2"/>
            </w:tcBorders>
            <w:noWrap/>
            <w:vAlign w:val="center"/>
          </w:tcPr>
          <w:p w14:paraId="58A46E7E" w14:textId="77777777" w:rsidR="006171CE" w:rsidRPr="00490C53" w:rsidRDefault="006171CE">
            <w:pPr>
              <w:pStyle w:val="Tabletext"/>
              <w:jc w:val="right"/>
              <w:rPr>
                <w:lang w:eastAsia="en-GB"/>
              </w:rPr>
            </w:pPr>
            <w:r w:rsidRPr="00490C53">
              <w:rPr>
                <w:rFonts w:cs="Calibri"/>
                <w:b/>
                <w:szCs w:val="20"/>
              </w:rPr>
              <w:t>0.4%</w:t>
            </w:r>
          </w:p>
        </w:tc>
      </w:tr>
    </w:tbl>
    <w:p w14:paraId="3D7571EC" w14:textId="0A28998E" w:rsidR="006171CE" w:rsidRPr="00490C53" w:rsidRDefault="006171CE" w:rsidP="006171CE">
      <w:pPr>
        <w:pStyle w:val="Caption"/>
      </w:pPr>
      <w:r w:rsidRPr="00490C53">
        <w:t>Source: London Economics’ analysis of IDBR data</w:t>
      </w:r>
      <w:r w:rsidR="009E6E8F">
        <w:t xml:space="preserve"> and BBB Portal Data. </w:t>
      </w:r>
    </w:p>
    <w:p w14:paraId="59C660AA" w14:textId="623B8D4D" w:rsidR="00D267D5" w:rsidRPr="00490C53" w:rsidRDefault="00D267D5" w:rsidP="00D267D5">
      <w:pPr>
        <w:pStyle w:val="Heading5"/>
      </w:pPr>
      <w:bookmarkStart w:id="305" w:name="_Ref151544529"/>
      <w:r w:rsidRPr="00490C53">
        <w:lastRenderedPageBreak/>
        <w:t xml:space="preserve">Table </w:t>
      </w:r>
      <w:r w:rsidRPr="00846F78">
        <w:fldChar w:fldCharType="begin"/>
      </w:r>
      <w:r w:rsidRPr="00490C53">
        <w:instrText xml:space="preserve"> SEQ Table \* ARABIC </w:instrText>
      </w:r>
      <w:r w:rsidRPr="00846F78">
        <w:fldChar w:fldCharType="separate"/>
      </w:r>
      <w:r w:rsidR="00397D49">
        <w:rPr>
          <w:noProof/>
        </w:rPr>
        <w:t>44</w:t>
      </w:r>
      <w:r w:rsidRPr="00846F78">
        <w:fldChar w:fldCharType="end"/>
      </w:r>
      <w:bookmarkEnd w:id="305"/>
      <w:r w:rsidRPr="00490C53">
        <w:t>: Balance table – CBILS/CLBILS</w:t>
      </w:r>
    </w:p>
    <w:tbl>
      <w:tblPr>
        <w:tblStyle w:val="TableGrid"/>
        <w:tblW w:w="5000" w:type="pct"/>
        <w:tblLayout w:type="fixed"/>
        <w:tblLook w:val="04A0" w:firstRow="1" w:lastRow="0" w:firstColumn="1" w:lastColumn="0" w:noHBand="0" w:noVBand="1"/>
      </w:tblPr>
      <w:tblGrid>
        <w:gridCol w:w="1984"/>
        <w:gridCol w:w="3546"/>
        <w:gridCol w:w="2268"/>
        <w:gridCol w:w="2356"/>
      </w:tblGrid>
      <w:tr w:rsidR="00D267D5" w:rsidRPr="00490C53" w14:paraId="32248833"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977" w:type="pct"/>
            <w:noWrap/>
            <w:vAlign w:val="top"/>
            <w:hideMark/>
          </w:tcPr>
          <w:p w14:paraId="2A773BD7" w14:textId="77777777" w:rsidR="00D267D5" w:rsidRPr="00490C53" w:rsidRDefault="00D267D5">
            <w:pPr>
              <w:pStyle w:val="Tablecolumnheading-white"/>
              <w:rPr>
                <w:lang w:eastAsia="en-GB"/>
              </w:rPr>
            </w:pPr>
            <w:r w:rsidRPr="00490C53">
              <w:t>Characteristic</w:t>
            </w:r>
          </w:p>
        </w:tc>
        <w:tc>
          <w:tcPr>
            <w:tcW w:w="1746" w:type="pct"/>
            <w:noWrap/>
            <w:vAlign w:val="top"/>
            <w:hideMark/>
          </w:tcPr>
          <w:p w14:paraId="3B3F7807" w14:textId="77777777" w:rsidR="00D267D5" w:rsidRPr="00490C53" w:rsidRDefault="00D267D5">
            <w:pPr>
              <w:pStyle w:val="Tablecolumnheading-white"/>
              <w:rPr>
                <w:lang w:eastAsia="en-GB"/>
              </w:rPr>
            </w:pPr>
            <w:r w:rsidRPr="00490C53">
              <w:t>Feature</w:t>
            </w:r>
          </w:p>
        </w:tc>
        <w:tc>
          <w:tcPr>
            <w:tcW w:w="1117" w:type="pct"/>
            <w:noWrap/>
            <w:vAlign w:val="center"/>
            <w:hideMark/>
          </w:tcPr>
          <w:p w14:paraId="0CEC84FB" w14:textId="77777777" w:rsidR="00D267D5" w:rsidRPr="00490C53" w:rsidRDefault="00D267D5">
            <w:pPr>
              <w:pStyle w:val="Tablecolumnheading-white"/>
              <w:spacing w:before="0"/>
              <w:jc w:val="right"/>
              <w:rPr>
                <w:lang w:eastAsia="en-GB"/>
              </w:rPr>
            </w:pPr>
            <w:r w:rsidRPr="00490C53">
              <w:t>Difference in prevalence between borrower and non-borrower groups (Full Sample)</w:t>
            </w:r>
          </w:p>
        </w:tc>
        <w:tc>
          <w:tcPr>
            <w:tcW w:w="1160" w:type="pct"/>
            <w:noWrap/>
            <w:vAlign w:val="center"/>
            <w:hideMark/>
          </w:tcPr>
          <w:p w14:paraId="68B63BE4" w14:textId="77777777" w:rsidR="00D267D5" w:rsidRPr="00490C53" w:rsidRDefault="00D267D5">
            <w:pPr>
              <w:pStyle w:val="Tablecolumnheading-white"/>
              <w:spacing w:before="0"/>
              <w:jc w:val="right"/>
              <w:rPr>
                <w:lang w:eastAsia="en-GB"/>
              </w:rPr>
            </w:pPr>
            <w:r w:rsidRPr="00490C53">
              <w:t>Difference in prevalence between borrower and non-borrower groups (After PSM)</w:t>
            </w:r>
          </w:p>
        </w:tc>
      </w:tr>
      <w:tr w:rsidR="00D267D5" w:rsidRPr="00490C53" w14:paraId="14BA3AA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E89D55C" w14:textId="77777777" w:rsidR="00D267D5" w:rsidRPr="00490C53" w:rsidRDefault="00D267D5">
            <w:pPr>
              <w:pStyle w:val="Tabletext"/>
              <w:rPr>
                <w:lang w:eastAsia="en-GB"/>
              </w:rPr>
            </w:pPr>
            <w:r w:rsidRPr="00490C53">
              <w:rPr>
                <w:b/>
                <w:bCs/>
              </w:rPr>
              <w:t>Turnover</w:t>
            </w:r>
          </w:p>
        </w:tc>
        <w:tc>
          <w:tcPr>
            <w:tcW w:w="1746" w:type="pct"/>
            <w:noWrap/>
            <w:vAlign w:val="top"/>
          </w:tcPr>
          <w:p w14:paraId="48CAF32D" w14:textId="77777777" w:rsidR="00D267D5" w:rsidRPr="00490C53" w:rsidRDefault="00D267D5">
            <w:pPr>
              <w:pStyle w:val="Tabletext"/>
              <w:rPr>
                <w:lang w:eastAsia="en-GB"/>
              </w:rPr>
            </w:pPr>
            <w:r w:rsidRPr="00490C53">
              <w:t>Less than 25,000</w:t>
            </w:r>
          </w:p>
        </w:tc>
        <w:tc>
          <w:tcPr>
            <w:tcW w:w="1117" w:type="pct"/>
            <w:noWrap/>
            <w:vAlign w:val="center"/>
          </w:tcPr>
          <w:p w14:paraId="2CDFED80" w14:textId="77777777" w:rsidR="00D267D5" w:rsidRPr="00490C53" w:rsidRDefault="00D267D5">
            <w:pPr>
              <w:pStyle w:val="Tabletext"/>
              <w:jc w:val="right"/>
              <w:rPr>
                <w:lang w:eastAsia="en-GB"/>
              </w:rPr>
            </w:pPr>
            <w:r w:rsidRPr="00490C53">
              <w:rPr>
                <w:rFonts w:cstheme="minorHAnsi"/>
                <w:szCs w:val="24"/>
              </w:rPr>
              <w:t>6.4%</w:t>
            </w:r>
          </w:p>
        </w:tc>
        <w:tc>
          <w:tcPr>
            <w:tcW w:w="1160" w:type="pct"/>
            <w:noWrap/>
            <w:vAlign w:val="center"/>
          </w:tcPr>
          <w:p w14:paraId="25A70D69"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66DF50A7" w14:textId="77777777">
        <w:tblPrEx>
          <w:tblCellMar>
            <w:left w:w="108" w:type="dxa"/>
            <w:right w:w="108" w:type="dxa"/>
          </w:tblCellMar>
        </w:tblPrEx>
        <w:trPr>
          <w:trHeight w:val="290"/>
        </w:trPr>
        <w:tc>
          <w:tcPr>
            <w:tcW w:w="977" w:type="pct"/>
            <w:noWrap/>
            <w:vAlign w:val="top"/>
          </w:tcPr>
          <w:p w14:paraId="4769EE44" w14:textId="77777777" w:rsidR="00D267D5" w:rsidRPr="00490C53" w:rsidRDefault="00D267D5">
            <w:pPr>
              <w:pStyle w:val="Tabletext"/>
              <w:rPr>
                <w:lang w:eastAsia="en-GB"/>
              </w:rPr>
            </w:pPr>
          </w:p>
        </w:tc>
        <w:tc>
          <w:tcPr>
            <w:tcW w:w="1746" w:type="pct"/>
            <w:noWrap/>
            <w:vAlign w:val="top"/>
          </w:tcPr>
          <w:p w14:paraId="45E6845D" w14:textId="77777777" w:rsidR="00D267D5" w:rsidRPr="00490C53" w:rsidRDefault="00D267D5">
            <w:pPr>
              <w:pStyle w:val="Tabletext"/>
              <w:rPr>
                <w:lang w:eastAsia="en-GB"/>
              </w:rPr>
            </w:pPr>
            <w:r w:rsidRPr="00490C53">
              <w:t>Between 25,000 and 50,000</w:t>
            </w:r>
          </w:p>
        </w:tc>
        <w:tc>
          <w:tcPr>
            <w:tcW w:w="1117" w:type="pct"/>
            <w:noWrap/>
            <w:vAlign w:val="center"/>
          </w:tcPr>
          <w:p w14:paraId="3770BF93" w14:textId="77777777" w:rsidR="00D267D5" w:rsidRPr="00490C53" w:rsidRDefault="00D267D5">
            <w:pPr>
              <w:pStyle w:val="Tabletext"/>
              <w:jc w:val="right"/>
              <w:rPr>
                <w:lang w:eastAsia="en-GB"/>
              </w:rPr>
            </w:pPr>
            <w:r w:rsidRPr="00490C53">
              <w:rPr>
                <w:rFonts w:cstheme="minorHAnsi"/>
                <w:szCs w:val="24"/>
              </w:rPr>
              <w:t>6.9%</w:t>
            </w:r>
          </w:p>
        </w:tc>
        <w:tc>
          <w:tcPr>
            <w:tcW w:w="1160" w:type="pct"/>
            <w:noWrap/>
            <w:vAlign w:val="center"/>
          </w:tcPr>
          <w:p w14:paraId="7B72316E"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46EF62C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0261513" w14:textId="77777777" w:rsidR="00D267D5" w:rsidRPr="00490C53" w:rsidRDefault="00D267D5">
            <w:pPr>
              <w:pStyle w:val="Tabletext"/>
              <w:rPr>
                <w:lang w:eastAsia="en-GB"/>
              </w:rPr>
            </w:pPr>
          </w:p>
        </w:tc>
        <w:tc>
          <w:tcPr>
            <w:tcW w:w="1746" w:type="pct"/>
            <w:noWrap/>
            <w:vAlign w:val="top"/>
          </w:tcPr>
          <w:p w14:paraId="70033DC9" w14:textId="77777777" w:rsidR="00D267D5" w:rsidRPr="00490C53" w:rsidRDefault="00D267D5">
            <w:pPr>
              <w:pStyle w:val="Tabletext"/>
              <w:rPr>
                <w:lang w:eastAsia="en-GB"/>
              </w:rPr>
            </w:pPr>
            <w:r w:rsidRPr="00490C53">
              <w:t>Between 50,000 and 75,000</w:t>
            </w:r>
          </w:p>
        </w:tc>
        <w:tc>
          <w:tcPr>
            <w:tcW w:w="1117" w:type="pct"/>
            <w:noWrap/>
            <w:vAlign w:val="center"/>
          </w:tcPr>
          <w:p w14:paraId="47663796" w14:textId="77777777" w:rsidR="00D267D5" w:rsidRPr="00490C53" w:rsidRDefault="00D267D5">
            <w:pPr>
              <w:pStyle w:val="Tabletext"/>
              <w:jc w:val="right"/>
              <w:rPr>
                <w:lang w:eastAsia="en-GB"/>
              </w:rPr>
            </w:pPr>
            <w:r w:rsidRPr="00490C53">
              <w:rPr>
                <w:rFonts w:cstheme="minorHAnsi"/>
                <w:szCs w:val="24"/>
              </w:rPr>
              <w:t>13.7%</w:t>
            </w:r>
          </w:p>
        </w:tc>
        <w:tc>
          <w:tcPr>
            <w:tcW w:w="1160" w:type="pct"/>
            <w:noWrap/>
            <w:vAlign w:val="center"/>
          </w:tcPr>
          <w:p w14:paraId="376F612A"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669A7C4E" w14:textId="77777777">
        <w:tblPrEx>
          <w:tblCellMar>
            <w:left w:w="108" w:type="dxa"/>
            <w:right w:w="108" w:type="dxa"/>
          </w:tblCellMar>
        </w:tblPrEx>
        <w:trPr>
          <w:trHeight w:val="290"/>
        </w:trPr>
        <w:tc>
          <w:tcPr>
            <w:tcW w:w="977" w:type="pct"/>
            <w:noWrap/>
            <w:vAlign w:val="top"/>
          </w:tcPr>
          <w:p w14:paraId="68AD0996" w14:textId="77777777" w:rsidR="00D267D5" w:rsidRPr="00490C53" w:rsidRDefault="00D267D5">
            <w:pPr>
              <w:pStyle w:val="Tabletext"/>
              <w:rPr>
                <w:lang w:eastAsia="en-GB"/>
              </w:rPr>
            </w:pPr>
          </w:p>
        </w:tc>
        <w:tc>
          <w:tcPr>
            <w:tcW w:w="1746" w:type="pct"/>
            <w:noWrap/>
            <w:vAlign w:val="top"/>
          </w:tcPr>
          <w:p w14:paraId="5155C085" w14:textId="77777777" w:rsidR="00D267D5" w:rsidRPr="00490C53" w:rsidRDefault="00D267D5">
            <w:pPr>
              <w:pStyle w:val="Tabletext"/>
              <w:rPr>
                <w:lang w:eastAsia="en-GB"/>
              </w:rPr>
            </w:pPr>
            <w:r w:rsidRPr="00490C53">
              <w:t>Between 75,000 and 100,000</w:t>
            </w:r>
          </w:p>
        </w:tc>
        <w:tc>
          <w:tcPr>
            <w:tcW w:w="1117" w:type="pct"/>
            <w:noWrap/>
            <w:vAlign w:val="center"/>
          </w:tcPr>
          <w:p w14:paraId="61C77FE9" w14:textId="77777777" w:rsidR="00D267D5" w:rsidRPr="00490C53" w:rsidRDefault="00D267D5">
            <w:pPr>
              <w:pStyle w:val="Tabletext"/>
              <w:jc w:val="right"/>
              <w:rPr>
                <w:lang w:eastAsia="en-GB"/>
              </w:rPr>
            </w:pPr>
            <w:r w:rsidRPr="00490C53">
              <w:rPr>
                <w:rFonts w:cstheme="minorHAnsi"/>
                <w:szCs w:val="24"/>
              </w:rPr>
              <w:t>9.8%</w:t>
            </w:r>
          </w:p>
        </w:tc>
        <w:tc>
          <w:tcPr>
            <w:tcW w:w="1160" w:type="pct"/>
            <w:noWrap/>
            <w:vAlign w:val="center"/>
          </w:tcPr>
          <w:p w14:paraId="3D83066E"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2D96632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F9FAE14" w14:textId="77777777" w:rsidR="00D267D5" w:rsidRPr="00490C53" w:rsidRDefault="00D267D5">
            <w:pPr>
              <w:pStyle w:val="Tabletext"/>
              <w:rPr>
                <w:lang w:eastAsia="en-GB"/>
              </w:rPr>
            </w:pPr>
          </w:p>
        </w:tc>
        <w:tc>
          <w:tcPr>
            <w:tcW w:w="1746" w:type="pct"/>
            <w:noWrap/>
            <w:vAlign w:val="top"/>
          </w:tcPr>
          <w:p w14:paraId="3BE604C4" w14:textId="77777777" w:rsidR="00D267D5" w:rsidRPr="00490C53" w:rsidRDefault="00D267D5">
            <w:pPr>
              <w:pStyle w:val="Tabletext"/>
              <w:rPr>
                <w:lang w:eastAsia="en-GB"/>
              </w:rPr>
            </w:pPr>
            <w:r w:rsidRPr="00490C53">
              <w:t>Between 100,000 and 125,000</w:t>
            </w:r>
          </w:p>
        </w:tc>
        <w:tc>
          <w:tcPr>
            <w:tcW w:w="1117" w:type="pct"/>
            <w:noWrap/>
            <w:vAlign w:val="center"/>
          </w:tcPr>
          <w:p w14:paraId="0251A255" w14:textId="77777777" w:rsidR="00D267D5" w:rsidRPr="00490C53" w:rsidRDefault="00D267D5">
            <w:pPr>
              <w:pStyle w:val="Tabletext"/>
              <w:jc w:val="right"/>
              <w:rPr>
                <w:lang w:eastAsia="en-GB"/>
              </w:rPr>
            </w:pPr>
            <w:r w:rsidRPr="00490C53">
              <w:rPr>
                <w:rFonts w:cstheme="minorHAnsi"/>
                <w:szCs w:val="24"/>
              </w:rPr>
              <w:t>9.3%</w:t>
            </w:r>
          </w:p>
        </w:tc>
        <w:tc>
          <w:tcPr>
            <w:tcW w:w="1160" w:type="pct"/>
            <w:noWrap/>
            <w:vAlign w:val="center"/>
          </w:tcPr>
          <w:p w14:paraId="10CD432A" w14:textId="77777777" w:rsidR="00D267D5" w:rsidRPr="00490C53" w:rsidRDefault="00D267D5">
            <w:pPr>
              <w:pStyle w:val="Tabletext"/>
              <w:jc w:val="right"/>
              <w:rPr>
                <w:lang w:eastAsia="en-GB"/>
              </w:rPr>
            </w:pPr>
            <w:r w:rsidRPr="00490C53">
              <w:rPr>
                <w:rFonts w:cstheme="minorHAnsi"/>
                <w:szCs w:val="24"/>
              </w:rPr>
              <w:t>0.2%</w:t>
            </w:r>
          </w:p>
        </w:tc>
      </w:tr>
      <w:tr w:rsidR="00D267D5" w:rsidRPr="00490C53" w14:paraId="7AF0DC79" w14:textId="77777777">
        <w:tblPrEx>
          <w:tblCellMar>
            <w:left w:w="108" w:type="dxa"/>
            <w:right w:w="108" w:type="dxa"/>
          </w:tblCellMar>
        </w:tblPrEx>
        <w:trPr>
          <w:trHeight w:val="290"/>
        </w:trPr>
        <w:tc>
          <w:tcPr>
            <w:tcW w:w="977" w:type="pct"/>
            <w:noWrap/>
            <w:vAlign w:val="top"/>
          </w:tcPr>
          <w:p w14:paraId="7D667ED2" w14:textId="77777777" w:rsidR="00D267D5" w:rsidRPr="00490C53" w:rsidRDefault="00D267D5">
            <w:pPr>
              <w:pStyle w:val="Tabletext"/>
              <w:rPr>
                <w:lang w:eastAsia="en-GB"/>
              </w:rPr>
            </w:pPr>
          </w:p>
        </w:tc>
        <w:tc>
          <w:tcPr>
            <w:tcW w:w="1746" w:type="pct"/>
            <w:noWrap/>
            <w:vAlign w:val="top"/>
          </w:tcPr>
          <w:p w14:paraId="601C2C35" w14:textId="77777777" w:rsidR="00D267D5" w:rsidRPr="00490C53" w:rsidRDefault="00D267D5">
            <w:pPr>
              <w:pStyle w:val="Tabletext"/>
              <w:rPr>
                <w:lang w:eastAsia="en-GB"/>
              </w:rPr>
            </w:pPr>
            <w:r w:rsidRPr="00490C53">
              <w:t>Between 125,000 and 150,000</w:t>
            </w:r>
          </w:p>
        </w:tc>
        <w:tc>
          <w:tcPr>
            <w:tcW w:w="1117" w:type="pct"/>
            <w:noWrap/>
            <w:vAlign w:val="center"/>
          </w:tcPr>
          <w:p w14:paraId="33D8D914" w14:textId="77777777" w:rsidR="00D267D5" w:rsidRPr="00490C53" w:rsidRDefault="00D267D5">
            <w:pPr>
              <w:pStyle w:val="Tabletext"/>
              <w:jc w:val="right"/>
              <w:rPr>
                <w:lang w:eastAsia="en-GB"/>
              </w:rPr>
            </w:pPr>
            <w:r w:rsidRPr="00490C53">
              <w:rPr>
                <w:rFonts w:cstheme="minorHAnsi"/>
                <w:szCs w:val="24"/>
              </w:rPr>
              <w:t>5.7%</w:t>
            </w:r>
          </w:p>
        </w:tc>
        <w:tc>
          <w:tcPr>
            <w:tcW w:w="1160" w:type="pct"/>
            <w:noWrap/>
            <w:vAlign w:val="center"/>
          </w:tcPr>
          <w:p w14:paraId="210C965B" w14:textId="77777777" w:rsidR="00D267D5" w:rsidRPr="00490C53" w:rsidRDefault="00D267D5">
            <w:pPr>
              <w:pStyle w:val="Tabletext"/>
              <w:jc w:val="right"/>
              <w:rPr>
                <w:lang w:eastAsia="en-GB"/>
              </w:rPr>
            </w:pPr>
            <w:r w:rsidRPr="00490C53">
              <w:rPr>
                <w:rFonts w:cstheme="minorHAnsi"/>
                <w:szCs w:val="24"/>
              </w:rPr>
              <w:t>0.2%</w:t>
            </w:r>
          </w:p>
        </w:tc>
      </w:tr>
      <w:tr w:rsidR="00D267D5" w:rsidRPr="00490C53" w14:paraId="42DB07E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5470FBD" w14:textId="77777777" w:rsidR="00D267D5" w:rsidRPr="00490C53" w:rsidRDefault="00D267D5">
            <w:pPr>
              <w:pStyle w:val="Tabletext"/>
              <w:rPr>
                <w:lang w:eastAsia="en-GB"/>
              </w:rPr>
            </w:pPr>
          </w:p>
        </w:tc>
        <w:tc>
          <w:tcPr>
            <w:tcW w:w="1746" w:type="pct"/>
            <w:noWrap/>
            <w:vAlign w:val="top"/>
          </w:tcPr>
          <w:p w14:paraId="123369DB" w14:textId="77777777" w:rsidR="00D267D5" w:rsidRPr="00490C53" w:rsidRDefault="00D267D5">
            <w:pPr>
              <w:pStyle w:val="Tabletext"/>
              <w:rPr>
                <w:lang w:eastAsia="en-GB"/>
              </w:rPr>
            </w:pPr>
            <w:r w:rsidRPr="00490C53">
              <w:t>Between 150,000 and 175,000</w:t>
            </w:r>
          </w:p>
        </w:tc>
        <w:tc>
          <w:tcPr>
            <w:tcW w:w="1117" w:type="pct"/>
            <w:noWrap/>
            <w:vAlign w:val="center"/>
          </w:tcPr>
          <w:p w14:paraId="59709FC5" w14:textId="77777777" w:rsidR="00D267D5" w:rsidRPr="00490C53" w:rsidRDefault="00D267D5">
            <w:pPr>
              <w:pStyle w:val="Tabletext"/>
              <w:jc w:val="right"/>
              <w:rPr>
                <w:lang w:eastAsia="en-GB"/>
              </w:rPr>
            </w:pPr>
            <w:r w:rsidRPr="00490C53">
              <w:rPr>
                <w:rFonts w:cstheme="minorHAnsi"/>
                <w:szCs w:val="24"/>
              </w:rPr>
              <w:t>3.2%</w:t>
            </w:r>
          </w:p>
        </w:tc>
        <w:tc>
          <w:tcPr>
            <w:tcW w:w="1160" w:type="pct"/>
            <w:noWrap/>
            <w:vAlign w:val="center"/>
          </w:tcPr>
          <w:p w14:paraId="50AE1EA9"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3EC35CAE" w14:textId="77777777">
        <w:tblPrEx>
          <w:tblCellMar>
            <w:left w:w="108" w:type="dxa"/>
            <w:right w:w="108" w:type="dxa"/>
          </w:tblCellMar>
        </w:tblPrEx>
        <w:trPr>
          <w:trHeight w:val="290"/>
        </w:trPr>
        <w:tc>
          <w:tcPr>
            <w:tcW w:w="977" w:type="pct"/>
            <w:noWrap/>
            <w:vAlign w:val="top"/>
          </w:tcPr>
          <w:p w14:paraId="67CBA9FF" w14:textId="77777777" w:rsidR="00D267D5" w:rsidRPr="00490C53" w:rsidRDefault="00D267D5">
            <w:pPr>
              <w:pStyle w:val="Tabletext"/>
              <w:rPr>
                <w:lang w:eastAsia="en-GB"/>
              </w:rPr>
            </w:pPr>
          </w:p>
        </w:tc>
        <w:tc>
          <w:tcPr>
            <w:tcW w:w="1746" w:type="pct"/>
            <w:noWrap/>
            <w:vAlign w:val="top"/>
          </w:tcPr>
          <w:p w14:paraId="0B457D7F" w14:textId="77777777" w:rsidR="00D267D5" w:rsidRPr="00490C53" w:rsidRDefault="00D267D5">
            <w:pPr>
              <w:pStyle w:val="Tabletext"/>
              <w:rPr>
                <w:lang w:eastAsia="en-GB"/>
              </w:rPr>
            </w:pPr>
            <w:r w:rsidRPr="00490C53">
              <w:t>Between 175,000 and 200,000</w:t>
            </w:r>
          </w:p>
        </w:tc>
        <w:tc>
          <w:tcPr>
            <w:tcW w:w="1117" w:type="pct"/>
            <w:noWrap/>
            <w:vAlign w:val="center"/>
          </w:tcPr>
          <w:p w14:paraId="03EC2D29" w14:textId="77777777" w:rsidR="00D267D5" w:rsidRPr="00490C53" w:rsidRDefault="00D267D5">
            <w:pPr>
              <w:pStyle w:val="Tabletext"/>
              <w:jc w:val="right"/>
              <w:rPr>
                <w:lang w:eastAsia="en-GB"/>
              </w:rPr>
            </w:pPr>
            <w:r w:rsidRPr="00490C53">
              <w:rPr>
                <w:rFonts w:cstheme="minorHAnsi"/>
                <w:szCs w:val="24"/>
              </w:rPr>
              <w:t>1.4%</w:t>
            </w:r>
          </w:p>
        </w:tc>
        <w:tc>
          <w:tcPr>
            <w:tcW w:w="1160" w:type="pct"/>
            <w:noWrap/>
            <w:vAlign w:val="center"/>
          </w:tcPr>
          <w:p w14:paraId="168D1DF7"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6C16A28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7C751C8" w14:textId="77777777" w:rsidR="00D267D5" w:rsidRPr="00490C53" w:rsidRDefault="00D267D5">
            <w:pPr>
              <w:pStyle w:val="Tabletext"/>
              <w:rPr>
                <w:lang w:eastAsia="en-GB"/>
              </w:rPr>
            </w:pPr>
          </w:p>
        </w:tc>
        <w:tc>
          <w:tcPr>
            <w:tcW w:w="1746" w:type="pct"/>
            <w:noWrap/>
            <w:vAlign w:val="top"/>
          </w:tcPr>
          <w:p w14:paraId="649945F0" w14:textId="77777777" w:rsidR="00D267D5" w:rsidRPr="00490C53" w:rsidRDefault="00D267D5">
            <w:pPr>
              <w:pStyle w:val="Tabletext"/>
              <w:rPr>
                <w:lang w:eastAsia="en-GB"/>
              </w:rPr>
            </w:pPr>
            <w:r w:rsidRPr="00490C53">
              <w:t>Between 200,000 and 250,000</w:t>
            </w:r>
          </w:p>
        </w:tc>
        <w:tc>
          <w:tcPr>
            <w:tcW w:w="1117" w:type="pct"/>
            <w:noWrap/>
            <w:vAlign w:val="center"/>
          </w:tcPr>
          <w:p w14:paraId="671CF1AF" w14:textId="77777777" w:rsidR="00D267D5" w:rsidRPr="00490C53" w:rsidRDefault="00D267D5">
            <w:pPr>
              <w:pStyle w:val="Tabletext"/>
              <w:jc w:val="right"/>
              <w:rPr>
                <w:lang w:eastAsia="en-GB"/>
              </w:rPr>
            </w:pPr>
            <w:r w:rsidRPr="00490C53">
              <w:rPr>
                <w:rFonts w:cstheme="minorHAnsi"/>
                <w:szCs w:val="24"/>
              </w:rPr>
              <w:t>1.5%</w:t>
            </w:r>
          </w:p>
        </w:tc>
        <w:tc>
          <w:tcPr>
            <w:tcW w:w="1160" w:type="pct"/>
            <w:noWrap/>
            <w:vAlign w:val="center"/>
          </w:tcPr>
          <w:p w14:paraId="5C70BD2F"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26A75E1D" w14:textId="77777777">
        <w:tblPrEx>
          <w:tblCellMar>
            <w:left w:w="108" w:type="dxa"/>
            <w:right w:w="108" w:type="dxa"/>
          </w:tblCellMar>
        </w:tblPrEx>
        <w:trPr>
          <w:trHeight w:val="290"/>
        </w:trPr>
        <w:tc>
          <w:tcPr>
            <w:tcW w:w="977" w:type="pct"/>
            <w:noWrap/>
            <w:vAlign w:val="top"/>
          </w:tcPr>
          <w:p w14:paraId="3B65981E" w14:textId="77777777" w:rsidR="00D267D5" w:rsidRPr="00490C53" w:rsidRDefault="00D267D5">
            <w:pPr>
              <w:pStyle w:val="Tabletext"/>
              <w:rPr>
                <w:lang w:eastAsia="en-GB"/>
              </w:rPr>
            </w:pPr>
          </w:p>
        </w:tc>
        <w:tc>
          <w:tcPr>
            <w:tcW w:w="1746" w:type="pct"/>
            <w:noWrap/>
            <w:vAlign w:val="top"/>
          </w:tcPr>
          <w:p w14:paraId="43897B9C" w14:textId="77777777" w:rsidR="00D267D5" w:rsidRPr="00490C53" w:rsidRDefault="00D267D5">
            <w:pPr>
              <w:pStyle w:val="Tabletext"/>
              <w:rPr>
                <w:lang w:eastAsia="en-GB"/>
              </w:rPr>
            </w:pPr>
            <w:r w:rsidRPr="00490C53">
              <w:t>Between 250,000 and 350,000</w:t>
            </w:r>
          </w:p>
        </w:tc>
        <w:tc>
          <w:tcPr>
            <w:tcW w:w="1117" w:type="pct"/>
            <w:noWrap/>
            <w:vAlign w:val="center"/>
          </w:tcPr>
          <w:p w14:paraId="0C57D8CE" w14:textId="77777777" w:rsidR="00D267D5" w:rsidRPr="00490C53" w:rsidRDefault="00D267D5">
            <w:pPr>
              <w:pStyle w:val="Tabletext"/>
              <w:jc w:val="right"/>
              <w:rPr>
                <w:lang w:eastAsia="en-GB"/>
              </w:rPr>
            </w:pPr>
            <w:r w:rsidRPr="00490C53">
              <w:rPr>
                <w:rFonts w:cstheme="minorHAnsi"/>
                <w:szCs w:val="24"/>
              </w:rPr>
              <w:t>0.1%</w:t>
            </w:r>
          </w:p>
        </w:tc>
        <w:tc>
          <w:tcPr>
            <w:tcW w:w="1160" w:type="pct"/>
            <w:noWrap/>
            <w:vAlign w:val="center"/>
          </w:tcPr>
          <w:p w14:paraId="2125151B" w14:textId="77777777" w:rsidR="00D267D5" w:rsidRPr="00490C53" w:rsidRDefault="00D267D5">
            <w:pPr>
              <w:pStyle w:val="Tabletext"/>
              <w:jc w:val="right"/>
              <w:rPr>
                <w:lang w:eastAsia="en-GB"/>
              </w:rPr>
            </w:pPr>
            <w:r w:rsidRPr="00490C53">
              <w:rPr>
                <w:rFonts w:cstheme="minorHAnsi"/>
                <w:szCs w:val="24"/>
              </w:rPr>
              <w:t>0.4%</w:t>
            </w:r>
          </w:p>
        </w:tc>
      </w:tr>
      <w:tr w:rsidR="00D267D5" w:rsidRPr="00490C53" w14:paraId="580E204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DD245F0" w14:textId="77777777" w:rsidR="00D267D5" w:rsidRPr="00490C53" w:rsidRDefault="00D267D5">
            <w:pPr>
              <w:pStyle w:val="Tabletext"/>
              <w:rPr>
                <w:lang w:eastAsia="en-GB"/>
              </w:rPr>
            </w:pPr>
          </w:p>
        </w:tc>
        <w:tc>
          <w:tcPr>
            <w:tcW w:w="1746" w:type="pct"/>
            <w:noWrap/>
            <w:vAlign w:val="top"/>
          </w:tcPr>
          <w:p w14:paraId="06D20C5D" w14:textId="77777777" w:rsidR="00D267D5" w:rsidRPr="00490C53" w:rsidRDefault="00D267D5">
            <w:pPr>
              <w:pStyle w:val="Tabletext"/>
              <w:rPr>
                <w:lang w:eastAsia="en-GB"/>
              </w:rPr>
            </w:pPr>
            <w:r w:rsidRPr="00490C53">
              <w:t>Between 350,000 and 500,000</w:t>
            </w:r>
          </w:p>
        </w:tc>
        <w:tc>
          <w:tcPr>
            <w:tcW w:w="1117" w:type="pct"/>
            <w:noWrap/>
            <w:vAlign w:val="center"/>
          </w:tcPr>
          <w:p w14:paraId="43310F25" w14:textId="77777777" w:rsidR="00D267D5" w:rsidRPr="00490C53" w:rsidRDefault="00D267D5">
            <w:pPr>
              <w:pStyle w:val="Tabletext"/>
              <w:jc w:val="right"/>
              <w:rPr>
                <w:lang w:eastAsia="en-GB"/>
              </w:rPr>
            </w:pPr>
            <w:r w:rsidRPr="00490C53">
              <w:rPr>
                <w:rFonts w:cstheme="minorHAnsi"/>
                <w:szCs w:val="24"/>
              </w:rPr>
              <w:t>3.0%</w:t>
            </w:r>
          </w:p>
        </w:tc>
        <w:tc>
          <w:tcPr>
            <w:tcW w:w="1160" w:type="pct"/>
            <w:noWrap/>
            <w:vAlign w:val="center"/>
          </w:tcPr>
          <w:p w14:paraId="4C1EE398"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01360A1A" w14:textId="77777777">
        <w:tblPrEx>
          <w:tblCellMar>
            <w:left w:w="108" w:type="dxa"/>
            <w:right w:w="108" w:type="dxa"/>
          </w:tblCellMar>
        </w:tblPrEx>
        <w:trPr>
          <w:trHeight w:val="290"/>
        </w:trPr>
        <w:tc>
          <w:tcPr>
            <w:tcW w:w="977" w:type="pct"/>
            <w:noWrap/>
            <w:vAlign w:val="top"/>
          </w:tcPr>
          <w:p w14:paraId="30F9FAE5" w14:textId="77777777" w:rsidR="00D267D5" w:rsidRPr="00490C53" w:rsidRDefault="00D267D5">
            <w:pPr>
              <w:pStyle w:val="Tabletext"/>
              <w:rPr>
                <w:lang w:eastAsia="en-GB"/>
              </w:rPr>
            </w:pPr>
          </w:p>
        </w:tc>
        <w:tc>
          <w:tcPr>
            <w:tcW w:w="1746" w:type="pct"/>
            <w:noWrap/>
            <w:vAlign w:val="top"/>
          </w:tcPr>
          <w:p w14:paraId="011B03A1" w14:textId="77777777" w:rsidR="00D267D5" w:rsidRPr="00490C53" w:rsidRDefault="00D267D5">
            <w:pPr>
              <w:pStyle w:val="Tabletext"/>
              <w:rPr>
                <w:lang w:eastAsia="en-GB"/>
              </w:rPr>
            </w:pPr>
            <w:r w:rsidRPr="00490C53">
              <w:t>Between 500,000 and 1 million</w:t>
            </w:r>
          </w:p>
        </w:tc>
        <w:tc>
          <w:tcPr>
            <w:tcW w:w="1117" w:type="pct"/>
            <w:noWrap/>
            <w:vAlign w:val="center"/>
          </w:tcPr>
          <w:p w14:paraId="0466E234" w14:textId="77777777" w:rsidR="00D267D5" w:rsidRPr="00490C53" w:rsidRDefault="00D267D5">
            <w:pPr>
              <w:pStyle w:val="Tabletext"/>
              <w:jc w:val="right"/>
              <w:rPr>
                <w:lang w:eastAsia="en-GB"/>
              </w:rPr>
            </w:pPr>
            <w:r w:rsidRPr="00490C53">
              <w:rPr>
                <w:rFonts w:cstheme="minorHAnsi"/>
                <w:szCs w:val="24"/>
              </w:rPr>
              <w:t>6.5%</w:t>
            </w:r>
          </w:p>
        </w:tc>
        <w:tc>
          <w:tcPr>
            <w:tcW w:w="1160" w:type="pct"/>
            <w:noWrap/>
            <w:vAlign w:val="center"/>
          </w:tcPr>
          <w:p w14:paraId="7A008688"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5B4F201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112E30E2" w14:textId="77777777" w:rsidR="00D267D5" w:rsidRPr="00490C53" w:rsidRDefault="00D267D5">
            <w:pPr>
              <w:pStyle w:val="Tabletext"/>
              <w:rPr>
                <w:lang w:eastAsia="en-GB"/>
              </w:rPr>
            </w:pPr>
          </w:p>
        </w:tc>
        <w:tc>
          <w:tcPr>
            <w:tcW w:w="1746" w:type="pct"/>
            <w:noWrap/>
            <w:vAlign w:val="top"/>
          </w:tcPr>
          <w:p w14:paraId="341612BD" w14:textId="77777777" w:rsidR="00D267D5" w:rsidRPr="00490C53" w:rsidRDefault="00D267D5">
            <w:pPr>
              <w:pStyle w:val="Tabletext"/>
              <w:rPr>
                <w:lang w:eastAsia="en-GB"/>
              </w:rPr>
            </w:pPr>
            <w:r w:rsidRPr="00490C53">
              <w:t>Between 1 million and 5 million</w:t>
            </w:r>
          </w:p>
        </w:tc>
        <w:tc>
          <w:tcPr>
            <w:tcW w:w="1117" w:type="pct"/>
            <w:noWrap/>
            <w:vAlign w:val="center"/>
          </w:tcPr>
          <w:p w14:paraId="4DD9AA53" w14:textId="77777777" w:rsidR="00D267D5" w:rsidRPr="00490C53" w:rsidRDefault="00D267D5">
            <w:pPr>
              <w:pStyle w:val="Tabletext"/>
              <w:jc w:val="right"/>
              <w:rPr>
                <w:lang w:eastAsia="en-GB"/>
              </w:rPr>
            </w:pPr>
            <w:r w:rsidRPr="00490C53">
              <w:rPr>
                <w:rFonts w:cstheme="minorHAnsi"/>
                <w:szCs w:val="24"/>
              </w:rPr>
              <w:t>21.1%</w:t>
            </w:r>
          </w:p>
        </w:tc>
        <w:tc>
          <w:tcPr>
            <w:tcW w:w="1160" w:type="pct"/>
            <w:noWrap/>
            <w:vAlign w:val="center"/>
          </w:tcPr>
          <w:p w14:paraId="32680330" w14:textId="77777777" w:rsidR="00D267D5" w:rsidRPr="00490C53" w:rsidRDefault="00D267D5">
            <w:pPr>
              <w:pStyle w:val="Tabletext"/>
              <w:jc w:val="right"/>
              <w:rPr>
                <w:lang w:eastAsia="en-GB"/>
              </w:rPr>
            </w:pPr>
            <w:r w:rsidRPr="00490C53">
              <w:rPr>
                <w:rFonts w:cstheme="minorHAnsi"/>
                <w:szCs w:val="24"/>
              </w:rPr>
              <w:t>0.8%</w:t>
            </w:r>
          </w:p>
        </w:tc>
      </w:tr>
      <w:tr w:rsidR="00D267D5" w:rsidRPr="00490C53" w14:paraId="227A2052" w14:textId="77777777">
        <w:tblPrEx>
          <w:tblCellMar>
            <w:left w:w="108" w:type="dxa"/>
            <w:right w:w="108" w:type="dxa"/>
          </w:tblCellMar>
        </w:tblPrEx>
        <w:trPr>
          <w:trHeight w:val="290"/>
        </w:trPr>
        <w:tc>
          <w:tcPr>
            <w:tcW w:w="977" w:type="pct"/>
            <w:noWrap/>
            <w:vAlign w:val="top"/>
          </w:tcPr>
          <w:p w14:paraId="058F7338" w14:textId="77777777" w:rsidR="00D267D5" w:rsidRPr="00490C53" w:rsidRDefault="00D267D5">
            <w:pPr>
              <w:pStyle w:val="Tabletext"/>
              <w:rPr>
                <w:lang w:eastAsia="en-GB"/>
              </w:rPr>
            </w:pPr>
          </w:p>
        </w:tc>
        <w:tc>
          <w:tcPr>
            <w:tcW w:w="1746" w:type="pct"/>
            <w:noWrap/>
            <w:vAlign w:val="center"/>
          </w:tcPr>
          <w:p w14:paraId="6B43E2CA" w14:textId="77777777" w:rsidR="00D267D5" w:rsidRPr="00490C53" w:rsidRDefault="00D267D5">
            <w:pPr>
              <w:pStyle w:val="Tabletext"/>
            </w:pPr>
            <w:r w:rsidRPr="00490C53">
              <w:t>Between 5 million and 25 million</w:t>
            </w:r>
          </w:p>
        </w:tc>
        <w:tc>
          <w:tcPr>
            <w:tcW w:w="1117" w:type="pct"/>
            <w:noWrap/>
            <w:vAlign w:val="center"/>
          </w:tcPr>
          <w:p w14:paraId="2660491C" w14:textId="77777777" w:rsidR="00D267D5" w:rsidRPr="00490C53" w:rsidRDefault="00D267D5">
            <w:pPr>
              <w:pStyle w:val="Tabletext"/>
              <w:jc w:val="right"/>
              <w:rPr>
                <w:rFonts w:cstheme="minorHAnsi"/>
                <w:szCs w:val="24"/>
              </w:rPr>
            </w:pPr>
            <w:r w:rsidRPr="00490C53">
              <w:rPr>
                <w:rFonts w:cstheme="minorHAnsi"/>
                <w:szCs w:val="24"/>
              </w:rPr>
              <w:t>23.0%</w:t>
            </w:r>
          </w:p>
        </w:tc>
        <w:tc>
          <w:tcPr>
            <w:tcW w:w="1160" w:type="pct"/>
            <w:noWrap/>
            <w:vAlign w:val="center"/>
          </w:tcPr>
          <w:p w14:paraId="56E17609" w14:textId="77777777" w:rsidR="00D267D5" w:rsidRPr="00490C53" w:rsidRDefault="00D267D5">
            <w:pPr>
              <w:pStyle w:val="Tabletext"/>
              <w:jc w:val="right"/>
              <w:rPr>
                <w:rFonts w:cstheme="minorHAnsi"/>
                <w:szCs w:val="24"/>
              </w:rPr>
            </w:pPr>
            <w:r w:rsidRPr="00490C53">
              <w:rPr>
                <w:rFonts w:cstheme="minorHAnsi"/>
                <w:szCs w:val="24"/>
              </w:rPr>
              <w:t>0.5%</w:t>
            </w:r>
          </w:p>
        </w:tc>
      </w:tr>
      <w:tr w:rsidR="00D267D5" w:rsidRPr="00490C53" w14:paraId="130D69F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236B697" w14:textId="77777777" w:rsidR="00D267D5" w:rsidRPr="00490C53" w:rsidRDefault="00D267D5">
            <w:pPr>
              <w:pStyle w:val="Tabletext"/>
              <w:rPr>
                <w:lang w:eastAsia="en-GB"/>
              </w:rPr>
            </w:pPr>
          </w:p>
        </w:tc>
        <w:tc>
          <w:tcPr>
            <w:tcW w:w="1746" w:type="pct"/>
            <w:noWrap/>
            <w:vAlign w:val="center"/>
          </w:tcPr>
          <w:p w14:paraId="48079FAA" w14:textId="77777777" w:rsidR="00D267D5" w:rsidRPr="00490C53" w:rsidRDefault="00D267D5">
            <w:pPr>
              <w:pStyle w:val="Tabletext"/>
            </w:pPr>
            <w:r w:rsidRPr="00490C53">
              <w:t>Between 25 million and 100 million</w:t>
            </w:r>
          </w:p>
        </w:tc>
        <w:tc>
          <w:tcPr>
            <w:tcW w:w="1117" w:type="pct"/>
            <w:noWrap/>
            <w:vAlign w:val="center"/>
          </w:tcPr>
          <w:p w14:paraId="67850A4E" w14:textId="77777777" w:rsidR="00D267D5" w:rsidRPr="00490C53" w:rsidRDefault="00D267D5">
            <w:pPr>
              <w:pStyle w:val="Tabletext"/>
              <w:jc w:val="right"/>
              <w:rPr>
                <w:rFonts w:cstheme="minorHAnsi"/>
                <w:szCs w:val="24"/>
              </w:rPr>
            </w:pPr>
            <w:r w:rsidRPr="00490C53">
              <w:rPr>
                <w:rFonts w:cstheme="minorHAnsi"/>
                <w:szCs w:val="24"/>
              </w:rPr>
              <w:t>4.2%</w:t>
            </w:r>
          </w:p>
        </w:tc>
        <w:tc>
          <w:tcPr>
            <w:tcW w:w="1160" w:type="pct"/>
            <w:noWrap/>
            <w:vAlign w:val="center"/>
          </w:tcPr>
          <w:p w14:paraId="75E95276" w14:textId="77777777" w:rsidR="00D267D5" w:rsidRPr="00490C53" w:rsidRDefault="00D267D5">
            <w:pPr>
              <w:pStyle w:val="Tabletext"/>
              <w:jc w:val="right"/>
              <w:rPr>
                <w:rFonts w:cstheme="minorHAnsi"/>
                <w:szCs w:val="24"/>
              </w:rPr>
            </w:pPr>
            <w:r w:rsidRPr="00490C53">
              <w:rPr>
                <w:rFonts w:cstheme="minorHAnsi"/>
                <w:szCs w:val="24"/>
              </w:rPr>
              <w:t>0.1%</w:t>
            </w:r>
          </w:p>
        </w:tc>
      </w:tr>
      <w:tr w:rsidR="00D267D5" w:rsidRPr="00490C53" w14:paraId="27EA4EF0" w14:textId="77777777">
        <w:tblPrEx>
          <w:tblCellMar>
            <w:left w:w="108" w:type="dxa"/>
            <w:right w:w="108" w:type="dxa"/>
          </w:tblCellMar>
        </w:tblPrEx>
        <w:trPr>
          <w:trHeight w:val="290"/>
        </w:trPr>
        <w:tc>
          <w:tcPr>
            <w:tcW w:w="977" w:type="pct"/>
            <w:noWrap/>
            <w:vAlign w:val="top"/>
          </w:tcPr>
          <w:p w14:paraId="04A5D36A" w14:textId="77777777" w:rsidR="00D267D5" w:rsidRPr="00490C53" w:rsidRDefault="00D267D5">
            <w:pPr>
              <w:pStyle w:val="Tabletext"/>
              <w:rPr>
                <w:lang w:eastAsia="en-GB"/>
              </w:rPr>
            </w:pPr>
          </w:p>
        </w:tc>
        <w:tc>
          <w:tcPr>
            <w:tcW w:w="1746" w:type="pct"/>
            <w:noWrap/>
            <w:vAlign w:val="center"/>
          </w:tcPr>
          <w:p w14:paraId="68AC37F6" w14:textId="77777777" w:rsidR="00D267D5" w:rsidRPr="00490C53" w:rsidRDefault="00D267D5">
            <w:pPr>
              <w:pStyle w:val="Tabletext"/>
            </w:pPr>
            <w:r w:rsidRPr="00490C53">
              <w:t>More than 100 million</w:t>
            </w:r>
          </w:p>
        </w:tc>
        <w:tc>
          <w:tcPr>
            <w:tcW w:w="1117" w:type="pct"/>
            <w:noWrap/>
            <w:vAlign w:val="center"/>
          </w:tcPr>
          <w:p w14:paraId="31EBC9E2" w14:textId="77777777" w:rsidR="00D267D5" w:rsidRPr="00490C53" w:rsidRDefault="00D267D5">
            <w:pPr>
              <w:pStyle w:val="Tabletext"/>
              <w:jc w:val="right"/>
              <w:rPr>
                <w:rFonts w:cstheme="minorHAnsi"/>
                <w:szCs w:val="24"/>
              </w:rPr>
            </w:pPr>
            <w:r w:rsidRPr="00490C53">
              <w:rPr>
                <w:rFonts w:cstheme="minorHAnsi"/>
                <w:szCs w:val="24"/>
              </w:rPr>
              <w:t>0.2%</w:t>
            </w:r>
          </w:p>
        </w:tc>
        <w:tc>
          <w:tcPr>
            <w:tcW w:w="1160" w:type="pct"/>
            <w:noWrap/>
            <w:vAlign w:val="center"/>
          </w:tcPr>
          <w:p w14:paraId="3DACC40F" w14:textId="77777777" w:rsidR="00D267D5" w:rsidRPr="00490C53" w:rsidRDefault="00D267D5">
            <w:pPr>
              <w:pStyle w:val="Tabletext"/>
              <w:jc w:val="right"/>
              <w:rPr>
                <w:rFonts w:cstheme="minorHAnsi"/>
                <w:szCs w:val="24"/>
              </w:rPr>
            </w:pPr>
            <w:r w:rsidRPr="00490C53">
              <w:rPr>
                <w:rFonts w:cstheme="minorHAnsi"/>
                <w:szCs w:val="24"/>
              </w:rPr>
              <w:t>0.0%</w:t>
            </w:r>
          </w:p>
        </w:tc>
      </w:tr>
      <w:tr w:rsidR="00D267D5" w:rsidRPr="00490C53" w14:paraId="6D1D9A7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2E31EB5" w14:textId="77777777" w:rsidR="00D267D5" w:rsidRPr="00490C53" w:rsidRDefault="00D267D5">
            <w:pPr>
              <w:pStyle w:val="Tabletext"/>
              <w:rPr>
                <w:lang w:eastAsia="en-GB"/>
              </w:rPr>
            </w:pPr>
            <w:r w:rsidRPr="00490C53">
              <w:rPr>
                <w:b/>
                <w:bCs/>
              </w:rPr>
              <w:t>Employment</w:t>
            </w:r>
          </w:p>
        </w:tc>
        <w:tc>
          <w:tcPr>
            <w:tcW w:w="1746" w:type="pct"/>
            <w:noWrap/>
            <w:vAlign w:val="top"/>
          </w:tcPr>
          <w:p w14:paraId="3E1DF792" w14:textId="77777777" w:rsidR="00D267D5" w:rsidRPr="00490C53" w:rsidRDefault="00D267D5">
            <w:pPr>
              <w:pStyle w:val="Tabletext"/>
              <w:rPr>
                <w:lang w:eastAsia="en-GB"/>
              </w:rPr>
            </w:pPr>
            <w:r w:rsidRPr="00490C53">
              <w:t>1 employee</w:t>
            </w:r>
          </w:p>
        </w:tc>
        <w:tc>
          <w:tcPr>
            <w:tcW w:w="1117" w:type="pct"/>
            <w:noWrap/>
            <w:vAlign w:val="center"/>
          </w:tcPr>
          <w:p w14:paraId="1EAF7282" w14:textId="77777777" w:rsidR="00D267D5" w:rsidRPr="00490C53" w:rsidRDefault="00D267D5">
            <w:pPr>
              <w:pStyle w:val="Tabletext"/>
              <w:jc w:val="right"/>
              <w:rPr>
                <w:lang w:eastAsia="en-GB"/>
              </w:rPr>
            </w:pPr>
            <w:r w:rsidRPr="00490C53">
              <w:rPr>
                <w:rFonts w:cstheme="minorHAnsi"/>
                <w:szCs w:val="24"/>
              </w:rPr>
              <w:t>45.1%</w:t>
            </w:r>
          </w:p>
        </w:tc>
        <w:tc>
          <w:tcPr>
            <w:tcW w:w="1160" w:type="pct"/>
            <w:noWrap/>
            <w:vAlign w:val="center"/>
          </w:tcPr>
          <w:p w14:paraId="4BC8B03B"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4EC03287" w14:textId="77777777">
        <w:tblPrEx>
          <w:tblCellMar>
            <w:left w:w="108" w:type="dxa"/>
            <w:right w:w="108" w:type="dxa"/>
          </w:tblCellMar>
        </w:tblPrEx>
        <w:trPr>
          <w:trHeight w:val="290"/>
        </w:trPr>
        <w:tc>
          <w:tcPr>
            <w:tcW w:w="977" w:type="pct"/>
            <w:noWrap/>
            <w:vAlign w:val="top"/>
          </w:tcPr>
          <w:p w14:paraId="23BB37DF" w14:textId="77777777" w:rsidR="00D267D5" w:rsidRPr="00490C53" w:rsidRDefault="00D267D5">
            <w:pPr>
              <w:pStyle w:val="Tabletext"/>
              <w:rPr>
                <w:lang w:eastAsia="en-GB"/>
              </w:rPr>
            </w:pPr>
          </w:p>
        </w:tc>
        <w:tc>
          <w:tcPr>
            <w:tcW w:w="1746" w:type="pct"/>
            <w:noWrap/>
            <w:vAlign w:val="top"/>
          </w:tcPr>
          <w:p w14:paraId="605B36DC" w14:textId="77777777" w:rsidR="00D267D5" w:rsidRPr="00490C53" w:rsidRDefault="00D267D5">
            <w:pPr>
              <w:pStyle w:val="Tabletext"/>
              <w:rPr>
                <w:lang w:eastAsia="en-GB"/>
              </w:rPr>
            </w:pPr>
            <w:r w:rsidRPr="00490C53">
              <w:t>2-3 employees</w:t>
            </w:r>
          </w:p>
        </w:tc>
        <w:tc>
          <w:tcPr>
            <w:tcW w:w="1117" w:type="pct"/>
            <w:noWrap/>
            <w:vAlign w:val="center"/>
          </w:tcPr>
          <w:p w14:paraId="26546F63" w14:textId="77777777" w:rsidR="00D267D5" w:rsidRPr="00490C53" w:rsidRDefault="00D267D5">
            <w:pPr>
              <w:pStyle w:val="Tabletext"/>
              <w:jc w:val="right"/>
              <w:rPr>
                <w:lang w:eastAsia="en-GB"/>
              </w:rPr>
            </w:pPr>
            <w:r w:rsidRPr="00490C53">
              <w:rPr>
                <w:rFonts w:cstheme="minorHAnsi"/>
                <w:szCs w:val="24"/>
              </w:rPr>
              <w:t>11.4%</w:t>
            </w:r>
          </w:p>
        </w:tc>
        <w:tc>
          <w:tcPr>
            <w:tcW w:w="1160" w:type="pct"/>
            <w:noWrap/>
            <w:vAlign w:val="center"/>
          </w:tcPr>
          <w:p w14:paraId="1041FE29"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328C24C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E5F3165" w14:textId="77777777" w:rsidR="00D267D5" w:rsidRPr="00490C53" w:rsidRDefault="00D267D5">
            <w:pPr>
              <w:pStyle w:val="Tabletext"/>
              <w:rPr>
                <w:lang w:eastAsia="en-GB"/>
              </w:rPr>
            </w:pPr>
          </w:p>
        </w:tc>
        <w:tc>
          <w:tcPr>
            <w:tcW w:w="1746" w:type="pct"/>
            <w:noWrap/>
            <w:vAlign w:val="top"/>
          </w:tcPr>
          <w:p w14:paraId="64F6CD0D" w14:textId="77777777" w:rsidR="00D267D5" w:rsidRPr="00490C53" w:rsidRDefault="00D267D5">
            <w:pPr>
              <w:pStyle w:val="Tabletext"/>
              <w:rPr>
                <w:lang w:eastAsia="en-GB"/>
              </w:rPr>
            </w:pPr>
            <w:r w:rsidRPr="00490C53">
              <w:t>4-5 employees</w:t>
            </w:r>
          </w:p>
        </w:tc>
        <w:tc>
          <w:tcPr>
            <w:tcW w:w="1117" w:type="pct"/>
            <w:noWrap/>
            <w:vAlign w:val="center"/>
          </w:tcPr>
          <w:p w14:paraId="6B2551FF" w14:textId="77777777" w:rsidR="00D267D5" w:rsidRPr="00490C53" w:rsidRDefault="00D267D5">
            <w:pPr>
              <w:pStyle w:val="Tabletext"/>
              <w:jc w:val="right"/>
              <w:rPr>
                <w:lang w:eastAsia="en-GB"/>
              </w:rPr>
            </w:pPr>
            <w:r w:rsidRPr="00490C53">
              <w:rPr>
                <w:rFonts w:cstheme="minorHAnsi"/>
                <w:szCs w:val="24"/>
              </w:rPr>
              <w:t>1.8%</w:t>
            </w:r>
          </w:p>
        </w:tc>
        <w:tc>
          <w:tcPr>
            <w:tcW w:w="1160" w:type="pct"/>
            <w:noWrap/>
            <w:vAlign w:val="center"/>
          </w:tcPr>
          <w:p w14:paraId="11C7A185"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28A07375" w14:textId="77777777">
        <w:tblPrEx>
          <w:tblCellMar>
            <w:left w:w="108" w:type="dxa"/>
            <w:right w:w="108" w:type="dxa"/>
          </w:tblCellMar>
        </w:tblPrEx>
        <w:trPr>
          <w:trHeight w:val="290"/>
        </w:trPr>
        <w:tc>
          <w:tcPr>
            <w:tcW w:w="977" w:type="pct"/>
            <w:noWrap/>
            <w:vAlign w:val="top"/>
          </w:tcPr>
          <w:p w14:paraId="456C1912" w14:textId="77777777" w:rsidR="00D267D5" w:rsidRPr="00490C53" w:rsidRDefault="00D267D5">
            <w:pPr>
              <w:pStyle w:val="Tabletext"/>
              <w:rPr>
                <w:lang w:eastAsia="en-GB"/>
              </w:rPr>
            </w:pPr>
          </w:p>
        </w:tc>
        <w:tc>
          <w:tcPr>
            <w:tcW w:w="1746" w:type="pct"/>
            <w:noWrap/>
            <w:vAlign w:val="top"/>
          </w:tcPr>
          <w:p w14:paraId="5F0AB083" w14:textId="77777777" w:rsidR="00D267D5" w:rsidRPr="00490C53" w:rsidRDefault="00D267D5">
            <w:pPr>
              <w:pStyle w:val="Tabletext"/>
              <w:rPr>
                <w:lang w:eastAsia="en-GB"/>
              </w:rPr>
            </w:pPr>
            <w:r w:rsidRPr="00490C53">
              <w:t>6-7 employees</w:t>
            </w:r>
          </w:p>
        </w:tc>
        <w:tc>
          <w:tcPr>
            <w:tcW w:w="1117" w:type="pct"/>
            <w:noWrap/>
            <w:vAlign w:val="center"/>
          </w:tcPr>
          <w:p w14:paraId="38227DC9" w14:textId="77777777" w:rsidR="00D267D5" w:rsidRPr="00490C53" w:rsidRDefault="00D267D5">
            <w:pPr>
              <w:pStyle w:val="Tabletext"/>
              <w:jc w:val="right"/>
              <w:rPr>
                <w:lang w:eastAsia="en-GB"/>
              </w:rPr>
            </w:pPr>
            <w:r w:rsidRPr="00490C53">
              <w:rPr>
                <w:rFonts w:cstheme="minorHAnsi"/>
                <w:szCs w:val="24"/>
              </w:rPr>
              <w:t>3.2%</w:t>
            </w:r>
          </w:p>
        </w:tc>
        <w:tc>
          <w:tcPr>
            <w:tcW w:w="1160" w:type="pct"/>
            <w:noWrap/>
            <w:vAlign w:val="center"/>
          </w:tcPr>
          <w:p w14:paraId="1E406CF3"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3EEA6D9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E7A066E" w14:textId="77777777" w:rsidR="00D267D5" w:rsidRPr="00490C53" w:rsidRDefault="00D267D5">
            <w:pPr>
              <w:pStyle w:val="Tabletext"/>
              <w:rPr>
                <w:lang w:eastAsia="en-GB"/>
              </w:rPr>
            </w:pPr>
          </w:p>
        </w:tc>
        <w:tc>
          <w:tcPr>
            <w:tcW w:w="1746" w:type="pct"/>
            <w:noWrap/>
            <w:vAlign w:val="top"/>
          </w:tcPr>
          <w:p w14:paraId="1A5562E9" w14:textId="77777777" w:rsidR="00D267D5" w:rsidRPr="00490C53" w:rsidRDefault="00D267D5">
            <w:pPr>
              <w:pStyle w:val="Tabletext"/>
              <w:rPr>
                <w:lang w:eastAsia="en-GB"/>
              </w:rPr>
            </w:pPr>
            <w:r w:rsidRPr="00490C53">
              <w:t>8-9 employees</w:t>
            </w:r>
          </w:p>
        </w:tc>
        <w:tc>
          <w:tcPr>
            <w:tcW w:w="1117" w:type="pct"/>
            <w:noWrap/>
            <w:vAlign w:val="center"/>
          </w:tcPr>
          <w:p w14:paraId="58C039EB" w14:textId="77777777" w:rsidR="00D267D5" w:rsidRPr="00490C53" w:rsidRDefault="00D267D5">
            <w:pPr>
              <w:pStyle w:val="Tabletext"/>
              <w:jc w:val="right"/>
              <w:rPr>
                <w:lang w:eastAsia="en-GB"/>
              </w:rPr>
            </w:pPr>
            <w:r w:rsidRPr="00490C53">
              <w:rPr>
                <w:rFonts w:cstheme="minorHAnsi"/>
                <w:szCs w:val="24"/>
              </w:rPr>
              <w:t>3.5%</w:t>
            </w:r>
          </w:p>
        </w:tc>
        <w:tc>
          <w:tcPr>
            <w:tcW w:w="1160" w:type="pct"/>
            <w:noWrap/>
            <w:vAlign w:val="center"/>
          </w:tcPr>
          <w:p w14:paraId="617ACBD4" w14:textId="77777777" w:rsidR="00D267D5" w:rsidRPr="00490C53" w:rsidRDefault="00D267D5">
            <w:pPr>
              <w:pStyle w:val="Tabletext"/>
              <w:jc w:val="right"/>
              <w:rPr>
                <w:lang w:eastAsia="en-GB"/>
              </w:rPr>
            </w:pPr>
            <w:r w:rsidRPr="00490C53">
              <w:rPr>
                <w:rFonts w:cstheme="minorHAnsi"/>
                <w:szCs w:val="24"/>
              </w:rPr>
              <w:t>0.3%</w:t>
            </w:r>
          </w:p>
        </w:tc>
      </w:tr>
      <w:tr w:rsidR="00D267D5" w:rsidRPr="00490C53" w14:paraId="02FE8F2F" w14:textId="77777777">
        <w:tblPrEx>
          <w:tblCellMar>
            <w:left w:w="108" w:type="dxa"/>
            <w:right w:w="108" w:type="dxa"/>
          </w:tblCellMar>
        </w:tblPrEx>
        <w:trPr>
          <w:trHeight w:val="290"/>
        </w:trPr>
        <w:tc>
          <w:tcPr>
            <w:tcW w:w="977" w:type="pct"/>
            <w:noWrap/>
            <w:vAlign w:val="top"/>
          </w:tcPr>
          <w:p w14:paraId="427B1112" w14:textId="77777777" w:rsidR="00D267D5" w:rsidRPr="00490C53" w:rsidRDefault="00D267D5">
            <w:pPr>
              <w:pStyle w:val="Tabletext"/>
              <w:rPr>
                <w:lang w:eastAsia="en-GB"/>
              </w:rPr>
            </w:pPr>
          </w:p>
        </w:tc>
        <w:tc>
          <w:tcPr>
            <w:tcW w:w="1746" w:type="pct"/>
            <w:noWrap/>
            <w:vAlign w:val="top"/>
          </w:tcPr>
          <w:p w14:paraId="064AC9DE" w14:textId="77777777" w:rsidR="00D267D5" w:rsidRPr="00490C53" w:rsidRDefault="00D267D5">
            <w:pPr>
              <w:pStyle w:val="Tabletext"/>
              <w:rPr>
                <w:lang w:eastAsia="en-GB"/>
              </w:rPr>
            </w:pPr>
            <w:r w:rsidRPr="00490C53">
              <w:t>10-14 employees</w:t>
            </w:r>
          </w:p>
        </w:tc>
        <w:tc>
          <w:tcPr>
            <w:tcW w:w="1117" w:type="pct"/>
            <w:noWrap/>
            <w:vAlign w:val="center"/>
          </w:tcPr>
          <w:p w14:paraId="7E2EF374" w14:textId="77777777" w:rsidR="00D267D5" w:rsidRPr="00490C53" w:rsidRDefault="00D267D5">
            <w:pPr>
              <w:pStyle w:val="Tabletext"/>
              <w:jc w:val="right"/>
              <w:rPr>
                <w:lang w:eastAsia="en-GB"/>
              </w:rPr>
            </w:pPr>
            <w:r w:rsidRPr="00490C53">
              <w:rPr>
                <w:rFonts w:cstheme="minorHAnsi"/>
                <w:szCs w:val="24"/>
              </w:rPr>
              <w:t>6.8%</w:t>
            </w:r>
          </w:p>
        </w:tc>
        <w:tc>
          <w:tcPr>
            <w:tcW w:w="1160" w:type="pct"/>
            <w:noWrap/>
            <w:vAlign w:val="center"/>
          </w:tcPr>
          <w:p w14:paraId="6A3EB6FA"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17D8ED4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AC7A2F0" w14:textId="77777777" w:rsidR="00D267D5" w:rsidRPr="00490C53" w:rsidRDefault="00D267D5">
            <w:pPr>
              <w:pStyle w:val="Tabletext"/>
              <w:rPr>
                <w:lang w:eastAsia="en-GB"/>
              </w:rPr>
            </w:pPr>
          </w:p>
        </w:tc>
        <w:tc>
          <w:tcPr>
            <w:tcW w:w="1746" w:type="pct"/>
            <w:noWrap/>
            <w:vAlign w:val="top"/>
          </w:tcPr>
          <w:p w14:paraId="57C2B91D" w14:textId="77777777" w:rsidR="00D267D5" w:rsidRPr="00490C53" w:rsidRDefault="00D267D5">
            <w:pPr>
              <w:pStyle w:val="Tabletext"/>
              <w:rPr>
                <w:lang w:eastAsia="en-GB"/>
              </w:rPr>
            </w:pPr>
            <w:r w:rsidRPr="00490C53">
              <w:t>15-24 employees</w:t>
            </w:r>
          </w:p>
        </w:tc>
        <w:tc>
          <w:tcPr>
            <w:tcW w:w="1117" w:type="pct"/>
            <w:noWrap/>
            <w:vAlign w:val="center"/>
          </w:tcPr>
          <w:p w14:paraId="64447BE7" w14:textId="77777777" w:rsidR="00D267D5" w:rsidRPr="00490C53" w:rsidRDefault="00D267D5">
            <w:pPr>
              <w:pStyle w:val="Tabletext"/>
              <w:jc w:val="right"/>
              <w:rPr>
                <w:lang w:eastAsia="en-GB"/>
              </w:rPr>
            </w:pPr>
            <w:r w:rsidRPr="00490C53">
              <w:rPr>
                <w:rFonts w:cstheme="minorHAnsi"/>
                <w:szCs w:val="24"/>
              </w:rPr>
              <w:t>9.7%</w:t>
            </w:r>
          </w:p>
        </w:tc>
        <w:tc>
          <w:tcPr>
            <w:tcW w:w="1160" w:type="pct"/>
            <w:noWrap/>
            <w:vAlign w:val="center"/>
          </w:tcPr>
          <w:p w14:paraId="32523C1D" w14:textId="77777777" w:rsidR="00D267D5" w:rsidRPr="00490C53" w:rsidRDefault="00D267D5">
            <w:pPr>
              <w:pStyle w:val="Tabletext"/>
              <w:jc w:val="right"/>
              <w:rPr>
                <w:lang w:eastAsia="en-GB"/>
              </w:rPr>
            </w:pPr>
            <w:r w:rsidRPr="00490C53">
              <w:rPr>
                <w:rFonts w:cstheme="minorHAnsi"/>
                <w:szCs w:val="24"/>
              </w:rPr>
              <w:t>0.3%</w:t>
            </w:r>
          </w:p>
        </w:tc>
      </w:tr>
      <w:tr w:rsidR="00D267D5" w:rsidRPr="00490C53" w14:paraId="0480C71B" w14:textId="77777777">
        <w:tblPrEx>
          <w:tblCellMar>
            <w:left w:w="108" w:type="dxa"/>
            <w:right w:w="108" w:type="dxa"/>
          </w:tblCellMar>
        </w:tblPrEx>
        <w:trPr>
          <w:trHeight w:val="290"/>
        </w:trPr>
        <w:tc>
          <w:tcPr>
            <w:tcW w:w="977" w:type="pct"/>
            <w:noWrap/>
            <w:vAlign w:val="top"/>
          </w:tcPr>
          <w:p w14:paraId="78141808" w14:textId="77777777" w:rsidR="00D267D5" w:rsidRPr="00490C53" w:rsidRDefault="00D267D5">
            <w:pPr>
              <w:pStyle w:val="Tabletext"/>
              <w:rPr>
                <w:lang w:eastAsia="en-GB"/>
              </w:rPr>
            </w:pPr>
          </w:p>
        </w:tc>
        <w:tc>
          <w:tcPr>
            <w:tcW w:w="1746" w:type="pct"/>
            <w:noWrap/>
            <w:vAlign w:val="top"/>
          </w:tcPr>
          <w:p w14:paraId="35EAD72E" w14:textId="77777777" w:rsidR="00D267D5" w:rsidRPr="00490C53" w:rsidRDefault="00D267D5">
            <w:pPr>
              <w:pStyle w:val="Tabletext"/>
              <w:rPr>
                <w:lang w:eastAsia="en-GB"/>
              </w:rPr>
            </w:pPr>
            <w:r w:rsidRPr="00490C53">
              <w:t>25-49 employees</w:t>
            </w:r>
          </w:p>
        </w:tc>
        <w:tc>
          <w:tcPr>
            <w:tcW w:w="1117" w:type="pct"/>
            <w:noWrap/>
            <w:vAlign w:val="center"/>
          </w:tcPr>
          <w:p w14:paraId="0D4DC553" w14:textId="77777777" w:rsidR="00D267D5" w:rsidRPr="00490C53" w:rsidRDefault="00D267D5">
            <w:pPr>
              <w:pStyle w:val="Tabletext"/>
              <w:jc w:val="right"/>
              <w:rPr>
                <w:lang w:eastAsia="en-GB"/>
              </w:rPr>
            </w:pPr>
            <w:r w:rsidRPr="00490C53">
              <w:rPr>
                <w:rFonts w:cstheme="minorHAnsi"/>
                <w:szCs w:val="24"/>
              </w:rPr>
              <w:t>12.5%</w:t>
            </w:r>
          </w:p>
        </w:tc>
        <w:tc>
          <w:tcPr>
            <w:tcW w:w="1160" w:type="pct"/>
            <w:noWrap/>
            <w:vAlign w:val="center"/>
          </w:tcPr>
          <w:p w14:paraId="7B97AACF"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2F0E161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B630CAE" w14:textId="77777777" w:rsidR="00D267D5" w:rsidRPr="00490C53" w:rsidRDefault="00D267D5">
            <w:pPr>
              <w:pStyle w:val="Tabletext"/>
              <w:rPr>
                <w:lang w:eastAsia="en-GB"/>
              </w:rPr>
            </w:pPr>
          </w:p>
        </w:tc>
        <w:tc>
          <w:tcPr>
            <w:tcW w:w="1746" w:type="pct"/>
            <w:noWrap/>
            <w:vAlign w:val="top"/>
          </w:tcPr>
          <w:p w14:paraId="01EA600F" w14:textId="77777777" w:rsidR="00D267D5" w:rsidRPr="00490C53" w:rsidRDefault="00D267D5">
            <w:pPr>
              <w:pStyle w:val="Tabletext"/>
              <w:rPr>
                <w:lang w:eastAsia="en-GB"/>
              </w:rPr>
            </w:pPr>
            <w:r w:rsidRPr="00490C53">
              <w:t>50-249 employees</w:t>
            </w:r>
          </w:p>
        </w:tc>
        <w:tc>
          <w:tcPr>
            <w:tcW w:w="1117" w:type="pct"/>
            <w:noWrap/>
            <w:vAlign w:val="center"/>
          </w:tcPr>
          <w:p w14:paraId="1773C1B2" w14:textId="77777777" w:rsidR="00D267D5" w:rsidRPr="00490C53" w:rsidRDefault="00D267D5">
            <w:pPr>
              <w:pStyle w:val="Tabletext"/>
              <w:jc w:val="right"/>
              <w:rPr>
                <w:lang w:eastAsia="en-GB"/>
              </w:rPr>
            </w:pPr>
            <w:r w:rsidRPr="00490C53">
              <w:rPr>
                <w:rFonts w:cstheme="minorHAnsi"/>
                <w:szCs w:val="24"/>
              </w:rPr>
              <w:t>16.5%</w:t>
            </w:r>
          </w:p>
        </w:tc>
        <w:tc>
          <w:tcPr>
            <w:tcW w:w="1160" w:type="pct"/>
            <w:noWrap/>
            <w:vAlign w:val="center"/>
          </w:tcPr>
          <w:p w14:paraId="4EDA7D84" w14:textId="77777777" w:rsidR="00D267D5" w:rsidRPr="00490C53" w:rsidRDefault="00D267D5">
            <w:pPr>
              <w:pStyle w:val="Tabletext"/>
              <w:jc w:val="right"/>
              <w:rPr>
                <w:lang w:eastAsia="en-GB"/>
              </w:rPr>
            </w:pPr>
            <w:r w:rsidRPr="00490C53">
              <w:rPr>
                <w:rFonts w:cstheme="minorHAnsi"/>
                <w:szCs w:val="24"/>
              </w:rPr>
              <w:t>0.5%</w:t>
            </w:r>
          </w:p>
        </w:tc>
      </w:tr>
      <w:tr w:rsidR="00D267D5" w:rsidRPr="00490C53" w14:paraId="52947DCF" w14:textId="77777777">
        <w:tblPrEx>
          <w:tblCellMar>
            <w:left w:w="108" w:type="dxa"/>
            <w:right w:w="108" w:type="dxa"/>
          </w:tblCellMar>
        </w:tblPrEx>
        <w:trPr>
          <w:trHeight w:val="290"/>
        </w:trPr>
        <w:tc>
          <w:tcPr>
            <w:tcW w:w="977" w:type="pct"/>
            <w:noWrap/>
            <w:vAlign w:val="top"/>
          </w:tcPr>
          <w:p w14:paraId="4A72EBE4" w14:textId="77777777" w:rsidR="00D267D5" w:rsidRPr="00490C53" w:rsidRDefault="00D267D5">
            <w:pPr>
              <w:pStyle w:val="Tabletext"/>
              <w:rPr>
                <w:lang w:eastAsia="en-GB"/>
              </w:rPr>
            </w:pPr>
          </w:p>
        </w:tc>
        <w:tc>
          <w:tcPr>
            <w:tcW w:w="1746" w:type="pct"/>
            <w:noWrap/>
            <w:vAlign w:val="top"/>
          </w:tcPr>
          <w:p w14:paraId="35D05AC0" w14:textId="77777777" w:rsidR="00D267D5" w:rsidRPr="00490C53" w:rsidRDefault="00D267D5">
            <w:pPr>
              <w:pStyle w:val="Tabletext"/>
              <w:rPr>
                <w:lang w:eastAsia="en-GB"/>
              </w:rPr>
            </w:pPr>
            <w:r w:rsidRPr="00490C53">
              <w:t>More than 250 employees</w:t>
            </w:r>
          </w:p>
        </w:tc>
        <w:tc>
          <w:tcPr>
            <w:tcW w:w="1117" w:type="pct"/>
            <w:noWrap/>
            <w:vAlign w:val="center"/>
          </w:tcPr>
          <w:p w14:paraId="15365830" w14:textId="77777777" w:rsidR="00D267D5" w:rsidRPr="00490C53" w:rsidRDefault="00D267D5">
            <w:pPr>
              <w:pStyle w:val="Tabletext"/>
              <w:jc w:val="right"/>
              <w:rPr>
                <w:lang w:eastAsia="en-GB"/>
              </w:rPr>
            </w:pPr>
            <w:r w:rsidRPr="00490C53">
              <w:rPr>
                <w:rFonts w:cstheme="minorHAnsi"/>
                <w:szCs w:val="24"/>
              </w:rPr>
              <w:t>2.6%</w:t>
            </w:r>
          </w:p>
        </w:tc>
        <w:tc>
          <w:tcPr>
            <w:tcW w:w="1160" w:type="pct"/>
            <w:noWrap/>
            <w:vAlign w:val="center"/>
          </w:tcPr>
          <w:p w14:paraId="60E1D425"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2275E90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5AB5D65" w14:textId="77777777" w:rsidR="00D267D5" w:rsidRPr="00490C53" w:rsidRDefault="00D267D5">
            <w:pPr>
              <w:pStyle w:val="Tabletext"/>
              <w:rPr>
                <w:lang w:eastAsia="en-GB"/>
              </w:rPr>
            </w:pPr>
            <w:r w:rsidRPr="00490C53">
              <w:rPr>
                <w:b/>
                <w:bCs/>
              </w:rPr>
              <w:t>Region</w:t>
            </w:r>
          </w:p>
        </w:tc>
        <w:tc>
          <w:tcPr>
            <w:tcW w:w="1746" w:type="pct"/>
            <w:noWrap/>
            <w:vAlign w:val="top"/>
          </w:tcPr>
          <w:p w14:paraId="3A2AB473" w14:textId="77777777" w:rsidR="00D267D5" w:rsidRPr="00490C53" w:rsidRDefault="00D267D5">
            <w:pPr>
              <w:pStyle w:val="Tabletext"/>
              <w:rPr>
                <w:lang w:eastAsia="en-GB"/>
              </w:rPr>
            </w:pPr>
            <w:r w:rsidRPr="00490C53">
              <w:t>East / Midlands</w:t>
            </w:r>
          </w:p>
        </w:tc>
        <w:tc>
          <w:tcPr>
            <w:tcW w:w="1117" w:type="pct"/>
            <w:noWrap/>
            <w:vAlign w:val="center"/>
          </w:tcPr>
          <w:p w14:paraId="13596191" w14:textId="77777777" w:rsidR="00D267D5" w:rsidRPr="00490C53" w:rsidRDefault="00D267D5">
            <w:pPr>
              <w:pStyle w:val="Tabletext"/>
              <w:jc w:val="right"/>
              <w:rPr>
                <w:lang w:eastAsia="en-GB"/>
              </w:rPr>
            </w:pPr>
            <w:r w:rsidRPr="00490C53">
              <w:rPr>
                <w:rFonts w:cstheme="minorHAnsi"/>
                <w:szCs w:val="24"/>
              </w:rPr>
              <w:t>1.2%</w:t>
            </w:r>
          </w:p>
        </w:tc>
        <w:tc>
          <w:tcPr>
            <w:tcW w:w="1160" w:type="pct"/>
            <w:noWrap/>
            <w:vAlign w:val="center"/>
          </w:tcPr>
          <w:p w14:paraId="6700BD95" w14:textId="77777777" w:rsidR="00D267D5" w:rsidRPr="00490C53" w:rsidRDefault="00D267D5">
            <w:pPr>
              <w:pStyle w:val="Tabletext"/>
              <w:jc w:val="right"/>
              <w:rPr>
                <w:lang w:eastAsia="en-GB"/>
              </w:rPr>
            </w:pPr>
            <w:r w:rsidRPr="00490C53">
              <w:rPr>
                <w:rFonts w:cstheme="minorHAnsi"/>
                <w:szCs w:val="24"/>
              </w:rPr>
              <w:t>0.6%</w:t>
            </w:r>
          </w:p>
        </w:tc>
      </w:tr>
      <w:tr w:rsidR="00D267D5" w:rsidRPr="00490C53" w14:paraId="0B29F500" w14:textId="77777777">
        <w:tblPrEx>
          <w:tblCellMar>
            <w:left w:w="108" w:type="dxa"/>
            <w:right w:w="108" w:type="dxa"/>
          </w:tblCellMar>
        </w:tblPrEx>
        <w:trPr>
          <w:trHeight w:val="290"/>
        </w:trPr>
        <w:tc>
          <w:tcPr>
            <w:tcW w:w="977" w:type="pct"/>
            <w:noWrap/>
            <w:vAlign w:val="top"/>
          </w:tcPr>
          <w:p w14:paraId="20797A9A" w14:textId="77777777" w:rsidR="00D267D5" w:rsidRPr="00490C53" w:rsidRDefault="00D267D5">
            <w:pPr>
              <w:pStyle w:val="Tabletext"/>
              <w:rPr>
                <w:lang w:eastAsia="en-GB"/>
              </w:rPr>
            </w:pPr>
          </w:p>
        </w:tc>
        <w:tc>
          <w:tcPr>
            <w:tcW w:w="1746" w:type="pct"/>
            <w:noWrap/>
            <w:vAlign w:val="top"/>
          </w:tcPr>
          <w:p w14:paraId="6F611D3D" w14:textId="77777777" w:rsidR="00D267D5" w:rsidRPr="00490C53" w:rsidRDefault="00D267D5">
            <w:pPr>
              <w:pStyle w:val="Tabletext"/>
              <w:rPr>
                <w:lang w:eastAsia="en-GB"/>
              </w:rPr>
            </w:pPr>
            <w:r w:rsidRPr="00490C53">
              <w:t>London</w:t>
            </w:r>
          </w:p>
        </w:tc>
        <w:tc>
          <w:tcPr>
            <w:tcW w:w="1117" w:type="pct"/>
            <w:noWrap/>
            <w:vAlign w:val="center"/>
          </w:tcPr>
          <w:p w14:paraId="7BABAF4F" w14:textId="77777777" w:rsidR="00D267D5" w:rsidRPr="00490C53" w:rsidRDefault="00D267D5">
            <w:pPr>
              <w:pStyle w:val="Tabletext"/>
              <w:jc w:val="right"/>
              <w:rPr>
                <w:lang w:eastAsia="en-GB"/>
              </w:rPr>
            </w:pPr>
            <w:r w:rsidRPr="00490C53">
              <w:rPr>
                <w:rFonts w:cstheme="minorHAnsi"/>
                <w:szCs w:val="24"/>
              </w:rPr>
              <w:t>5.7%</w:t>
            </w:r>
          </w:p>
        </w:tc>
        <w:tc>
          <w:tcPr>
            <w:tcW w:w="1160" w:type="pct"/>
            <w:noWrap/>
            <w:vAlign w:val="center"/>
          </w:tcPr>
          <w:p w14:paraId="0471572C" w14:textId="77777777" w:rsidR="00D267D5" w:rsidRPr="00490C53" w:rsidRDefault="00D267D5">
            <w:pPr>
              <w:pStyle w:val="Tabletext"/>
              <w:jc w:val="right"/>
              <w:rPr>
                <w:lang w:eastAsia="en-GB"/>
              </w:rPr>
            </w:pPr>
            <w:r w:rsidRPr="00490C53">
              <w:rPr>
                <w:rFonts w:cstheme="minorHAnsi"/>
                <w:szCs w:val="24"/>
              </w:rPr>
              <w:t>0.3%</w:t>
            </w:r>
          </w:p>
        </w:tc>
      </w:tr>
      <w:tr w:rsidR="00D267D5" w:rsidRPr="00490C53" w14:paraId="7017AC1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3A8B573" w14:textId="77777777" w:rsidR="00D267D5" w:rsidRPr="00490C53" w:rsidRDefault="00D267D5">
            <w:pPr>
              <w:pStyle w:val="Tabletext"/>
              <w:rPr>
                <w:lang w:eastAsia="en-GB"/>
              </w:rPr>
            </w:pPr>
          </w:p>
        </w:tc>
        <w:tc>
          <w:tcPr>
            <w:tcW w:w="1746" w:type="pct"/>
            <w:noWrap/>
            <w:vAlign w:val="top"/>
          </w:tcPr>
          <w:p w14:paraId="5A45DC4F" w14:textId="77777777" w:rsidR="00D267D5" w:rsidRPr="00490C53" w:rsidRDefault="00D267D5">
            <w:pPr>
              <w:pStyle w:val="Tabletext"/>
              <w:rPr>
                <w:lang w:eastAsia="en-GB"/>
              </w:rPr>
            </w:pPr>
            <w:r w:rsidRPr="00490C53">
              <w:t>North / Yorkshire</w:t>
            </w:r>
          </w:p>
        </w:tc>
        <w:tc>
          <w:tcPr>
            <w:tcW w:w="1117" w:type="pct"/>
            <w:noWrap/>
            <w:vAlign w:val="center"/>
          </w:tcPr>
          <w:p w14:paraId="4521B33E" w14:textId="77777777" w:rsidR="00D267D5" w:rsidRPr="00490C53" w:rsidRDefault="00D267D5">
            <w:pPr>
              <w:pStyle w:val="Tabletext"/>
              <w:jc w:val="right"/>
              <w:rPr>
                <w:lang w:eastAsia="en-GB"/>
              </w:rPr>
            </w:pPr>
            <w:r w:rsidRPr="00490C53">
              <w:rPr>
                <w:rFonts w:cstheme="minorHAnsi"/>
                <w:szCs w:val="24"/>
              </w:rPr>
              <w:t>1.7%</w:t>
            </w:r>
          </w:p>
        </w:tc>
        <w:tc>
          <w:tcPr>
            <w:tcW w:w="1160" w:type="pct"/>
            <w:noWrap/>
            <w:vAlign w:val="center"/>
          </w:tcPr>
          <w:p w14:paraId="38E6249F" w14:textId="77777777" w:rsidR="00D267D5" w:rsidRPr="00490C53" w:rsidRDefault="00D267D5">
            <w:pPr>
              <w:pStyle w:val="Tabletext"/>
              <w:jc w:val="right"/>
              <w:rPr>
                <w:lang w:eastAsia="en-GB"/>
              </w:rPr>
            </w:pPr>
            <w:r w:rsidRPr="00490C53">
              <w:rPr>
                <w:rFonts w:cstheme="minorHAnsi"/>
                <w:szCs w:val="24"/>
              </w:rPr>
              <w:t>0.3%</w:t>
            </w:r>
          </w:p>
        </w:tc>
      </w:tr>
      <w:tr w:rsidR="00D267D5" w:rsidRPr="00490C53" w14:paraId="1EDA96A2" w14:textId="77777777">
        <w:tblPrEx>
          <w:tblCellMar>
            <w:left w:w="108" w:type="dxa"/>
            <w:right w:w="108" w:type="dxa"/>
          </w:tblCellMar>
        </w:tblPrEx>
        <w:trPr>
          <w:trHeight w:val="290"/>
        </w:trPr>
        <w:tc>
          <w:tcPr>
            <w:tcW w:w="977" w:type="pct"/>
            <w:noWrap/>
            <w:vAlign w:val="top"/>
          </w:tcPr>
          <w:p w14:paraId="573207BC" w14:textId="77777777" w:rsidR="00D267D5" w:rsidRPr="00490C53" w:rsidRDefault="00D267D5">
            <w:pPr>
              <w:pStyle w:val="Tabletext"/>
              <w:rPr>
                <w:lang w:eastAsia="en-GB"/>
              </w:rPr>
            </w:pPr>
          </w:p>
        </w:tc>
        <w:tc>
          <w:tcPr>
            <w:tcW w:w="1746" w:type="pct"/>
            <w:noWrap/>
            <w:vAlign w:val="top"/>
          </w:tcPr>
          <w:p w14:paraId="355F8A3E" w14:textId="77777777" w:rsidR="00D267D5" w:rsidRPr="00490C53" w:rsidRDefault="00D267D5">
            <w:pPr>
              <w:pStyle w:val="Tabletext"/>
              <w:rPr>
                <w:lang w:eastAsia="en-GB"/>
              </w:rPr>
            </w:pPr>
            <w:r w:rsidRPr="00490C53">
              <w:t>Northern Ireland</w:t>
            </w:r>
          </w:p>
        </w:tc>
        <w:tc>
          <w:tcPr>
            <w:tcW w:w="1117" w:type="pct"/>
            <w:noWrap/>
            <w:vAlign w:val="center"/>
          </w:tcPr>
          <w:p w14:paraId="2D474949" w14:textId="77777777" w:rsidR="00D267D5" w:rsidRPr="00490C53" w:rsidRDefault="00D267D5">
            <w:pPr>
              <w:pStyle w:val="Tabletext"/>
              <w:jc w:val="right"/>
              <w:rPr>
                <w:lang w:eastAsia="en-GB"/>
              </w:rPr>
            </w:pPr>
            <w:r w:rsidRPr="00490C53">
              <w:rPr>
                <w:rFonts w:cstheme="minorHAnsi"/>
                <w:szCs w:val="24"/>
              </w:rPr>
              <w:t>0.5%</w:t>
            </w:r>
          </w:p>
        </w:tc>
        <w:tc>
          <w:tcPr>
            <w:tcW w:w="1160" w:type="pct"/>
            <w:noWrap/>
            <w:vAlign w:val="center"/>
          </w:tcPr>
          <w:p w14:paraId="22D34A6A" w14:textId="77777777" w:rsidR="00D267D5" w:rsidRPr="00490C53" w:rsidRDefault="00D267D5">
            <w:pPr>
              <w:pStyle w:val="Tabletext"/>
              <w:jc w:val="right"/>
              <w:rPr>
                <w:lang w:eastAsia="en-GB"/>
              </w:rPr>
            </w:pPr>
            <w:r w:rsidRPr="00490C53">
              <w:rPr>
                <w:rFonts w:cstheme="minorHAnsi"/>
                <w:szCs w:val="24"/>
              </w:rPr>
              <w:t>0.2%</w:t>
            </w:r>
          </w:p>
        </w:tc>
      </w:tr>
      <w:tr w:rsidR="00D267D5" w:rsidRPr="00490C53" w14:paraId="1265DDE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2D17B53" w14:textId="77777777" w:rsidR="00D267D5" w:rsidRPr="00490C53" w:rsidRDefault="00D267D5">
            <w:pPr>
              <w:pStyle w:val="Tabletext"/>
              <w:rPr>
                <w:lang w:eastAsia="en-GB"/>
              </w:rPr>
            </w:pPr>
          </w:p>
        </w:tc>
        <w:tc>
          <w:tcPr>
            <w:tcW w:w="1746" w:type="pct"/>
            <w:noWrap/>
            <w:vAlign w:val="top"/>
          </w:tcPr>
          <w:p w14:paraId="7974FB03" w14:textId="77777777" w:rsidR="00D267D5" w:rsidRPr="00490C53" w:rsidRDefault="00D267D5">
            <w:pPr>
              <w:pStyle w:val="Tabletext"/>
              <w:rPr>
                <w:lang w:eastAsia="en-GB"/>
              </w:rPr>
            </w:pPr>
            <w:r w:rsidRPr="00490C53">
              <w:t>Scotland</w:t>
            </w:r>
          </w:p>
        </w:tc>
        <w:tc>
          <w:tcPr>
            <w:tcW w:w="1117" w:type="pct"/>
            <w:noWrap/>
            <w:vAlign w:val="center"/>
          </w:tcPr>
          <w:p w14:paraId="17CE9675" w14:textId="77777777" w:rsidR="00D267D5" w:rsidRPr="00490C53" w:rsidRDefault="00D267D5">
            <w:pPr>
              <w:pStyle w:val="Tabletext"/>
              <w:jc w:val="right"/>
              <w:rPr>
                <w:lang w:eastAsia="en-GB"/>
              </w:rPr>
            </w:pPr>
            <w:r w:rsidRPr="00490C53">
              <w:rPr>
                <w:rFonts w:cstheme="minorHAnsi"/>
                <w:szCs w:val="24"/>
              </w:rPr>
              <w:t>0.0%</w:t>
            </w:r>
          </w:p>
        </w:tc>
        <w:tc>
          <w:tcPr>
            <w:tcW w:w="1160" w:type="pct"/>
            <w:noWrap/>
            <w:vAlign w:val="center"/>
          </w:tcPr>
          <w:p w14:paraId="6B6EBD6D"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61E0A8DC" w14:textId="77777777">
        <w:tblPrEx>
          <w:tblCellMar>
            <w:left w:w="108" w:type="dxa"/>
            <w:right w:w="108" w:type="dxa"/>
          </w:tblCellMar>
        </w:tblPrEx>
        <w:trPr>
          <w:trHeight w:val="290"/>
        </w:trPr>
        <w:tc>
          <w:tcPr>
            <w:tcW w:w="977" w:type="pct"/>
            <w:noWrap/>
            <w:vAlign w:val="top"/>
          </w:tcPr>
          <w:p w14:paraId="68FEE8EB" w14:textId="77777777" w:rsidR="00D267D5" w:rsidRPr="00490C53" w:rsidRDefault="00D267D5">
            <w:pPr>
              <w:pStyle w:val="Tabletext"/>
              <w:rPr>
                <w:lang w:eastAsia="en-GB"/>
              </w:rPr>
            </w:pPr>
          </w:p>
        </w:tc>
        <w:tc>
          <w:tcPr>
            <w:tcW w:w="1746" w:type="pct"/>
            <w:noWrap/>
            <w:vAlign w:val="top"/>
          </w:tcPr>
          <w:p w14:paraId="163A5ED5" w14:textId="77777777" w:rsidR="00D267D5" w:rsidRPr="00490C53" w:rsidRDefault="00D267D5">
            <w:pPr>
              <w:pStyle w:val="Tabletext"/>
              <w:rPr>
                <w:lang w:eastAsia="en-GB"/>
              </w:rPr>
            </w:pPr>
            <w:r w:rsidRPr="00490C53">
              <w:t>South</w:t>
            </w:r>
          </w:p>
        </w:tc>
        <w:tc>
          <w:tcPr>
            <w:tcW w:w="1117" w:type="pct"/>
            <w:noWrap/>
            <w:vAlign w:val="center"/>
          </w:tcPr>
          <w:p w14:paraId="5854D497" w14:textId="77777777" w:rsidR="00D267D5" w:rsidRPr="00490C53" w:rsidRDefault="00D267D5">
            <w:pPr>
              <w:pStyle w:val="Tabletext"/>
              <w:jc w:val="right"/>
              <w:rPr>
                <w:lang w:eastAsia="en-GB"/>
              </w:rPr>
            </w:pPr>
            <w:r w:rsidRPr="00490C53">
              <w:rPr>
                <w:rFonts w:cstheme="minorHAnsi"/>
                <w:szCs w:val="24"/>
              </w:rPr>
              <w:t>2.5%</w:t>
            </w:r>
          </w:p>
        </w:tc>
        <w:tc>
          <w:tcPr>
            <w:tcW w:w="1160" w:type="pct"/>
            <w:noWrap/>
            <w:vAlign w:val="center"/>
          </w:tcPr>
          <w:p w14:paraId="496C7C12" w14:textId="77777777" w:rsidR="00D267D5" w:rsidRPr="00490C53" w:rsidRDefault="00D267D5">
            <w:pPr>
              <w:pStyle w:val="Tabletext"/>
              <w:jc w:val="right"/>
              <w:rPr>
                <w:lang w:eastAsia="en-GB"/>
              </w:rPr>
            </w:pPr>
            <w:r w:rsidRPr="00490C53">
              <w:rPr>
                <w:rFonts w:cstheme="minorHAnsi"/>
                <w:szCs w:val="24"/>
              </w:rPr>
              <w:t>0.5%</w:t>
            </w:r>
          </w:p>
        </w:tc>
      </w:tr>
      <w:tr w:rsidR="00D267D5" w:rsidRPr="00490C53" w14:paraId="58723A8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2BAF676" w14:textId="77777777" w:rsidR="00D267D5" w:rsidRPr="00490C53" w:rsidRDefault="00D267D5">
            <w:pPr>
              <w:pStyle w:val="Tabletext"/>
              <w:rPr>
                <w:lang w:eastAsia="en-GB"/>
              </w:rPr>
            </w:pPr>
          </w:p>
        </w:tc>
        <w:tc>
          <w:tcPr>
            <w:tcW w:w="1746" w:type="pct"/>
            <w:noWrap/>
            <w:vAlign w:val="top"/>
          </w:tcPr>
          <w:p w14:paraId="598DCDFB" w14:textId="77777777" w:rsidR="00D267D5" w:rsidRPr="00490C53" w:rsidRDefault="00D267D5">
            <w:pPr>
              <w:pStyle w:val="Tabletext"/>
              <w:rPr>
                <w:lang w:eastAsia="en-GB"/>
              </w:rPr>
            </w:pPr>
            <w:r w:rsidRPr="00490C53">
              <w:t>Wales</w:t>
            </w:r>
          </w:p>
        </w:tc>
        <w:tc>
          <w:tcPr>
            <w:tcW w:w="1117" w:type="pct"/>
            <w:noWrap/>
            <w:vAlign w:val="center"/>
          </w:tcPr>
          <w:p w14:paraId="3023EA1B" w14:textId="77777777" w:rsidR="00D267D5" w:rsidRPr="00490C53" w:rsidRDefault="00D267D5">
            <w:pPr>
              <w:pStyle w:val="Tabletext"/>
              <w:jc w:val="right"/>
              <w:rPr>
                <w:lang w:eastAsia="en-GB"/>
              </w:rPr>
            </w:pPr>
            <w:r w:rsidRPr="00490C53">
              <w:rPr>
                <w:rFonts w:cstheme="minorHAnsi"/>
                <w:szCs w:val="24"/>
              </w:rPr>
              <w:t>0.1%</w:t>
            </w:r>
          </w:p>
        </w:tc>
        <w:tc>
          <w:tcPr>
            <w:tcW w:w="1160" w:type="pct"/>
            <w:noWrap/>
            <w:vAlign w:val="center"/>
          </w:tcPr>
          <w:p w14:paraId="6CD8E912"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53A1A1C2" w14:textId="77777777">
        <w:tblPrEx>
          <w:tblCellMar>
            <w:left w:w="108" w:type="dxa"/>
            <w:right w:w="108" w:type="dxa"/>
          </w:tblCellMar>
        </w:tblPrEx>
        <w:trPr>
          <w:trHeight w:val="290"/>
        </w:trPr>
        <w:tc>
          <w:tcPr>
            <w:tcW w:w="977" w:type="pct"/>
            <w:noWrap/>
            <w:vAlign w:val="top"/>
          </w:tcPr>
          <w:p w14:paraId="313BD835" w14:textId="77777777" w:rsidR="00D267D5" w:rsidRPr="00490C53" w:rsidRDefault="00D267D5">
            <w:pPr>
              <w:pStyle w:val="Tabletext"/>
              <w:rPr>
                <w:lang w:eastAsia="en-GB"/>
              </w:rPr>
            </w:pPr>
            <w:r w:rsidRPr="00490C53">
              <w:rPr>
                <w:b/>
                <w:bCs/>
              </w:rPr>
              <w:t>Sector</w:t>
            </w:r>
          </w:p>
        </w:tc>
        <w:tc>
          <w:tcPr>
            <w:tcW w:w="1746" w:type="pct"/>
            <w:noWrap/>
            <w:vAlign w:val="top"/>
          </w:tcPr>
          <w:p w14:paraId="5FE24590" w14:textId="77777777" w:rsidR="00D267D5" w:rsidRPr="00490C53" w:rsidRDefault="00D267D5">
            <w:pPr>
              <w:pStyle w:val="Tabletext"/>
              <w:rPr>
                <w:lang w:eastAsia="en-GB"/>
              </w:rPr>
            </w:pPr>
            <w:r w:rsidRPr="00490C53">
              <w:t>Business Services</w:t>
            </w:r>
          </w:p>
        </w:tc>
        <w:tc>
          <w:tcPr>
            <w:tcW w:w="1117" w:type="pct"/>
            <w:noWrap/>
            <w:vAlign w:val="center"/>
          </w:tcPr>
          <w:p w14:paraId="06939D20" w14:textId="77777777" w:rsidR="00D267D5" w:rsidRPr="00490C53" w:rsidRDefault="00D267D5">
            <w:pPr>
              <w:pStyle w:val="Tabletext"/>
              <w:jc w:val="right"/>
              <w:rPr>
                <w:lang w:eastAsia="en-GB"/>
              </w:rPr>
            </w:pPr>
            <w:r w:rsidRPr="00490C53">
              <w:rPr>
                <w:rFonts w:cstheme="minorHAnsi"/>
                <w:szCs w:val="24"/>
              </w:rPr>
              <w:t>15.1%</w:t>
            </w:r>
          </w:p>
        </w:tc>
        <w:tc>
          <w:tcPr>
            <w:tcW w:w="1160" w:type="pct"/>
            <w:noWrap/>
            <w:vAlign w:val="center"/>
          </w:tcPr>
          <w:p w14:paraId="67FF991B" w14:textId="77777777" w:rsidR="00D267D5" w:rsidRPr="00490C53" w:rsidRDefault="00D267D5">
            <w:pPr>
              <w:pStyle w:val="Tabletext"/>
              <w:jc w:val="right"/>
              <w:rPr>
                <w:lang w:eastAsia="en-GB"/>
              </w:rPr>
            </w:pPr>
            <w:r w:rsidRPr="00490C53">
              <w:rPr>
                <w:rFonts w:cstheme="minorHAnsi"/>
                <w:szCs w:val="24"/>
              </w:rPr>
              <w:t>0.4%</w:t>
            </w:r>
          </w:p>
        </w:tc>
      </w:tr>
      <w:tr w:rsidR="00D267D5" w:rsidRPr="00490C53" w14:paraId="718B3FB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AC78077" w14:textId="77777777" w:rsidR="00D267D5" w:rsidRPr="00490C53" w:rsidRDefault="00D267D5">
            <w:pPr>
              <w:pStyle w:val="Tabletext"/>
              <w:rPr>
                <w:lang w:eastAsia="en-GB"/>
              </w:rPr>
            </w:pPr>
          </w:p>
        </w:tc>
        <w:tc>
          <w:tcPr>
            <w:tcW w:w="1746" w:type="pct"/>
            <w:noWrap/>
            <w:vAlign w:val="top"/>
          </w:tcPr>
          <w:p w14:paraId="52985223" w14:textId="77777777" w:rsidR="00D267D5" w:rsidRPr="00490C53" w:rsidRDefault="00D267D5">
            <w:pPr>
              <w:pStyle w:val="Tabletext"/>
              <w:rPr>
                <w:lang w:eastAsia="en-GB"/>
              </w:rPr>
            </w:pPr>
            <w:r w:rsidRPr="00490C53">
              <w:t>Construction</w:t>
            </w:r>
          </w:p>
        </w:tc>
        <w:tc>
          <w:tcPr>
            <w:tcW w:w="1117" w:type="pct"/>
            <w:noWrap/>
            <w:vAlign w:val="center"/>
          </w:tcPr>
          <w:p w14:paraId="3893DAC3" w14:textId="77777777" w:rsidR="00D267D5" w:rsidRPr="00490C53" w:rsidRDefault="00D267D5">
            <w:pPr>
              <w:pStyle w:val="Tabletext"/>
              <w:jc w:val="right"/>
              <w:rPr>
                <w:lang w:eastAsia="en-GB"/>
              </w:rPr>
            </w:pPr>
            <w:r w:rsidRPr="00490C53">
              <w:rPr>
                <w:rFonts w:cstheme="minorHAnsi"/>
                <w:szCs w:val="24"/>
              </w:rPr>
              <w:t>1.3%</w:t>
            </w:r>
          </w:p>
        </w:tc>
        <w:tc>
          <w:tcPr>
            <w:tcW w:w="1160" w:type="pct"/>
            <w:noWrap/>
            <w:vAlign w:val="center"/>
          </w:tcPr>
          <w:p w14:paraId="1B3C40B6" w14:textId="77777777" w:rsidR="00D267D5" w:rsidRPr="00490C53" w:rsidRDefault="00D267D5">
            <w:pPr>
              <w:pStyle w:val="Tabletext"/>
              <w:jc w:val="right"/>
              <w:rPr>
                <w:lang w:eastAsia="en-GB"/>
              </w:rPr>
            </w:pPr>
            <w:r w:rsidRPr="00490C53">
              <w:rPr>
                <w:rFonts w:cstheme="minorHAnsi"/>
                <w:szCs w:val="24"/>
              </w:rPr>
              <w:t>0.6%</w:t>
            </w:r>
          </w:p>
        </w:tc>
      </w:tr>
      <w:tr w:rsidR="00D267D5" w:rsidRPr="00490C53" w14:paraId="279D5521" w14:textId="77777777">
        <w:tblPrEx>
          <w:tblCellMar>
            <w:left w:w="108" w:type="dxa"/>
            <w:right w:w="108" w:type="dxa"/>
          </w:tblCellMar>
        </w:tblPrEx>
        <w:trPr>
          <w:trHeight w:val="290"/>
        </w:trPr>
        <w:tc>
          <w:tcPr>
            <w:tcW w:w="977" w:type="pct"/>
            <w:noWrap/>
            <w:vAlign w:val="top"/>
          </w:tcPr>
          <w:p w14:paraId="0619034A" w14:textId="77777777" w:rsidR="00D267D5" w:rsidRPr="00490C53" w:rsidRDefault="00D267D5">
            <w:pPr>
              <w:pStyle w:val="Tabletext"/>
              <w:rPr>
                <w:lang w:eastAsia="en-GB"/>
              </w:rPr>
            </w:pPr>
          </w:p>
        </w:tc>
        <w:tc>
          <w:tcPr>
            <w:tcW w:w="1746" w:type="pct"/>
            <w:noWrap/>
            <w:vAlign w:val="top"/>
          </w:tcPr>
          <w:p w14:paraId="089FE841" w14:textId="77777777" w:rsidR="00D267D5" w:rsidRPr="00490C53" w:rsidRDefault="00D267D5">
            <w:pPr>
              <w:pStyle w:val="Tabletext"/>
              <w:rPr>
                <w:lang w:eastAsia="en-GB"/>
              </w:rPr>
            </w:pPr>
            <w:r w:rsidRPr="00490C53">
              <w:t>Distribution</w:t>
            </w:r>
          </w:p>
        </w:tc>
        <w:tc>
          <w:tcPr>
            <w:tcW w:w="1117" w:type="pct"/>
            <w:noWrap/>
            <w:vAlign w:val="center"/>
          </w:tcPr>
          <w:p w14:paraId="799DCC31" w14:textId="77777777" w:rsidR="00D267D5" w:rsidRPr="00490C53" w:rsidRDefault="00D267D5">
            <w:pPr>
              <w:pStyle w:val="Tabletext"/>
              <w:jc w:val="right"/>
              <w:rPr>
                <w:lang w:eastAsia="en-GB"/>
              </w:rPr>
            </w:pPr>
            <w:r w:rsidRPr="00490C53">
              <w:rPr>
                <w:rFonts w:cstheme="minorHAnsi"/>
                <w:szCs w:val="24"/>
              </w:rPr>
              <w:t>6.5%</w:t>
            </w:r>
          </w:p>
        </w:tc>
        <w:tc>
          <w:tcPr>
            <w:tcW w:w="1160" w:type="pct"/>
            <w:noWrap/>
            <w:vAlign w:val="center"/>
          </w:tcPr>
          <w:p w14:paraId="35AF780D" w14:textId="77777777" w:rsidR="00D267D5" w:rsidRPr="00490C53" w:rsidRDefault="00D267D5">
            <w:pPr>
              <w:pStyle w:val="Tabletext"/>
              <w:jc w:val="right"/>
              <w:rPr>
                <w:lang w:eastAsia="en-GB"/>
              </w:rPr>
            </w:pPr>
            <w:r w:rsidRPr="00490C53">
              <w:rPr>
                <w:rFonts w:cstheme="minorHAnsi"/>
                <w:szCs w:val="24"/>
              </w:rPr>
              <w:t>0.4%</w:t>
            </w:r>
          </w:p>
        </w:tc>
      </w:tr>
      <w:tr w:rsidR="00D267D5" w:rsidRPr="00490C53" w14:paraId="4781F79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9D794A0" w14:textId="77777777" w:rsidR="00D267D5" w:rsidRPr="00490C53" w:rsidRDefault="00D267D5">
            <w:pPr>
              <w:pStyle w:val="Tabletext"/>
              <w:rPr>
                <w:lang w:eastAsia="en-GB"/>
              </w:rPr>
            </w:pPr>
          </w:p>
        </w:tc>
        <w:tc>
          <w:tcPr>
            <w:tcW w:w="1746" w:type="pct"/>
            <w:noWrap/>
            <w:vAlign w:val="top"/>
          </w:tcPr>
          <w:p w14:paraId="3E6D9C76" w14:textId="77777777" w:rsidR="00D267D5" w:rsidRPr="00490C53" w:rsidRDefault="00D267D5">
            <w:pPr>
              <w:pStyle w:val="Tabletext"/>
              <w:rPr>
                <w:lang w:eastAsia="en-GB"/>
              </w:rPr>
            </w:pPr>
            <w:r w:rsidRPr="00490C53">
              <w:t>Other Services</w:t>
            </w:r>
          </w:p>
        </w:tc>
        <w:tc>
          <w:tcPr>
            <w:tcW w:w="1117" w:type="pct"/>
            <w:noWrap/>
            <w:vAlign w:val="center"/>
          </w:tcPr>
          <w:p w14:paraId="0E1828A5" w14:textId="77777777" w:rsidR="00D267D5" w:rsidRPr="00490C53" w:rsidRDefault="00D267D5">
            <w:pPr>
              <w:pStyle w:val="Tabletext"/>
              <w:jc w:val="right"/>
              <w:rPr>
                <w:lang w:eastAsia="en-GB"/>
              </w:rPr>
            </w:pPr>
            <w:r w:rsidRPr="00490C53">
              <w:rPr>
                <w:rFonts w:cstheme="minorHAnsi"/>
                <w:szCs w:val="24"/>
              </w:rPr>
              <w:t>0.3%</w:t>
            </w:r>
          </w:p>
        </w:tc>
        <w:tc>
          <w:tcPr>
            <w:tcW w:w="1160" w:type="pct"/>
            <w:noWrap/>
            <w:vAlign w:val="center"/>
          </w:tcPr>
          <w:p w14:paraId="4FDC0A3F"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1CD49AA3" w14:textId="77777777">
        <w:tblPrEx>
          <w:tblCellMar>
            <w:left w:w="108" w:type="dxa"/>
            <w:right w:w="108" w:type="dxa"/>
          </w:tblCellMar>
        </w:tblPrEx>
        <w:trPr>
          <w:trHeight w:val="290"/>
        </w:trPr>
        <w:tc>
          <w:tcPr>
            <w:tcW w:w="977" w:type="pct"/>
            <w:noWrap/>
            <w:vAlign w:val="top"/>
          </w:tcPr>
          <w:p w14:paraId="60043A7D" w14:textId="77777777" w:rsidR="00D267D5" w:rsidRPr="00490C53" w:rsidRDefault="00D267D5">
            <w:pPr>
              <w:pStyle w:val="Tabletext"/>
              <w:rPr>
                <w:lang w:eastAsia="en-GB"/>
              </w:rPr>
            </w:pPr>
          </w:p>
        </w:tc>
        <w:tc>
          <w:tcPr>
            <w:tcW w:w="1746" w:type="pct"/>
            <w:noWrap/>
            <w:vAlign w:val="top"/>
          </w:tcPr>
          <w:p w14:paraId="1D44B710" w14:textId="77777777" w:rsidR="00D267D5" w:rsidRPr="00490C53" w:rsidRDefault="00D267D5">
            <w:pPr>
              <w:pStyle w:val="Tabletext"/>
              <w:rPr>
                <w:lang w:eastAsia="en-GB"/>
              </w:rPr>
            </w:pPr>
            <w:r w:rsidRPr="00490C53">
              <w:t>Primary/Manufacturing</w:t>
            </w:r>
          </w:p>
        </w:tc>
        <w:tc>
          <w:tcPr>
            <w:tcW w:w="1117" w:type="pct"/>
            <w:noWrap/>
            <w:vAlign w:val="center"/>
          </w:tcPr>
          <w:p w14:paraId="702F98A2" w14:textId="77777777" w:rsidR="00D267D5" w:rsidRPr="00490C53" w:rsidRDefault="00D267D5">
            <w:pPr>
              <w:pStyle w:val="Tabletext"/>
              <w:jc w:val="right"/>
              <w:rPr>
                <w:lang w:eastAsia="en-GB"/>
              </w:rPr>
            </w:pPr>
            <w:r w:rsidRPr="00490C53">
              <w:rPr>
                <w:rFonts w:cstheme="minorHAnsi"/>
                <w:szCs w:val="24"/>
              </w:rPr>
              <w:t>7.7%</w:t>
            </w:r>
          </w:p>
        </w:tc>
        <w:tc>
          <w:tcPr>
            <w:tcW w:w="1160" w:type="pct"/>
            <w:noWrap/>
            <w:vAlign w:val="center"/>
          </w:tcPr>
          <w:p w14:paraId="6CFF650D" w14:textId="77777777" w:rsidR="00D267D5" w:rsidRPr="00490C53" w:rsidRDefault="00D267D5">
            <w:pPr>
              <w:pStyle w:val="Tabletext"/>
              <w:jc w:val="right"/>
              <w:rPr>
                <w:lang w:eastAsia="en-GB"/>
              </w:rPr>
            </w:pPr>
            <w:r w:rsidRPr="00490C53">
              <w:rPr>
                <w:rFonts w:cstheme="minorHAnsi"/>
                <w:szCs w:val="24"/>
              </w:rPr>
              <w:t>0.6%</w:t>
            </w:r>
          </w:p>
        </w:tc>
      </w:tr>
      <w:tr w:rsidR="00D267D5" w:rsidRPr="00490C53" w14:paraId="43CB124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233D1CE2" w14:textId="77777777" w:rsidR="00D267D5" w:rsidRPr="00490C53" w:rsidRDefault="00D267D5">
            <w:pPr>
              <w:pStyle w:val="Tabletext"/>
              <w:rPr>
                <w:lang w:eastAsia="en-GB"/>
              </w:rPr>
            </w:pPr>
            <w:r w:rsidRPr="00490C53">
              <w:rPr>
                <w:b/>
                <w:bCs/>
              </w:rPr>
              <w:t>Turnover growth 2017/2018</w:t>
            </w:r>
          </w:p>
        </w:tc>
        <w:tc>
          <w:tcPr>
            <w:tcW w:w="1746" w:type="pct"/>
            <w:noWrap/>
            <w:vAlign w:val="top"/>
          </w:tcPr>
          <w:p w14:paraId="7A89D062" w14:textId="77777777" w:rsidR="00D267D5" w:rsidRPr="00490C53" w:rsidRDefault="00D267D5">
            <w:pPr>
              <w:pStyle w:val="Tabletext"/>
              <w:rPr>
                <w:lang w:eastAsia="en-GB"/>
              </w:rPr>
            </w:pPr>
            <w:r w:rsidRPr="00490C53">
              <w:t>Decrease of more than 50%</w:t>
            </w:r>
          </w:p>
        </w:tc>
        <w:tc>
          <w:tcPr>
            <w:tcW w:w="1117" w:type="pct"/>
            <w:noWrap/>
            <w:vAlign w:val="center"/>
          </w:tcPr>
          <w:p w14:paraId="140C27FB" w14:textId="77777777" w:rsidR="00D267D5" w:rsidRPr="00490C53" w:rsidRDefault="00D267D5">
            <w:pPr>
              <w:pStyle w:val="Tabletext"/>
              <w:jc w:val="right"/>
              <w:rPr>
                <w:lang w:eastAsia="en-GB"/>
              </w:rPr>
            </w:pPr>
            <w:r w:rsidRPr="00490C53">
              <w:rPr>
                <w:rFonts w:cstheme="minorHAnsi"/>
                <w:szCs w:val="24"/>
              </w:rPr>
              <w:t>3.7%</w:t>
            </w:r>
          </w:p>
        </w:tc>
        <w:tc>
          <w:tcPr>
            <w:tcW w:w="1160" w:type="pct"/>
            <w:noWrap/>
            <w:vAlign w:val="center"/>
          </w:tcPr>
          <w:p w14:paraId="31667CB6" w14:textId="77777777" w:rsidR="00D267D5" w:rsidRPr="00490C53" w:rsidRDefault="00D267D5">
            <w:pPr>
              <w:pStyle w:val="Tabletext"/>
              <w:jc w:val="right"/>
              <w:rPr>
                <w:lang w:eastAsia="en-GB"/>
              </w:rPr>
            </w:pPr>
            <w:r w:rsidRPr="00490C53">
              <w:rPr>
                <w:rFonts w:cstheme="minorHAnsi"/>
                <w:szCs w:val="24"/>
              </w:rPr>
              <w:t>0.3%</w:t>
            </w:r>
          </w:p>
        </w:tc>
      </w:tr>
      <w:tr w:rsidR="00D267D5" w:rsidRPr="00490C53" w14:paraId="693DEDE9" w14:textId="77777777">
        <w:tblPrEx>
          <w:tblCellMar>
            <w:left w:w="108" w:type="dxa"/>
            <w:right w:w="108" w:type="dxa"/>
          </w:tblCellMar>
        </w:tblPrEx>
        <w:trPr>
          <w:trHeight w:val="290"/>
        </w:trPr>
        <w:tc>
          <w:tcPr>
            <w:tcW w:w="977" w:type="pct"/>
            <w:noWrap/>
            <w:vAlign w:val="top"/>
          </w:tcPr>
          <w:p w14:paraId="60883408" w14:textId="77777777" w:rsidR="00D267D5" w:rsidRPr="00490C53" w:rsidRDefault="00D267D5">
            <w:pPr>
              <w:pStyle w:val="Tabletext"/>
              <w:rPr>
                <w:lang w:eastAsia="en-GB"/>
              </w:rPr>
            </w:pPr>
          </w:p>
        </w:tc>
        <w:tc>
          <w:tcPr>
            <w:tcW w:w="1746" w:type="pct"/>
            <w:noWrap/>
            <w:vAlign w:val="top"/>
          </w:tcPr>
          <w:p w14:paraId="644110BD" w14:textId="77777777" w:rsidR="00D267D5" w:rsidRPr="00490C53" w:rsidRDefault="00D267D5">
            <w:pPr>
              <w:pStyle w:val="Tabletext"/>
              <w:rPr>
                <w:lang w:eastAsia="en-GB"/>
              </w:rPr>
            </w:pPr>
            <w:r w:rsidRPr="00490C53">
              <w:t>Decrease of between 25% and 50%</w:t>
            </w:r>
          </w:p>
        </w:tc>
        <w:tc>
          <w:tcPr>
            <w:tcW w:w="1117" w:type="pct"/>
            <w:noWrap/>
            <w:vAlign w:val="center"/>
          </w:tcPr>
          <w:p w14:paraId="2F2C09D6" w14:textId="77777777" w:rsidR="00D267D5" w:rsidRPr="00490C53" w:rsidRDefault="00D267D5">
            <w:pPr>
              <w:pStyle w:val="Tabletext"/>
              <w:jc w:val="right"/>
              <w:rPr>
                <w:lang w:eastAsia="en-GB"/>
              </w:rPr>
            </w:pPr>
            <w:r w:rsidRPr="00490C53">
              <w:rPr>
                <w:rFonts w:cstheme="minorHAnsi"/>
                <w:szCs w:val="24"/>
              </w:rPr>
              <w:t>2.0%</w:t>
            </w:r>
          </w:p>
        </w:tc>
        <w:tc>
          <w:tcPr>
            <w:tcW w:w="1160" w:type="pct"/>
            <w:noWrap/>
            <w:vAlign w:val="center"/>
          </w:tcPr>
          <w:p w14:paraId="47823527"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3C5DA03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7DCEE32" w14:textId="77777777" w:rsidR="00D267D5" w:rsidRPr="00490C53" w:rsidRDefault="00D267D5">
            <w:pPr>
              <w:pStyle w:val="Tabletext"/>
              <w:rPr>
                <w:lang w:eastAsia="en-GB"/>
              </w:rPr>
            </w:pPr>
          </w:p>
        </w:tc>
        <w:tc>
          <w:tcPr>
            <w:tcW w:w="1746" w:type="pct"/>
            <w:noWrap/>
            <w:vAlign w:val="top"/>
          </w:tcPr>
          <w:p w14:paraId="41AAB2E1" w14:textId="77777777" w:rsidR="00D267D5" w:rsidRPr="00490C53" w:rsidRDefault="00D267D5">
            <w:pPr>
              <w:pStyle w:val="Tabletext"/>
              <w:rPr>
                <w:lang w:eastAsia="en-GB"/>
              </w:rPr>
            </w:pPr>
            <w:r w:rsidRPr="00490C53">
              <w:t>Decrease of between 10% and 25%</w:t>
            </w:r>
          </w:p>
        </w:tc>
        <w:tc>
          <w:tcPr>
            <w:tcW w:w="1117" w:type="pct"/>
            <w:noWrap/>
            <w:vAlign w:val="center"/>
          </w:tcPr>
          <w:p w14:paraId="4C9D3CDA" w14:textId="77777777" w:rsidR="00D267D5" w:rsidRPr="00490C53" w:rsidRDefault="00D267D5">
            <w:pPr>
              <w:pStyle w:val="Tabletext"/>
              <w:jc w:val="right"/>
              <w:rPr>
                <w:lang w:eastAsia="en-GB"/>
              </w:rPr>
            </w:pPr>
            <w:r w:rsidRPr="00490C53">
              <w:rPr>
                <w:rFonts w:cstheme="minorHAnsi"/>
                <w:szCs w:val="24"/>
              </w:rPr>
              <w:t>1.0%</w:t>
            </w:r>
          </w:p>
        </w:tc>
        <w:tc>
          <w:tcPr>
            <w:tcW w:w="1160" w:type="pct"/>
            <w:noWrap/>
            <w:vAlign w:val="center"/>
          </w:tcPr>
          <w:p w14:paraId="47344C3D" w14:textId="77777777" w:rsidR="00D267D5" w:rsidRPr="00490C53" w:rsidRDefault="00D267D5">
            <w:pPr>
              <w:pStyle w:val="Tabletext"/>
              <w:jc w:val="right"/>
              <w:rPr>
                <w:lang w:eastAsia="en-GB"/>
              </w:rPr>
            </w:pPr>
            <w:r w:rsidRPr="00490C53">
              <w:rPr>
                <w:rFonts w:cstheme="minorHAnsi"/>
                <w:szCs w:val="24"/>
              </w:rPr>
              <w:t>0.4%</w:t>
            </w:r>
          </w:p>
        </w:tc>
      </w:tr>
      <w:tr w:rsidR="00D267D5" w:rsidRPr="00490C53" w14:paraId="2246181D" w14:textId="77777777">
        <w:tblPrEx>
          <w:tblCellMar>
            <w:left w:w="108" w:type="dxa"/>
            <w:right w:w="108" w:type="dxa"/>
          </w:tblCellMar>
        </w:tblPrEx>
        <w:trPr>
          <w:trHeight w:val="290"/>
        </w:trPr>
        <w:tc>
          <w:tcPr>
            <w:tcW w:w="977" w:type="pct"/>
            <w:noWrap/>
            <w:vAlign w:val="top"/>
          </w:tcPr>
          <w:p w14:paraId="6ED858EF" w14:textId="77777777" w:rsidR="00D267D5" w:rsidRPr="00490C53" w:rsidRDefault="00D267D5">
            <w:pPr>
              <w:pStyle w:val="Tabletext"/>
              <w:rPr>
                <w:lang w:eastAsia="en-GB"/>
              </w:rPr>
            </w:pPr>
          </w:p>
        </w:tc>
        <w:tc>
          <w:tcPr>
            <w:tcW w:w="1746" w:type="pct"/>
            <w:noWrap/>
            <w:vAlign w:val="top"/>
          </w:tcPr>
          <w:p w14:paraId="7CD8CBCC" w14:textId="77777777" w:rsidR="00D267D5" w:rsidRPr="00490C53" w:rsidRDefault="00D267D5">
            <w:pPr>
              <w:pStyle w:val="Tabletext"/>
              <w:rPr>
                <w:lang w:eastAsia="en-GB"/>
              </w:rPr>
            </w:pPr>
            <w:r w:rsidRPr="00490C53">
              <w:t>Decrease of less than 10%</w:t>
            </w:r>
          </w:p>
        </w:tc>
        <w:tc>
          <w:tcPr>
            <w:tcW w:w="1117" w:type="pct"/>
            <w:noWrap/>
            <w:vAlign w:val="center"/>
          </w:tcPr>
          <w:p w14:paraId="240F3E6F" w14:textId="77777777" w:rsidR="00D267D5" w:rsidRPr="00490C53" w:rsidRDefault="00D267D5">
            <w:pPr>
              <w:pStyle w:val="Tabletext"/>
              <w:jc w:val="right"/>
              <w:rPr>
                <w:lang w:eastAsia="en-GB"/>
              </w:rPr>
            </w:pPr>
            <w:r w:rsidRPr="00490C53">
              <w:rPr>
                <w:rFonts w:cstheme="minorHAnsi"/>
                <w:szCs w:val="24"/>
              </w:rPr>
              <w:t>4.8%</w:t>
            </w:r>
          </w:p>
        </w:tc>
        <w:tc>
          <w:tcPr>
            <w:tcW w:w="1160" w:type="pct"/>
            <w:noWrap/>
            <w:vAlign w:val="center"/>
          </w:tcPr>
          <w:p w14:paraId="77DADC65"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02BE930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7617C91A" w14:textId="77777777" w:rsidR="00D267D5" w:rsidRPr="00490C53" w:rsidRDefault="00D267D5">
            <w:pPr>
              <w:pStyle w:val="Tabletext"/>
              <w:rPr>
                <w:lang w:eastAsia="en-GB"/>
              </w:rPr>
            </w:pPr>
          </w:p>
        </w:tc>
        <w:tc>
          <w:tcPr>
            <w:tcW w:w="1746" w:type="pct"/>
            <w:noWrap/>
            <w:vAlign w:val="top"/>
          </w:tcPr>
          <w:p w14:paraId="098AEFF9" w14:textId="77777777" w:rsidR="00D267D5" w:rsidRPr="00490C53" w:rsidRDefault="00D267D5">
            <w:pPr>
              <w:pStyle w:val="Tabletext"/>
              <w:rPr>
                <w:lang w:eastAsia="en-GB"/>
              </w:rPr>
            </w:pPr>
            <w:r w:rsidRPr="00490C53">
              <w:t>Increase of less than 5%</w:t>
            </w:r>
          </w:p>
        </w:tc>
        <w:tc>
          <w:tcPr>
            <w:tcW w:w="1117" w:type="pct"/>
            <w:noWrap/>
            <w:vAlign w:val="center"/>
          </w:tcPr>
          <w:p w14:paraId="3224CAF2" w14:textId="77777777" w:rsidR="00D267D5" w:rsidRPr="00490C53" w:rsidRDefault="00D267D5">
            <w:pPr>
              <w:pStyle w:val="Tabletext"/>
              <w:jc w:val="right"/>
              <w:rPr>
                <w:lang w:eastAsia="en-GB"/>
              </w:rPr>
            </w:pPr>
            <w:r w:rsidRPr="00490C53">
              <w:rPr>
                <w:rFonts w:cstheme="minorHAnsi"/>
                <w:szCs w:val="24"/>
              </w:rPr>
              <w:t>26.3%</w:t>
            </w:r>
          </w:p>
        </w:tc>
        <w:tc>
          <w:tcPr>
            <w:tcW w:w="1160" w:type="pct"/>
            <w:noWrap/>
            <w:vAlign w:val="center"/>
          </w:tcPr>
          <w:p w14:paraId="488A7530" w14:textId="77777777" w:rsidR="00D267D5" w:rsidRPr="00490C53" w:rsidRDefault="00D267D5">
            <w:pPr>
              <w:pStyle w:val="Tabletext"/>
              <w:jc w:val="right"/>
              <w:rPr>
                <w:lang w:eastAsia="en-GB"/>
              </w:rPr>
            </w:pPr>
            <w:r w:rsidRPr="00490C53">
              <w:rPr>
                <w:rFonts w:cstheme="minorHAnsi"/>
                <w:szCs w:val="24"/>
              </w:rPr>
              <w:t>1.0%</w:t>
            </w:r>
          </w:p>
        </w:tc>
      </w:tr>
      <w:tr w:rsidR="00D267D5" w:rsidRPr="00490C53" w14:paraId="6871589E" w14:textId="77777777">
        <w:tblPrEx>
          <w:tblCellMar>
            <w:left w:w="108" w:type="dxa"/>
            <w:right w:w="108" w:type="dxa"/>
          </w:tblCellMar>
        </w:tblPrEx>
        <w:trPr>
          <w:trHeight w:val="290"/>
        </w:trPr>
        <w:tc>
          <w:tcPr>
            <w:tcW w:w="977" w:type="pct"/>
            <w:noWrap/>
            <w:vAlign w:val="top"/>
          </w:tcPr>
          <w:p w14:paraId="641B05D3" w14:textId="77777777" w:rsidR="00D267D5" w:rsidRPr="00490C53" w:rsidRDefault="00D267D5">
            <w:pPr>
              <w:pStyle w:val="Tabletext"/>
              <w:rPr>
                <w:lang w:eastAsia="en-GB"/>
              </w:rPr>
            </w:pPr>
          </w:p>
        </w:tc>
        <w:tc>
          <w:tcPr>
            <w:tcW w:w="1746" w:type="pct"/>
            <w:noWrap/>
            <w:vAlign w:val="top"/>
          </w:tcPr>
          <w:p w14:paraId="7BBB55C7" w14:textId="77777777" w:rsidR="00D267D5" w:rsidRPr="00490C53" w:rsidRDefault="00D267D5">
            <w:pPr>
              <w:pStyle w:val="Tabletext"/>
              <w:rPr>
                <w:lang w:eastAsia="en-GB"/>
              </w:rPr>
            </w:pPr>
            <w:r w:rsidRPr="00490C53">
              <w:t>Increase of between 5% and 25%</w:t>
            </w:r>
          </w:p>
        </w:tc>
        <w:tc>
          <w:tcPr>
            <w:tcW w:w="1117" w:type="pct"/>
            <w:noWrap/>
            <w:vAlign w:val="center"/>
          </w:tcPr>
          <w:p w14:paraId="5CD6BA3D" w14:textId="77777777" w:rsidR="00D267D5" w:rsidRPr="00490C53" w:rsidRDefault="00D267D5">
            <w:pPr>
              <w:pStyle w:val="Tabletext"/>
              <w:jc w:val="right"/>
              <w:rPr>
                <w:lang w:eastAsia="en-GB"/>
              </w:rPr>
            </w:pPr>
            <w:r w:rsidRPr="00490C53">
              <w:rPr>
                <w:rFonts w:cstheme="minorHAnsi"/>
                <w:szCs w:val="24"/>
              </w:rPr>
              <w:t>16.3%</w:t>
            </w:r>
          </w:p>
        </w:tc>
        <w:tc>
          <w:tcPr>
            <w:tcW w:w="1160" w:type="pct"/>
            <w:noWrap/>
            <w:vAlign w:val="center"/>
          </w:tcPr>
          <w:p w14:paraId="34B3953F" w14:textId="77777777" w:rsidR="00D267D5" w:rsidRPr="00490C53" w:rsidRDefault="00D267D5">
            <w:pPr>
              <w:pStyle w:val="Tabletext"/>
              <w:jc w:val="right"/>
              <w:rPr>
                <w:lang w:eastAsia="en-GB"/>
              </w:rPr>
            </w:pPr>
            <w:r w:rsidRPr="00490C53">
              <w:rPr>
                <w:rFonts w:cstheme="minorHAnsi"/>
                <w:szCs w:val="24"/>
              </w:rPr>
              <w:t>1.3%</w:t>
            </w:r>
          </w:p>
        </w:tc>
      </w:tr>
      <w:tr w:rsidR="00D267D5" w:rsidRPr="00490C53" w14:paraId="2E08A30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F619138" w14:textId="77777777" w:rsidR="00D267D5" w:rsidRPr="00490C53" w:rsidRDefault="00D267D5">
            <w:pPr>
              <w:pStyle w:val="Tabletext"/>
              <w:rPr>
                <w:lang w:eastAsia="en-GB"/>
              </w:rPr>
            </w:pPr>
          </w:p>
        </w:tc>
        <w:tc>
          <w:tcPr>
            <w:tcW w:w="1746" w:type="pct"/>
            <w:noWrap/>
            <w:vAlign w:val="top"/>
          </w:tcPr>
          <w:p w14:paraId="3D0CF9CB" w14:textId="77777777" w:rsidR="00D267D5" w:rsidRPr="00490C53" w:rsidRDefault="00D267D5">
            <w:pPr>
              <w:pStyle w:val="Tabletext"/>
              <w:rPr>
                <w:lang w:eastAsia="en-GB"/>
              </w:rPr>
            </w:pPr>
            <w:r w:rsidRPr="00490C53">
              <w:t>Increase of between 25% and 50%</w:t>
            </w:r>
          </w:p>
        </w:tc>
        <w:tc>
          <w:tcPr>
            <w:tcW w:w="1117" w:type="pct"/>
            <w:noWrap/>
            <w:vAlign w:val="center"/>
          </w:tcPr>
          <w:p w14:paraId="35D7C287" w14:textId="77777777" w:rsidR="00D267D5" w:rsidRPr="00490C53" w:rsidRDefault="00D267D5">
            <w:pPr>
              <w:pStyle w:val="Tabletext"/>
              <w:jc w:val="right"/>
              <w:rPr>
                <w:lang w:eastAsia="en-GB"/>
              </w:rPr>
            </w:pPr>
            <w:r w:rsidRPr="00490C53">
              <w:rPr>
                <w:rFonts w:cstheme="minorHAnsi"/>
                <w:szCs w:val="24"/>
              </w:rPr>
              <w:t>6.4%</w:t>
            </w:r>
          </w:p>
        </w:tc>
        <w:tc>
          <w:tcPr>
            <w:tcW w:w="1160" w:type="pct"/>
            <w:noWrap/>
            <w:vAlign w:val="center"/>
          </w:tcPr>
          <w:p w14:paraId="314E9075"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3CB45F8F" w14:textId="77777777">
        <w:tblPrEx>
          <w:tblCellMar>
            <w:left w:w="108" w:type="dxa"/>
            <w:right w:w="108" w:type="dxa"/>
          </w:tblCellMar>
        </w:tblPrEx>
        <w:trPr>
          <w:trHeight w:val="290"/>
        </w:trPr>
        <w:tc>
          <w:tcPr>
            <w:tcW w:w="977" w:type="pct"/>
            <w:noWrap/>
            <w:vAlign w:val="top"/>
          </w:tcPr>
          <w:p w14:paraId="1C644607" w14:textId="77777777" w:rsidR="00D267D5" w:rsidRPr="00490C53" w:rsidRDefault="00D267D5">
            <w:pPr>
              <w:pStyle w:val="Tabletext"/>
              <w:rPr>
                <w:lang w:eastAsia="en-GB"/>
              </w:rPr>
            </w:pPr>
          </w:p>
        </w:tc>
        <w:tc>
          <w:tcPr>
            <w:tcW w:w="1746" w:type="pct"/>
            <w:noWrap/>
            <w:vAlign w:val="top"/>
          </w:tcPr>
          <w:p w14:paraId="4DDF2A46" w14:textId="77777777" w:rsidR="00D267D5" w:rsidRPr="00490C53" w:rsidRDefault="00D267D5">
            <w:pPr>
              <w:pStyle w:val="Tabletext"/>
              <w:rPr>
                <w:lang w:eastAsia="en-GB"/>
              </w:rPr>
            </w:pPr>
            <w:r w:rsidRPr="00490C53">
              <w:t>Increase of more than 50%</w:t>
            </w:r>
          </w:p>
        </w:tc>
        <w:tc>
          <w:tcPr>
            <w:tcW w:w="1117" w:type="pct"/>
            <w:noWrap/>
            <w:vAlign w:val="center"/>
          </w:tcPr>
          <w:p w14:paraId="05658DF5" w14:textId="77777777" w:rsidR="00D267D5" w:rsidRPr="00490C53" w:rsidRDefault="00D267D5">
            <w:pPr>
              <w:pStyle w:val="Tabletext"/>
              <w:jc w:val="right"/>
              <w:rPr>
                <w:lang w:eastAsia="en-GB"/>
              </w:rPr>
            </w:pPr>
            <w:r w:rsidRPr="00490C53">
              <w:rPr>
                <w:rFonts w:cstheme="minorHAnsi"/>
                <w:szCs w:val="24"/>
              </w:rPr>
              <w:t>3.5%</w:t>
            </w:r>
          </w:p>
        </w:tc>
        <w:tc>
          <w:tcPr>
            <w:tcW w:w="1160" w:type="pct"/>
            <w:noWrap/>
            <w:vAlign w:val="center"/>
          </w:tcPr>
          <w:p w14:paraId="2403B145"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0ED30BD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EC2D354" w14:textId="77777777" w:rsidR="00D267D5" w:rsidRPr="00490C53" w:rsidRDefault="00D267D5">
            <w:pPr>
              <w:pStyle w:val="Tabletext"/>
              <w:rPr>
                <w:lang w:eastAsia="en-GB"/>
              </w:rPr>
            </w:pPr>
            <w:r w:rsidRPr="00490C53">
              <w:rPr>
                <w:b/>
                <w:bCs/>
              </w:rPr>
              <w:t>Turnover growth 2018/2019</w:t>
            </w:r>
          </w:p>
        </w:tc>
        <w:tc>
          <w:tcPr>
            <w:tcW w:w="1746" w:type="pct"/>
            <w:noWrap/>
            <w:vAlign w:val="top"/>
          </w:tcPr>
          <w:p w14:paraId="43322A50" w14:textId="77777777" w:rsidR="00D267D5" w:rsidRPr="00490C53" w:rsidRDefault="00D267D5">
            <w:pPr>
              <w:pStyle w:val="Tabletext"/>
              <w:rPr>
                <w:lang w:eastAsia="en-GB"/>
              </w:rPr>
            </w:pPr>
            <w:r w:rsidRPr="00490C53">
              <w:t>Decrease of more than 50%</w:t>
            </w:r>
          </w:p>
        </w:tc>
        <w:tc>
          <w:tcPr>
            <w:tcW w:w="1117" w:type="pct"/>
            <w:noWrap/>
            <w:vAlign w:val="center"/>
          </w:tcPr>
          <w:p w14:paraId="768E0F02" w14:textId="77777777" w:rsidR="00D267D5" w:rsidRPr="00490C53" w:rsidRDefault="00D267D5">
            <w:pPr>
              <w:pStyle w:val="Tabletext"/>
              <w:jc w:val="right"/>
              <w:rPr>
                <w:lang w:eastAsia="en-GB"/>
              </w:rPr>
            </w:pPr>
            <w:r w:rsidRPr="00490C53">
              <w:rPr>
                <w:rFonts w:cstheme="minorHAnsi"/>
                <w:szCs w:val="24"/>
              </w:rPr>
              <w:t>2.2%</w:t>
            </w:r>
          </w:p>
        </w:tc>
        <w:tc>
          <w:tcPr>
            <w:tcW w:w="1160" w:type="pct"/>
            <w:noWrap/>
            <w:vAlign w:val="center"/>
          </w:tcPr>
          <w:p w14:paraId="42E2B8A9"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3C7EDD52" w14:textId="77777777">
        <w:tblPrEx>
          <w:tblCellMar>
            <w:left w:w="108" w:type="dxa"/>
            <w:right w:w="108" w:type="dxa"/>
          </w:tblCellMar>
        </w:tblPrEx>
        <w:trPr>
          <w:trHeight w:val="290"/>
        </w:trPr>
        <w:tc>
          <w:tcPr>
            <w:tcW w:w="977" w:type="pct"/>
            <w:noWrap/>
            <w:vAlign w:val="top"/>
          </w:tcPr>
          <w:p w14:paraId="51799516" w14:textId="77777777" w:rsidR="00D267D5" w:rsidRPr="00490C53" w:rsidRDefault="00D267D5">
            <w:pPr>
              <w:pStyle w:val="Tabletext"/>
              <w:rPr>
                <w:lang w:eastAsia="en-GB"/>
              </w:rPr>
            </w:pPr>
          </w:p>
        </w:tc>
        <w:tc>
          <w:tcPr>
            <w:tcW w:w="1746" w:type="pct"/>
            <w:noWrap/>
            <w:vAlign w:val="top"/>
          </w:tcPr>
          <w:p w14:paraId="40595B5D" w14:textId="77777777" w:rsidR="00D267D5" w:rsidRPr="00490C53" w:rsidRDefault="00D267D5">
            <w:pPr>
              <w:pStyle w:val="Tabletext"/>
              <w:rPr>
                <w:lang w:eastAsia="en-GB"/>
              </w:rPr>
            </w:pPr>
            <w:r w:rsidRPr="00490C53">
              <w:t>Decrease of between 25% and 50%</w:t>
            </w:r>
          </w:p>
        </w:tc>
        <w:tc>
          <w:tcPr>
            <w:tcW w:w="1117" w:type="pct"/>
            <w:noWrap/>
            <w:vAlign w:val="center"/>
          </w:tcPr>
          <w:p w14:paraId="3F12C79E" w14:textId="77777777" w:rsidR="00D267D5" w:rsidRPr="00490C53" w:rsidRDefault="00D267D5">
            <w:pPr>
              <w:pStyle w:val="Tabletext"/>
              <w:jc w:val="right"/>
              <w:rPr>
                <w:lang w:eastAsia="en-GB"/>
              </w:rPr>
            </w:pPr>
            <w:r w:rsidRPr="00490C53">
              <w:rPr>
                <w:rFonts w:cstheme="minorHAnsi"/>
                <w:szCs w:val="24"/>
              </w:rPr>
              <w:t>0.9%</w:t>
            </w:r>
          </w:p>
        </w:tc>
        <w:tc>
          <w:tcPr>
            <w:tcW w:w="1160" w:type="pct"/>
            <w:noWrap/>
            <w:vAlign w:val="center"/>
          </w:tcPr>
          <w:p w14:paraId="4E80C127" w14:textId="77777777" w:rsidR="00D267D5" w:rsidRPr="00490C53" w:rsidRDefault="00D267D5">
            <w:pPr>
              <w:pStyle w:val="Tabletext"/>
              <w:jc w:val="right"/>
              <w:rPr>
                <w:lang w:eastAsia="en-GB"/>
              </w:rPr>
            </w:pPr>
            <w:r w:rsidRPr="00490C53">
              <w:rPr>
                <w:rFonts w:cstheme="minorHAnsi"/>
                <w:szCs w:val="24"/>
              </w:rPr>
              <w:t>0.2%</w:t>
            </w:r>
          </w:p>
        </w:tc>
      </w:tr>
      <w:tr w:rsidR="00D267D5" w:rsidRPr="00490C53" w14:paraId="386EFCF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9FD58B2" w14:textId="77777777" w:rsidR="00D267D5" w:rsidRPr="00490C53" w:rsidRDefault="00D267D5">
            <w:pPr>
              <w:pStyle w:val="Tabletext"/>
              <w:rPr>
                <w:lang w:eastAsia="en-GB"/>
              </w:rPr>
            </w:pPr>
          </w:p>
        </w:tc>
        <w:tc>
          <w:tcPr>
            <w:tcW w:w="1746" w:type="pct"/>
            <w:noWrap/>
            <w:vAlign w:val="top"/>
          </w:tcPr>
          <w:p w14:paraId="37409090" w14:textId="77777777" w:rsidR="00D267D5" w:rsidRPr="00490C53" w:rsidRDefault="00D267D5">
            <w:pPr>
              <w:pStyle w:val="Tabletext"/>
              <w:rPr>
                <w:lang w:eastAsia="en-GB"/>
              </w:rPr>
            </w:pPr>
            <w:r w:rsidRPr="00490C53">
              <w:t>Decrease of between 10% and 25%</w:t>
            </w:r>
          </w:p>
        </w:tc>
        <w:tc>
          <w:tcPr>
            <w:tcW w:w="1117" w:type="pct"/>
            <w:noWrap/>
            <w:vAlign w:val="center"/>
          </w:tcPr>
          <w:p w14:paraId="42F6AD5E" w14:textId="77777777" w:rsidR="00D267D5" w:rsidRPr="00490C53" w:rsidRDefault="00D267D5">
            <w:pPr>
              <w:pStyle w:val="Tabletext"/>
              <w:jc w:val="right"/>
              <w:rPr>
                <w:lang w:eastAsia="en-GB"/>
              </w:rPr>
            </w:pPr>
            <w:r w:rsidRPr="00490C53">
              <w:rPr>
                <w:rFonts w:cstheme="minorHAnsi"/>
                <w:szCs w:val="24"/>
              </w:rPr>
              <w:t>3.0%</w:t>
            </w:r>
          </w:p>
        </w:tc>
        <w:tc>
          <w:tcPr>
            <w:tcW w:w="1160" w:type="pct"/>
            <w:noWrap/>
            <w:vAlign w:val="center"/>
          </w:tcPr>
          <w:p w14:paraId="0C65CCD0" w14:textId="77777777" w:rsidR="00D267D5" w:rsidRPr="00490C53" w:rsidRDefault="00D267D5">
            <w:pPr>
              <w:pStyle w:val="Tabletext"/>
              <w:jc w:val="right"/>
              <w:rPr>
                <w:lang w:eastAsia="en-GB"/>
              </w:rPr>
            </w:pPr>
            <w:r w:rsidRPr="00490C53">
              <w:rPr>
                <w:rFonts w:cstheme="minorHAnsi"/>
                <w:szCs w:val="24"/>
              </w:rPr>
              <w:t>0.5%</w:t>
            </w:r>
          </w:p>
        </w:tc>
      </w:tr>
      <w:tr w:rsidR="00D267D5" w:rsidRPr="00490C53" w14:paraId="21A480D5" w14:textId="77777777">
        <w:tblPrEx>
          <w:tblCellMar>
            <w:left w:w="108" w:type="dxa"/>
            <w:right w:w="108" w:type="dxa"/>
          </w:tblCellMar>
        </w:tblPrEx>
        <w:trPr>
          <w:trHeight w:val="290"/>
        </w:trPr>
        <w:tc>
          <w:tcPr>
            <w:tcW w:w="977" w:type="pct"/>
            <w:noWrap/>
            <w:vAlign w:val="top"/>
          </w:tcPr>
          <w:p w14:paraId="14EC3CF2" w14:textId="77777777" w:rsidR="00D267D5" w:rsidRPr="00490C53" w:rsidRDefault="00D267D5">
            <w:pPr>
              <w:pStyle w:val="Tabletext"/>
              <w:rPr>
                <w:lang w:eastAsia="en-GB"/>
              </w:rPr>
            </w:pPr>
          </w:p>
        </w:tc>
        <w:tc>
          <w:tcPr>
            <w:tcW w:w="1746" w:type="pct"/>
            <w:noWrap/>
            <w:vAlign w:val="top"/>
          </w:tcPr>
          <w:p w14:paraId="45EACAE2" w14:textId="77777777" w:rsidR="00D267D5" w:rsidRPr="00490C53" w:rsidRDefault="00D267D5">
            <w:pPr>
              <w:pStyle w:val="Tabletext"/>
              <w:rPr>
                <w:lang w:eastAsia="en-GB"/>
              </w:rPr>
            </w:pPr>
            <w:r w:rsidRPr="00490C53">
              <w:t>Decrease of less than 10%</w:t>
            </w:r>
          </w:p>
        </w:tc>
        <w:tc>
          <w:tcPr>
            <w:tcW w:w="1117" w:type="pct"/>
            <w:noWrap/>
            <w:vAlign w:val="center"/>
          </w:tcPr>
          <w:p w14:paraId="5B761811" w14:textId="77777777" w:rsidR="00D267D5" w:rsidRPr="00490C53" w:rsidRDefault="00D267D5">
            <w:pPr>
              <w:pStyle w:val="Tabletext"/>
              <w:jc w:val="right"/>
              <w:rPr>
                <w:lang w:eastAsia="en-GB"/>
              </w:rPr>
            </w:pPr>
            <w:r w:rsidRPr="00490C53">
              <w:rPr>
                <w:rFonts w:cstheme="minorHAnsi"/>
                <w:szCs w:val="24"/>
              </w:rPr>
              <w:t>7.7%</w:t>
            </w:r>
          </w:p>
        </w:tc>
        <w:tc>
          <w:tcPr>
            <w:tcW w:w="1160" w:type="pct"/>
            <w:noWrap/>
            <w:vAlign w:val="center"/>
          </w:tcPr>
          <w:p w14:paraId="5C862774" w14:textId="77777777" w:rsidR="00D267D5" w:rsidRPr="00490C53" w:rsidRDefault="00D267D5">
            <w:pPr>
              <w:pStyle w:val="Tabletext"/>
              <w:jc w:val="right"/>
              <w:rPr>
                <w:lang w:eastAsia="en-GB"/>
              </w:rPr>
            </w:pPr>
            <w:r w:rsidRPr="00490C53">
              <w:rPr>
                <w:rFonts w:cstheme="minorHAnsi"/>
                <w:szCs w:val="24"/>
              </w:rPr>
              <w:t>0.7%</w:t>
            </w:r>
          </w:p>
        </w:tc>
      </w:tr>
      <w:tr w:rsidR="00D267D5" w:rsidRPr="00490C53" w14:paraId="099CA9F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3EEF303D" w14:textId="77777777" w:rsidR="00D267D5" w:rsidRPr="00490C53" w:rsidRDefault="00D267D5">
            <w:pPr>
              <w:pStyle w:val="Tabletext"/>
              <w:rPr>
                <w:lang w:eastAsia="en-GB"/>
              </w:rPr>
            </w:pPr>
          </w:p>
        </w:tc>
        <w:tc>
          <w:tcPr>
            <w:tcW w:w="1746" w:type="pct"/>
            <w:noWrap/>
            <w:vAlign w:val="top"/>
          </w:tcPr>
          <w:p w14:paraId="791A6B39" w14:textId="77777777" w:rsidR="00D267D5" w:rsidRPr="00490C53" w:rsidRDefault="00D267D5">
            <w:pPr>
              <w:pStyle w:val="Tabletext"/>
              <w:rPr>
                <w:lang w:eastAsia="en-GB"/>
              </w:rPr>
            </w:pPr>
            <w:r w:rsidRPr="00490C53">
              <w:t>Increase of less than 5%</w:t>
            </w:r>
          </w:p>
        </w:tc>
        <w:tc>
          <w:tcPr>
            <w:tcW w:w="1117" w:type="pct"/>
            <w:noWrap/>
            <w:vAlign w:val="center"/>
          </w:tcPr>
          <w:p w14:paraId="05906C76" w14:textId="77777777" w:rsidR="00D267D5" w:rsidRPr="00490C53" w:rsidRDefault="00D267D5">
            <w:pPr>
              <w:pStyle w:val="Tabletext"/>
              <w:jc w:val="right"/>
              <w:rPr>
                <w:lang w:eastAsia="en-GB"/>
              </w:rPr>
            </w:pPr>
            <w:r w:rsidRPr="00490C53">
              <w:rPr>
                <w:rFonts w:cstheme="minorHAnsi"/>
                <w:szCs w:val="24"/>
              </w:rPr>
              <w:t>32.8%</w:t>
            </w:r>
          </w:p>
        </w:tc>
        <w:tc>
          <w:tcPr>
            <w:tcW w:w="1160" w:type="pct"/>
            <w:noWrap/>
            <w:vAlign w:val="center"/>
          </w:tcPr>
          <w:p w14:paraId="109D9CFF" w14:textId="77777777" w:rsidR="00D267D5" w:rsidRPr="00490C53" w:rsidRDefault="00D267D5">
            <w:pPr>
              <w:pStyle w:val="Tabletext"/>
              <w:jc w:val="right"/>
              <w:rPr>
                <w:lang w:eastAsia="en-GB"/>
              </w:rPr>
            </w:pPr>
            <w:r w:rsidRPr="00490C53">
              <w:rPr>
                <w:rFonts w:cstheme="minorHAnsi"/>
                <w:szCs w:val="24"/>
              </w:rPr>
              <w:t>0.7%</w:t>
            </w:r>
          </w:p>
        </w:tc>
      </w:tr>
      <w:tr w:rsidR="00D267D5" w:rsidRPr="00490C53" w14:paraId="18217C10" w14:textId="77777777">
        <w:tblPrEx>
          <w:tblCellMar>
            <w:left w:w="108" w:type="dxa"/>
            <w:right w:w="108" w:type="dxa"/>
          </w:tblCellMar>
        </w:tblPrEx>
        <w:trPr>
          <w:trHeight w:val="290"/>
        </w:trPr>
        <w:tc>
          <w:tcPr>
            <w:tcW w:w="977" w:type="pct"/>
            <w:noWrap/>
            <w:vAlign w:val="top"/>
          </w:tcPr>
          <w:p w14:paraId="5A3165EF" w14:textId="77777777" w:rsidR="00D267D5" w:rsidRPr="00490C53" w:rsidRDefault="00D267D5">
            <w:pPr>
              <w:pStyle w:val="Tabletext"/>
              <w:rPr>
                <w:lang w:eastAsia="en-GB"/>
              </w:rPr>
            </w:pPr>
          </w:p>
        </w:tc>
        <w:tc>
          <w:tcPr>
            <w:tcW w:w="1746" w:type="pct"/>
            <w:noWrap/>
            <w:vAlign w:val="top"/>
          </w:tcPr>
          <w:p w14:paraId="34206FAC" w14:textId="77777777" w:rsidR="00D267D5" w:rsidRPr="00490C53" w:rsidRDefault="00D267D5">
            <w:pPr>
              <w:pStyle w:val="Tabletext"/>
              <w:rPr>
                <w:lang w:eastAsia="en-GB"/>
              </w:rPr>
            </w:pPr>
            <w:r w:rsidRPr="00490C53">
              <w:t>Increase of between 5% and 25%</w:t>
            </w:r>
          </w:p>
        </w:tc>
        <w:tc>
          <w:tcPr>
            <w:tcW w:w="1117" w:type="pct"/>
            <w:noWrap/>
            <w:vAlign w:val="center"/>
          </w:tcPr>
          <w:p w14:paraId="5B68D7E6" w14:textId="77777777" w:rsidR="00D267D5" w:rsidRPr="00490C53" w:rsidRDefault="00D267D5">
            <w:pPr>
              <w:pStyle w:val="Tabletext"/>
              <w:jc w:val="right"/>
              <w:rPr>
                <w:lang w:eastAsia="en-GB"/>
              </w:rPr>
            </w:pPr>
            <w:r w:rsidRPr="00490C53">
              <w:rPr>
                <w:rFonts w:cstheme="minorHAnsi"/>
                <w:szCs w:val="24"/>
              </w:rPr>
              <w:t>13.7%</w:t>
            </w:r>
          </w:p>
        </w:tc>
        <w:tc>
          <w:tcPr>
            <w:tcW w:w="1160" w:type="pct"/>
            <w:noWrap/>
            <w:vAlign w:val="center"/>
          </w:tcPr>
          <w:p w14:paraId="602F7828" w14:textId="77777777" w:rsidR="00D267D5" w:rsidRPr="00490C53" w:rsidRDefault="00D267D5">
            <w:pPr>
              <w:pStyle w:val="Tabletext"/>
              <w:jc w:val="right"/>
              <w:rPr>
                <w:lang w:eastAsia="en-GB"/>
              </w:rPr>
            </w:pPr>
            <w:r w:rsidRPr="00490C53">
              <w:rPr>
                <w:rFonts w:cstheme="minorHAnsi"/>
                <w:szCs w:val="24"/>
              </w:rPr>
              <w:t>0.3%</w:t>
            </w:r>
          </w:p>
        </w:tc>
      </w:tr>
      <w:tr w:rsidR="00D267D5" w:rsidRPr="00490C53" w14:paraId="60B9865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7A12A02" w14:textId="77777777" w:rsidR="00D267D5" w:rsidRPr="00490C53" w:rsidRDefault="00D267D5">
            <w:pPr>
              <w:pStyle w:val="Tabletext"/>
              <w:rPr>
                <w:lang w:eastAsia="en-GB"/>
              </w:rPr>
            </w:pPr>
          </w:p>
        </w:tc>
        <w:tc>
          <w:tcPr>
            <w:tcW w:w="1746" w:type="pct"/>
            <w:noWrap/>
            <w:vAlign w:val="top"/>
          </w:tcPr>
          <w:p w14:paraId="5CD57168" w14:textId="77777777" w:rsidR="00D267D5" w:rsidRPr="00490C53" w:rsidRDefault="00D267D5">
            <w:pPr>
              <w:pStyle w:val="Tabletext"/>
              <w:rPr>
                <w:lang w:eastAsia="en-GB"/>
              </w:rPr>
            </w:pPr>
            <w:r w:rsidRPr="00490C53">
              <w:t>Increase of between 25% and 50%</w:t>
            </w:r>
          </w:p>
        </w:tc>
        <w:tc>
          <w:tcPr>
            <w:tcW w:w="1117" w:type="pct"/>
            <w:noWrap/>
            <w:vAlign w:val="center"/>
          </w:tcPr>
          <w:p w14:paraId="036C8517" w14:textId="77777777" w:rsidR="00D267D5" w:rsidRPr="00490C53" w:rsidRDefault="00D267D5">
            <w:pPr>
              <w:pStyle w:val="Tabletext"/>
              <w:jc w:val="right"/>
              <w:rPr>
                <w:lang w:eastAsia="en-GB"/>
              </w:rPr>
            </w:pPr>
            <w:r w:rsidRPr="00490C53">
              <w:rPr>
                <w:rFonts w:cstheme="minorHAnsi"/>
                <w:szCs w:val="24"/>
              </w:rPr>
              <w:t>6.9%</w:t>
            </w:r>
          </w:p>
        </w:tc>
        <w:tc>
          <w:tcPr>
            <w:tcW w:w="1160" w:type="pct"/>
            <w:noWrap/>
            <w:vAlign w:val="center"/>
          </w:tcPr>
          <w:p w14:paraId="753A82D1"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11F87A80" w14:textId="77777777">
        <w:tblPrEx>
          <w:tblCellMar>
            <w:left w:w="108" w:type="dxa"/>
            <w:right w:w="108" w:type="dxa"/>
          </w:tblCellMar>
        </w:tblPrEx>
        <w:trPr>
          <w:trHeight w:val="290"/>
        </w:trPr>
        <w:tc>
          <w:tcPr>
            <w:tcW w:w="977" w:type="pct"/>
            <w:noWrap/>
            <w:vAlign w:val="top"/>
          </w:tcPr>
          <w:p w14:paraId="486449C5" w14:textId="77777777" w:rsidR="00D267D5" w:rsidRPr="00490C53" w:rsidRDefault="00D267D5">
            <w:pPr>
              <w:pStyle w:val="Tabletext"/>
              <w:rPr>
                <w:lang w:eastAsia="en-GB"/>
              </w:rPr>
            </w:pPr>
          </w:p>
        </w:tc>
        <w:tc>
          <w:tcPr>
            <w:tcW w:w="1746" w:type="pct"/>
            <w:noWrap/>
            <w:vAlign w:val="top"/>
          </w:tcPr>
          <w:p w14:paraId="4A6ED5F2" w14:textId="77777777" w:rsidR="00D267D5" w:rsidRPr="00490C53" w:rsidRDefault="00D267D5">
            <w:pPr>
              <w:pStyle w:val="Tabletext"/>
              <w:rPr>
                <w:lang w:eastAsia="en-GB"/>
              </w:rPr>
            </w:pPr>
            <w:r w:rsidRPr="00490C53">
              <w:t>Increase of more than 50%</w:t>
            </w:r>
          </w:p>
        </w:tc>
        <w:tc>
          <w:tcPr>
            <w:tcW w:w="1117" w:type="pct"/>
            <w:noWrap/>
            <w:vAlign w:val="center"/>
          </w:tcPr>
          <w:p w14:paraId="1912746A" w14:textId="77777777" w:rsidR="00D267D5" w:rsidRPr="00490C53" w:rsidRDefault="00D267D5">
            <w:pPr>
              <w:pStyle w:val="Tabletext"/>
              <w:jc w:val="right"/>
              <w:rPr>
                <w:lang w:eastAsia="en-GB"/>
              </w:rPr>
            </w:pPr>
            <w:r w:rsidRPr="00490C53">
              <w:rPr>
                <w:rFonts w:cstheme="minorHAnsi"/>
                <w:szCs w:val="24"/>
              </w:rPr>
              <w:t>4.7%</w:t>
            </w:r>
          </w:p>
        </w:tc>
        <w:tc>
          <w:tcPr>
            <w:tcW w:w="1160" w:type="pct"/>
            <w:noWrap/>
            <w:vAlign w:val="center"/>
          </w:tcPr>
          <w:p w14:paraId="7408D5A1" w14:textId="77777777" w:rsidR="00D267D5" w:rsidRPr="00490C53" w:rsidRDefault="00D267D5">
            <w:pPr>
              <w:pStyle w:val="Tabletext"/>
              <w:jc w:val="right"/>
              <w:rPr>
                <w:lang w:eastAsia="en-GB"/>
              </w:rPr>
            </w:pPr>
            <w:r w:rsidRPr="00490C53">
              <w:rPr>
                <w:rFonts w:cstheme="minorHAnsi"/>
                <w:szCs w:val="24"/>
              </w:rPr>
              <w:t>0.2%</w:t>
            </w:r>
          </w:p>
        </w:tc>
      </w:tr>
      <w:tr w:rsidR="00D267D5" w:rsidRPr="00490C53" w14:paraId="773FC23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4804177" w14:textId="77777777" w:rsidR="00D267D5" w:rsidRPr="00490C53" w:rsidRDefault="00D267D5">
            <w:pPr>
              <w:pStyle w:val="Tabletext"/>
              <w:rPr>
                <w:lang w:eastAsia="en-GB"/>
              </w:rPr>
            </w:pPr>
            <w:r w:rsidRPr="00490C53">
              <w:rPr>
                <w:b/>
                <w:bCs/>
              </w:rPr>
              <w:t>Employment growth 2017/2018</w:t>
            </w:r>
          </w:p>
        </w:tc>
        <w:tc>
          <w:tcPr>
            <w:tcW w:w="1746" w:type="pct"/>
            <w:noWrap/>
            <w:vAlign w:val="top"/>
          </w:tcPr>
          <w:p w14:paraId="475C3837" w14:textId="77777777" w:rsidR="00D267D5" w:rsidRPr="00490C53" w:rsidRDefault="00D267D5">
            <w:pPr>
              <w:pStyle w:val="Tabletext"/>
              <w:rPr>
                <w:lang w:eastAsia="en-GB"/>
              </w:rPr>
            </w:pPr>
            <w:r w:rsidRPr="00490C53">
              <w:t>Decrease of more than 50%</w:t>
            </w:r>
          </w:p>
        </w:tc>
        <w:tc>
          <w:tcPr>
            <w:tcW w:w="1117" w:type="pct"/>
            <w:noWrap/>
            <w:vAlign w:val="center"/>
          </w:tcPr>
          <w:p w14:paraId="37E5627C" w14:textId="77777777" w:rsidR="00D267D5" w:rsidRPr="00490C53" w:rsidRDefault="00D267D5">
            <w:pPr>
              <w:pStyle w:val="Tabletext"/>
              <w:jc w:val="right"/>
              <w:rPr>
                <w:lang w:eastAsia="en-GB"/>
              </w:rPr>
            </w:pPr>
            <w:r w:rsidRPr="00490C53">
              <w:rPr>
                <w:rFonts w:cstheme="minorHAnsi"/>
                <w:szCs w:val="24"/>
              </w:rPr>
              <w:t>1.1%</w:t>
            </w:r>
          </w:p>
        </w:tc>
        <w:tc>
          <w:tcPr>
            <w:tcW w:w="1160" w:type="pct"/>
            <w:noWrap/>
            <w:vAlign w:val="center"/>
          </w:tcPr>
          <w:p w14:paraId="75FFF3FA"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214B12E5" w14:textId="77777777">
        <w:tblPrEx>
          <w:tblCellMar>
            <w:left w:w="108" w:type="dxa"/>
            <w:right w:w="108" w:type="dxa"/>
          </w:tblCellMar>
        </w:tblPrEx>
        <w:trPr>
          <w:trHeight w:val="290"/>
        </w:trPr>
        <w:tc>
          <w:tcPr>
            <w:tcW w:w="977" w:type="pct"/>
            <w:noWrap/>
            <w:vAlign w:val="top"/>
          </w:tcPr>
          <w:p w14:paraId="640AB6AF" w14:textId="77777777" w:rsidR="00D267D5" w:rsidRPr="00490C53" w:rsidRDefault="00D267D5">
            <w:pPr>
              <w:pStyle w:val="Tabletext"/>
              <w:rPr>
                <w:lang w:eastAsia="en-GB"/>
              </w:rPr>
            </w:pPr>
          </w:p>
        </w:tc>
        <w:tc>
          <w:tcPr>
            <w:tcW w:w="1746" w:type="pct"/>
            <w:noWrap/>
            <w:vAlign w:val="top"/>
          </w:tcPr>
          <w:p w14:paraId="0A0F3769" w14:textId="77777777" w:rsidR="00D267D5" w:rsidRPr="00490C53" w:rsidRDefault="00D267D5">
            <w:pPr>
              <w:pStyle w:val="Tabletext"/>
              <w:rPr>
                <w:lang w:eastAsia="en-GB"/>
              </w:rPr>
            </w:pPr>
            <w:r w:rsidRPr="00490C53">
              <w:t>Decrease of less than 50%</w:t>
            </w:r>
          </w:p>
        </w:tc>
        <w:tc>
          <w:tcPr>
            <w:tcW w:w="1117" w:type="pct"/>
            <w:noWrap/>
            <w:vAlign w:val="center"/>
          </w:tcPr>
          <w:p w14:paraId="04CD76D6" w14:textId="77777777" w:rsidR="00D267D5" w:rsidRPr="00490C53" w:rsidRDefault="00D267D5">
            <w:pPr>
              <w:pStyle w:val="Tabletext"/>
              <w:jc w:val="right"/>
              <w:rPr>
                <w:lang w:eastAsia="en-GB"/>
              </w:rPr>
            </w:pPr>
            <w:r w:rsidRPr="00490C53">
              <w:rPr>
                <w:rFonts w:cstheme="minorHAnsi"/>
                <w:szCs w:val="24"/>
              </w:rPr>
              <w:t>5.0%</w:t>
            </w:r>
          </w:p>
        </w:tc>
        <w:tc>
          <w:tcPr>
            <w:tcW w:w="1160" w:type="pct"/>
            <w:noWrap/>
            <w:vAlign w:val="center"/>
          </w:tcPr>
          <w:p w14:paraId="5954B25A" w14:textId="77777777" w:rsidR="00D267D5" w:rsidRPr="00490C53" w:rsidRDefault="00D267D5">
            <w:pPr>
              <w:pStyle w:val="Tabletext"/>
              <w:jc w:val="right"/>
              <w:rPr>
                <w:lang w:eastAsia="en-GB"/>
              </w:rPr>
            </w:pPr>
            <w:r w:rsidRPr="00490C53">
              <w:rPr>
                <w:rFonts w:cstheme="minorHAnsi"/>
                <w:szCs w:val="24"/>
              </w:rPr>
              <w:t>1.0%</w:t>
            </w:r>
          </w:p>
        </w:tc>
      </w:tr>
      <w:tr w:rsidR="00D267D5" w:rsidRPr="00490C53" w14:paraId="342EF7C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82099C1" w14:textId="77777777" w:rsidR="00D267D5" w:rsidRPr="00490C53" w:rsidRDefault="00D267D5">
            <w:pPr>
              <w:pStyle w:val="Tabletext"/>
              <w:rPr>
                <w:lang w:eastAsia="en-GB"/>
              </w:rPr>
            </w:pPr>
          </w:p>
        </w:tc>
        <w:tc>
          <w:tcPr>
            <w:tcW w:w="1746" w:type="pct"/>
            <w:noWrap/>
            <w:vAlign w:val="top"/>
          </w:tcPr>
          <w:p w14:paraId="75B774A6" w14:textId="77777777" w:rsidR="00D267D5" w:rsidRPr="00490C53" w:rsidRDefault="00D267D5">
            <w:pPr>
              <w:pStyle w:val="Tabletext"/>
              <w:rPr>
                <w:lang w:eastAsia="en-GB"/>
              </w:rPr>
            </w:pPr>
            <w:r w:rsidRPr="00490C53">
              <w:t>No change</w:t>
            </w:r>
          </w:p>
        </w:tc>
        <w:tc>
          <w:tcPr>
            <w:tcW w:w="1117" w:type="pct"/>
            <w:noWrap/>
            <w:vAlign w:val="center"/>
          </w:tcPr>
          <w:p w14:paraId="1A0307F5" w14:textId="77777777" w:rsidR="00D267D5" w:rsidRPr="00490C53" w:rsidRDefault="00D267D5">
            <w:pPr>
              <w:pStyle w:val="Tabletext"/>
              <w:jc w:val="right"/>
              <w:rPr>
                <w:lang w:eastAsia="en-GB"/>
              </w:rPr>
            </w:pPr>
            <w:r w:rsidRPr="00490C53">
              <w:rPr>
                <w:rFonts w:cstheme="minorHAnsi"/>
                <w:szCs w:val="24"/>
              </w:rPr>
              <w:t>26.8%</w:t>
            </w:r>
          </w:p>
        </w:tc>
        <w:tc>
          <w:tcPr>
            <w:tcW w:w="1160" w:type="pct"/>
            <w:noWrap/>
            <w:vAlign w:val="center"/>
          </w:tcPr>
          <w:p w14:paraId="0154FB07" w14:textId="77777777" w:rsidR="00D267D5" w:rsidRPr="00490C53" w:rsidRDefault="00D267D5">
            <w:pPr>
              <w:pStyle w:val="Tabletext"/>
              <w:jc w:val="right"/>
              <w:rPr>
                <w:lang w:eastAsia="en-GB"/>
              </w:rPr>
            </w:pPr>
            <w:r w:rsidRPr="00490C53">
              <w:rPr>
                <w:rFonts w:cstheme="minorHAnsi"/>
                <w:szCs w:val="24"/>
              </w:rPr>
              <w:t>1.8%</w:t>
            </w:r>
          </w:p>
        </w:tc>
      </w:tr>
      <w:tr w:rsidR="00D267D5" w:rsidRPr="00490C53" w14:paraId="2FBD03C0" w14:textId="77777777">
        <w:tblPrEx>
          <w:tblCellMar>
            <w:left w:w="108" w:type="dxa"/>
            <w:right w:w="108" w:type="dxa"/>
          </w:tblCellMar>
        </w:tblPrEx>
        <w:trPr>
          <w:trHeight w:val="290"/>
        </w:trPr>
        <w:tc>
          <w:tcPr>
            <w:tcW w:w="977" w:type="pct"/>
            <w:noWrap/>
            <w:vAlign w:val="top"/>
          </w:tcPr>
          <w:p w14:paraId="08E4B55D" w14:textId="77777777" w:rsidR="00D267D5" w:rsidRPr="00490C53" w:rsidRDefault="00D267D5">
            <w:pPr>
              <w:pStyle w:val="Tabletext"/>
              <w:rPr>
                <w:lang w:eastAsia="en-GB"/>
              </w:rPr>
            </w:pPr>
          </w:p>
        </w:tc>
        <w:tc>
          <w:tcPr>
            <w:tcW w:w="1746" w:type="pct"/>
            <w:noWrap/>
            <w:vAlign w:val="top"/>
          </w:tcPr>
          <w:p w14:paraId="490E5982" w14:textId="77777777" w:rsidR="00D267D5" w:rsidRPr="00490C53" w:rsidRDefault="00D267D5">
            <w:pPr>
              <w:pStyle w:val="Tabletext"/>
              <w:rPr>
                <w:lang w:eastAsia="en-GB"/>
              </w:rPr>
            </w:pPr>
            <w:r w:rsidRPr="00490C53">
              <w:t>Increase of less than 50%</w:t>
            </w:r>
          </w:p>
        </w:tc>
        <w:tc>
          <w:tcPr>
            <w:tcW w:w="1117" w:type="pct"/>
            <w:noWrap/>
            <w:vAlign w:val="center"/>
          </w:tcPr>
          <w:p w14:paraId="468CB292" w14:textId="77777777" w:rsidR="00D267D5" w:rsidRPr="00490C53" w:rsidRDefault="00D267D5">
            <w:pPr>
              <w:pStyle w:val="Tabletext"/>
              <w:jc w:val="right"/>
              <w:rPr>
                <w:lang w:eastAsia="en-GB"/>
              </w:rPr>
            </w:pPr>
            <w:r w:rsidRPr="00490C53">
              <w:rPr>
                <w:rFonts w:cstheme="minorHAnsi"/>
                <w:szCs w:val="24"/>
              </w:rPr>
              <w:t>19.5%</w:t>
            </w:r>
          </w:p>
        </w:tc>
        <w:tc>
          <w:tcPr>
            <w:tcW w:w="1160" w:type="pct"/>
            <w:noWrap/>
            <w:vAlign w:val="center"/>
          </w:tcPr>
          <w:p w14:paraId="1EAB6135" w14:textId="77777777" w:rsidR="00D267D5" w:rsidRPr="00490C53" w:rsidRDefault="00D267D5">
            <w:pPr>
              <w:pStyle w:val="Tabletext"/>
              <w:jc w:val="right"/>
              <w:rPr>
                <w:lang w:eastAsia="en-GB"/>
              </w:rPr>
            </w:pPr>
            <w:r w:rsidRPr="00490C53">
              <w:rPr>
                <w:rFonts w:cstheme="minorHAnsi"/>
                <w:szCs w:val="24"/>
              </w:rPr>
              <w:t>0.1%</w:t>
            </w:r>
          </w:p>
        </w:tc>
      </w:tr>
      <w:tr w:rsidR="00D267D5" w:rsidRPr="00490C53" w14:paraId="142AB70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014599E5" w14:textId="77777777" w:rsidR="00D267D5" w:rsidRPr="00490C53" w:rsidRDefault="00D267D5">
            <w:pPr>
              <w:pStyle w:val="Tabletext"/>
              <w:rPr>
                <w:lang w:eastAsia="en-GB"/>
              </w:rPr>
            </w:pPr>
          </w:p>
        </w:tc>
        <w:tc>
          <w:tcPr>
            <w:tcW w:w="1746" w:type="pct"/>
            <w:noWrap/>
            <w:vAlign w:val="top"/>
          </w:tcPr>
          <w:p w14:paraId="662DA20F" w14:textId="77777777" w:rsidR="00D267D5" w:rsidRPr="00490C53" w:rsidRDefault="00D267D5">
            <w:pPr>
              <w:pStyle w:val="Tabletext"/>
              <w:rPr>
                <w:lang w:eastAsia="en-GB"/>
              </w:rPr>
            </w:pPr>
            <w:r w:rsidRPr="00490C53">
              <w:t>Increase of more than 50%</w:t>
            </w:r>
          </w:p>
        </w:tc>
        <w:tc>
          <w:tcPr>
            <w:tcW w:w="1117" w:type="pct"/>
            <w:noWrap/>
            <w:vAlign w:val="center"/>
          </w:tcPr>
          <w:p w14:paraId="7FAEF84E" w14:textId="77777777" w:rsidR="00D267D5" w:rsidRPr="00490C53" w:rsidRDefault="00D267D5">
            <w:pPr>
              <w:pStyle w:val="Tabletext"/>
              <w:jc w:val="right"/>
              <w:rPr>
                <w:lang w:eastAsia="en-GB"/>
              </w:rPr>
            </w:pPr>
            <w:r w:rsidRPr="00490C53">
              <w:rPr>
                <w:rFonts w:cstheme="minorHAnsi"/>
                <w:szCs w:val="24"/>
              </w:rPr>
              <w:t>3.5%</w:t>
            </w:r>
          </w:p>
        </w:tc>
        <w:tc>
          <w:tcPr>
            <w:tcW w:w="1160" w:type="pct"/>
            <w:noWrap/>
            <w:vAlign w:val="center"/>
          </w:tcPr>
          <w:p w14:paraId="7678D25A" w14:textId="77777777" w:rsidR="00D267D5" w:rsidRPr="00490C53" w:rsidRDefault="00D267D5">
            <w:pPr>
              <w:pStyle w:val="Tabletext"/>
              <w:jc w:val="right"/>
              <w:rPr>
                <w:lang w:eastAsia="en-GB"/>
              </w:rPr>
            </w:pPr>
            <w:r w:rsidRPr="00490C53">
              <w:rPr>
                <w:rFonts w:cstheme="minorHAnsi"/>
                <w:szCs w:val="24"/>
              </w:rPr>
              <w:t>0.7%</w:t>
            </w:r>
          </w:p>
        </w:tc>
      </w:tr>
      <w:tr w:rsidR="00D267D5" w:rsidRPr="00490C53" w14:paraId="1B4C6F24" w14:textId="77777777">
        <w:tblPrEx>
          <w:tblCellMar>
            <w:left w:w="108" w:type="dxa"/>
            <w:right w:w="108" w:type="dxa"/>
          </w:tblCellMar>
        </w:tblPrEx>
        <w:trPr>
          <w:trHeight w:val="290"/>
        </w:trPr>
        <w:tc>
          <w:tcPr>
            <w:tcW w:w="977" w:type="pct"/>
            <w:noWrap/>
            <w:vAlign w:val="top"/>
          </w:tcPr>
          <w:p w14:paraId="45BBD2B8" w14:textId="77777777" w:rsidR="00D267D5" w:rsidRPr="00490C53" w:rsidRDefault="00D267D5">
            <w:pPr>
              <w:pStyle w:val="Tabletext"/>
              <w:rPr>
                <w:lang w:eastAsia="en-GB"/>
              </w:rPr>
            </w:pPr>
            <w:r w:rsidRPr="00490C53">
              <w:rPr>
                <w:b/>
                <w:bCs/>
              </w:rPr>
              <w:t>Employment growth 2018/2019</w:t>
            </w:r>
          </w:p>
        </w:tc>
        <w:tc>
          <w:tcPr>
            <w:tcW w:w="1746" w:type="pct"/>
            <w:noWrap/>
            <w:vAlign w:val="top"/>
          </w:tcPr>
          <w:p w14:paraId="518FB482" w14:textId="77777777" w:rsidR="00D267D5" w:rsidRPr="00490C53" w:rsidRDefault="00D267D5">
            <w:pPr>
              <w:pStyle w:val="Tabletext"/>
              <w:rPr>
                <w:lang w:eastAsia="en-GB"/>
              </w:rPr>
            </w:pPr>
            <w:r w:rsidRPr="00490C53">
              <w:t>Decrease of more than 50%</w:t>
            </w:r>
          </w:p>
        </w:tc>
        <w:tc>
          <w:tcPr>
            <w:tcW w:w="1117" w:type="pct"/>
            <w:noWrap/>
            <w:vAlign w:val="center"/>
          </w:tcPr>
          <w:p w14:paraId="110CCD00" w14:textId="77777777" w:rsidR="00D267D5" w:rsidRPr="00490C53" w:rsidRDefault="00D267D5">
            <w:pPr>
              <w:pStyle w:val="Tabletext"/>
              <w:jc w:val="right"/>
              <w:rPr>
                <w:lang w:eastAsia="en-GB"/>
              </w:rPr>
            </w:pPr>
            <w:r w:rsidRPr="00490C53">
              <w:rPr>
                <w:rFonts w:cstheme="minorHAnsi"/>
                <w:szCs w:val="24"/>
              </w:rPr>
              <w:t>0.9%</w:t>
            </w:r>
          </w:p>
        </w:tc>
        <w:tc>
          <w:tcPr>
            <w:tcW w:w="1160" w:type="pct"/>
            <w:noWrap/>
            <w:vAlign w:val="center"/>
          </w:tcPr>
          <w:p w14:paraId="33213073"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6CE1485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E5076DE" w14:textId="77777777" w:rsidR="00D267D5" w:rsidRPr="00490C53" w:rsidRDefault="00D267D5">
            <w:pPr>
              <w:pStyle w:val="Tabletext"/>
              <w:rPr>
                <w:lang w:eastAsia="en-GB"/>
              </w:rPr>
            </w:pPr>
          </w:p>
        </w:tc>
        <w:tc>
          <w:tcPr>
            <w:tcW w:w="1746" w:type="pct"/>
            <w:noWrap/>
            <w:vAlign w:val="top"/>
          </w:tcPr>
          <w:p w14:paraId="4FED04BB" w14:textId="77777777" w:rsidR="00D267D5" w:rsidRPr="00490C53" w:rsidRDefault="00D267D5">
            <w:pPr>
              <w:pStyle w:val="Tabletext"/>
              <w:rPr>
                <w:lang w:eastAsia="en-GB"/>
              </w:rPr>
            </w:pPr>
            <w:r w:rsidRPr="00490C53">
              <w:t>Decrease of less than 50%</w:t>
            </w:r>
          </w:p>
        </w:tc>
        <w:tc>
          <w:tcPr>
            <w:tcW w:w="1117" w:type="pct"/>
            <w:noWrap/>
            <w:vAlign w:val="center"/>
          </w:tcPr>
          <w:p w14:paraId="52DB4ADB" w14:textId="77777777" w:rsidR="00D267D5" w:rsidRPr="00490C53" w:rsidRDefault="00D267D5">
            <w:pPr>
              <w:pStyle w:val="Tabletext"/>
              <w:jc w:val="right"/>
              <w:rPr>
                <w:lang w:eastAsia="en-GB"/>
              </w:rPr>
            </w:pPr>
            <w:r w:rsidRPr="00490C53">
              <w:rPr>
                <w:rFonts w:cstheme="minorHAnsi"/>
                <w:szCs w:val="24"/>
              </w:rPr>
              <w:t>6.5%</w:t>
            </w:r>
          </w:p>
        </w:tc>
        <w:tc>
          <w:tcPr>
            <w:tcW w:w="1160" w:type="pct"/>
            <w:noWrap/>
            <w:vAlign w:val="center"/>
          </w:tcPr>
          <w:p w14:paraId="41D393FE" w14:textId="77777777" w:rsidR="00D267D5" w:rsidRPr="00490C53" w:rsidRDefault="00D267D5">
            <w:pPr>
              <w:pStyle w:val="Tabletext"/>
              <w:jc w:val="right"/>
              <w:rPr>
                <w:lang w:eastAsia="en-GB"/>
              </w:rPr>
            </w:pPr>
            <w:r w:rsidRPr="00490C53">
              <w:rPr>
                <w:rFonts w:cstheme="minorHAnsi"/>
                <w:szCs w:val="24"/>
              </w:rPr>
              <w:t>0.8%</w:t>
            </w:r>
          </w:p>
        </w:tc>
      </w:tr>
      <w:tr w:rsidR="00D267D5" w:rsidRPr="00490C53" w14:paraId="0CCB1501" w14:textId="77777777">
        <w:tblPrEx>
          <w:tblCellMar>
            <w:left w:w="108" w:type="dxa"/>
            <w:right w:w="108" w:type="dxa"/>
          </w:tblCellMar>
        </w:tblPrEx>
        <w:trPr>
          <w:trHeight w:val="290"/>
        </w:trPr>
        <w:tc>
          <w:tcPr>
            <w:tcW w:w="977" w:type="pct"/>
            <w:noWrap/>
            <w:vAlign w:val="top"/>
          </w:tcPr>
          <w:p w14:paraId="19A14657" w14:textId="77777777" w:rsidR="00D267D5" w:rsidRPr="00490C53" w:rsidRDefault="00D267D5">
            <w:pPr>
              <w:pStyle w:val="Tabletext"/>
              <w:rPr>
                <w:lang w:eastAsia="en-GB"/>
              </w:rPr>
            </w:pPr>
          </w:p>
        </w:tc>
        <w:tc>
          <w:tcPr>
            <w:tcW w:w="1746" w:type="pct"/>
            <w:noWrap/>
            <w:vAlign w:val="top"/>
          </w:tcPr>
          <w:p w14:paraId="5B144082" w14:textId="77777777" w:rsidR="00D267D5" w:rsidRPr="00490C53" w:rsidRDefault="00D267D5">
            <w:pPr>
              <w:pStyle w:val="Tabletext"/>
              <w:rPr>
                <w:lang w:eastAsia="en-GB"/>
              </w:rPr>
            </w:pPr>
            <w:r w:rsidRPr="00490C53">
              <w:t>No change</w:t>
            </w:r>
          </w:p>
        </w:tc>
        <w:tc>
          <w:tcPr>
            <w:tcW w:w="1117" w:type="pct"/>
            <w:noWrap/>
            <w:vAlign w:val="center"/>
          </w:tcPr>
          <w:p w14:paraId="32FBB151" w14:textId="77777777" w:rsidR="00D267D5" w:rsidRPr="00490C53" w:rsidRDefault="00D267D5">
            <w:pPr>
              <w:pStyle w:val="Tabletext"/>
              <w:jc w:val="right"/>
              <w:rPr>
                <w:lang w:eastAsia="en-GB"/>
              </w:rPr>
            </w:pPr>
            <w:r w:rsidRPr="00490C53">
              <w:rPr>
                <w:rFonts w:cstheme="minorHAnsi"/>
                <w:szCs w:val="24"/>
              </w:rPr>
              <w:t>29.3%</w:t>
            </w:r>
          </w:p>
        </w:tc>
        <w:tc>
          <w:tcPr>
            <w:tcW w:w="1160" w:type="pct"/>
            <w:noWrap/>
            <w:vAlign w:val="center"/>
          </w:tcPr>
          <w:p w14:paraId="7CCE2E17" w14:textId="77777777" w:rsidR="00D267D5" w:rsidRPr="00490C53" w:rsidRDefault="00D267D5">
            <w:pPr>
              <w:pStyle w:val="Tabletext"/>
              <w:jc w:val="right"/>
              <w:rPr>
                <w:lang w:eastAsia="en-GB"/>
              </w:rPr>
            </w:pPr>
            <w:r w:rsidRPr="00490C53">
              <w:rPr>
                <w:rFonts w:cstheme="minorHAnsi"/>
                <w:szCs w:val="24"/>
              </w:rPr>
              <w:t>0.7%</w:t>
            </w:r>
          </w:p>
        </w:tc>
      </w:tr>
      <w:tr w:rsidR="00D267D5" w:rsidRPr="00490C53" w14:paraId="046DDD7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65F18986" w14:textId="77777777" w:rsidR="00D267D5" w:rsidRPr="00490C53" w:rsidRDefault="00D267D5">
            <w:pPr>
              <w:pStyle w:val="Tabletext"/>
              <w:rPr>
                <w:lang w:eastAsia="en-GB"/>
              </w:rPr>
            </w:pPr>
          </w:p>
        </w:tc>
        <w:tc>
          <w:tcPr>
            <w:tcW w:w="1746" w:type="pct"/>
            <w:noWrap/>
            <w:vAlign w:val="top"/>
          </w:tcPr>
          <w:p w14:paraId="7E35C26D" w14:textId="77777777" w:rsidR="00D267D5" w:rsidRPr="00490C53" w:rsidRDefault="00D267D5">
            <w:pPr>
              <w:pStyle w:val="Tabletext"/>
              <w:rPr>
                <w:lang w:eastAsia="en-GB"/>
              </w:rPr>
            </w:pPr>
            <w:r w:rsidRPr="00490C53">
              <w:t>Increase of less than 50%</w:t>
            </w:r>
          </w:p>
        </w:tc>
        <w:tc>
          <w:tcPr>
            <w:tcW w:w="1117" w:type="pct"/>
            <w:noWrap/>
            <w:vAlign w:val="center"/>
          </w:tcPr>
          <w:p w14:paraId="6F70CD40" w14:textId="77777777" w:rsidR="00D267D5" w:rsidRPr="00490C53" w:rsidRDefault="00D267D5">
            <w:pPr>
              <w:pStyle w:val="Tabletext"/>
              <w:jc w:val="right"/>
              <w:rPr>
                <w:lang w:eastAsia="en-GB"/>
              </w:rPr>
            </w:pPr>
            <w:r w:rsidRPr="00490C53">
              <w:rPr>
                <w:rFonts w:cstheme="minorHAnsi"/>
                <w:szCs w:val="24"/>
              </w:rPr>
              <w:t>20.1%</w:t>
            </w:r>
          </w:p>
        </w:tc>
        <w:tc>
          <w:tcPr>
            <w:tcW w:w="1160" w:type="pct"/>
            <w:noWrap/>
            <w:vAlign w:val="center"/>
          </w:tcPr>
          <w:p w14:paraId="557F019E" w14:textId="77777777" w:rsidR="00D267D5" w:rsidRPr="00490C53" w:rsidRDefault="00D267D5">
            <w:pPr>
              <w:pStyle w:val="Tabletext"/>
              <w:jc w:val="right"/>
              <w:rPr>
                <w:lang w:eastAsia="en-GB"/>
              </w:rPr>
            </w:pPr>
            <w:r w:rsidRPr="00490C53">
              <w:rPr>
                <w:rFonts w:cstheme="minorHAnsi"/>
                <w:szCs w:val="24"/>
              </w:rPr>
              <w:t>0.4%</w:t>
            </w:r>
          </w:p>
        </w:tc>
      </w:tr>
      <w:tr w:rsidR="00D267D5" w:rsidRPr="00490C53" w14:paraId="553787E6" w14:textId="77777777">
        <w:tblPrEx>
          <w:tblCellMar>
            <w:left w:w="108" w:type="dxa"/>
            <w:right w:w="108" w:type="dxa"/>
          </w:tblCellMar>
        </w:tblPrEx>
        <w:trPr>
          <w:trHeight w:val="290"/>
        </w:trPr>
        <w:tc>
          <w:tcPr>
            <w:tcW w:w="977" w:type="pct"/>
            <w:noWrap/>
            <w:vAlign w:val="top"/>
          </w:tcPr>
          <w:p w14:paraId="05D7157A" w14:textId="77777777" w:rsidR="00D267D5" w:rsidRPr="00490C53" w:rsidRDefault="00D267D5">
            <w:pPr>
              <w:pStyle w:val="Tabletext"/>
              <w:rPr>
                <w:lang w:eastAsia="en-GB"/>
              </w:rPr>
            </w:pPr>
          </w:p>
        </w:tc>
        <w:tc>
          <w:tcPr>
            <w:tcW w:w="1746" w:type="pct"/>
            <w:noWrap/>
            <w:vAlign w:val="top"/>
          </w:tcPr>
          <w:p w14:paraId="275F8F9C" w14:textId="77777777" w:rsidR="00D267D5" w:rsidRPr="00490C53" w:rsidRDefault="00D267D5">
            <w:pPr>
              <w:pStyle w:val="Tabletext"/>
              <w:rPr>
                <w:lang w:eastAsia="en-GB"/>
              </w:rPr>
            </w:pPr>
            <w:r w:rsidRPr="00490C53">
              <w:t>Increase of more than 50%</w:t>
            </w:r>
          </w:p>
        </w:tc>
        <w:tc>
          <w:tcPr>
            <w:tcW w:w="1117" w:type="pct"/>
            <w:noWrap/>
            <w:vAlign w:val="center"/>
          </w:tcPr>
          <w:p w14:paraId="1815268C" w14:textId="77777777" w:rsidR="00D267D5" w:rsidRPr="00490C53" w:rsidRDefault="00D267D5">
            <w:pPr>
              <w:pStyle w:val="Tabletext"/>
              <w:jc w:val="right"/>
              <w:rPr>
                <w:lang w:eastAsia="en-GB"/>
              </w:rPr>
            </w:pPr>
            <w:r w:rsidRPr="00490C53">
              <w:rPr>
                <w:rFonts w:cstheme="minorHAnsi"/>
                <w:szCs w:val="24"/>
              </w:rPr>
              <w:t>3.7%</w:t>
            </w:r>
          </w:p>
        </w:tc>
        <w:tc>
          <w:tcPr>
            <w:tcW w:w="1160" w:type="pct"/>
            <w:noWrap/>
            <w:vAlign w:val="center"/>
          </w:tcPr>
          <w:p w14:paraId="7E747849" w14:textId="77777777" w:rsidR="00D267D5" w:rsidRPr="00490C53" w:rsidRDefault="00D267D5">
            <w:pPr>
              <w:pStyle w:val="Tabletext"/>
              <w:jc w:val="right"/>
              <w:rPr>
                <w:lang w:eastAsia="en-GB"/>
              </w:rPr>
            </w:pPr>
            <w:r w:rsidRPr="00490C53">
              <w:rPr>
                <w:rFonts w:cstheme="minorHAnsi"/>
                <w:szCs w:val="24"/>
              </w:rPr>
              <w:t>0.3%</w:t>
            </w:r>
          </w:p>
        </w:tc>
      </w:tr>
      <w:tr w:rsidR="00D267D5" w:rsidRPr="00490C53" w14:paraId="5486844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E65544D" w14:textId="77777777" w:rsidR="00D267D5" w:rsidRPr="00490C53" w:rsidRDefault="00D267D5">
            <w:pPr>
              <w:pStyle w:val="Tabletext"/>
              <w:rPr>
                <w:lang w:eastAsia="en-GB"/>
              </w:rPr>
            </w:pPr>
            <w:r w:rsidRPr="00490C53">
              <w:rPr>
                <w:b/>
                <w:bCs/>
              </w:rPr>
              <w:lastRenderedPageBreak/>
              <w:t>Age</w:t>
            </w:r>
          </w:p>
        </w:tc>
        <w:tc>
          <w:tcPr>
            <w:tcW w:w="1746" w:type="pct"/>
            <w:noWrap/>
            <w:vAlign w:val="top"/>
          </w:tcPr>
          <w:p w14:paraId="205FEE55" w14:textId="77777777" w:rsidR="00D267D5" w:rsidRPr="00490C53" w:rsidRDefault="00D267D5">
            <w:pPr>
              <w:pStyle w:val="Tabletext"/>
              <w:rPr>
                <w:lang w:eastAsia="en-GB"/>
              </w:rPr>
            </w:pPr>
            <w:r w:rsidRPr="00490C53">
              <w:t>2 Years or less</w:t>
            </w:r>
          </w:p>
        </w:tc>
        <w:tc>
          <w:tcPr>
            <w:tcW w:w="1117" w:type="pct"/>
            <w:noWrap/>
            <w:vAlign w:val="center"/>
          </w:tcPr>
          <w:p w14:paraId="1B46FCFC" w14:textId="77777777" w:rsidR="00D267D5" w:rsidRPr="00490C53" w:rsidRDefault="00D267D5">
            <w:pPr>
              <w:pStyle w:val="Tabletext"/>
              <w:jc w:val="right"/>
              <w:rPr>
                <w:lang w:eastAsia="en-GB"/>
              </w:rPr>
            </w:pPr>
            <w:r w:rsidRPr="00490C53">
              <w:rPr>
                <w:rFonts w:cstheme="minorHAnsi"/>
                <w:szCs w:val="24"/>
              </w:rPr>
              <w:t>14.2%</w:t>
            </w:r>
          </w:p>
        </w:tc>
        <w:tc>
          <w:tcPr>
            <w:tcW w:w="1160" w:type="pct"/>
            <w:noWrap/>
            <w:vAlign w:val="center"/>
          </w:tcPr>
          <w:p w14:paraId="0D641BAD" w14:textId="77777777" w:rsidR="00D267D5" w:rsidRPr="00490C53" w:rsidRDefault="00D267D5">
            <w:pPr>
              <w:pStyle w:val="Tabletext"/>
              <w:jc w:val="right"/>
              <w:rPr>
                <w:lang w:eastAsia="en-GB"/>
              </w:rPr>
            </w:pPr>
            <w:r w:rsidRPr="00490C53">
              <w:rPr>
                <w:rFonts w:cstheme="minorHAnsi"/>
                <w:szCs w:val="24"/>
              </w:rPr>
              <w:t>0.0%</w:t>
            </w:r>
          </w:p>
        </w:tc>
      </w:tr>
      <w:tr w:rsidR="00D267D5" w:rsidRPr="00490C53" w14:paraId="44D526A6" w14:textId="77777777">
        <w:tblPrEx>
          <w:tblCellMar>
            <w:left w:w="108" w:type="dxa"/>
            <w:right w:w="108" w:type="dxa"/>
          </w:tblCellMar>
        </w:tblPrEx>
        <w:trPr>
          <w:trHeight w:val="290"/>
        </w:trPr>
        <w:tc>
          <w:tcPr>
            <w:tcW w:w="977" w:type="pct"/>
            <w:noWrap/>
            <w:vAlign w:val="top"/>
          </w:tcPr>
          <w:p w14:paraId="478E709D" w14:textId="77777777" w:rsidR="00D267D5" w:rsidRPr="00490C53" w:rsidRDefault="00D267D5">
            <w:pPr>
              <w:pStyle w:val="Tabletext"/>
              <w:rPr>
                <w:lang w:eastAsia="en-GB"/>
              </w:rPr>
            </w:pPr>
          </w:p>
        </w:tc>
        <w:tc>
          <w:tcPr>
            <w:tcW w:w="1746" w:type="pct"/>
            <w:noWrap/>
            <w:vAlign w:val="top"/>
          </w:tcPr>
          <w:p w14:paraId="3E830D6E" w14:textId="77777777" w:rsidR="00D267D5" w:rsidRPr="00490C53" w:rsidRDefault="00D267D5">
            <w:pPr>
              <w:pStyle w:val="Tabletext"/>
              <w:rPr>
                <w:lang w:eastAsia="en-GB"/>
              </w:rPr>
            </w:pPr>
            <w:r w:rsidRPr="00490C53">
              <w:t>3-5 Years</w:t>
            </w:r>
          </w:p>
        </w:tc>
        <w:tc>
          <w:tcPr>
            <w:tcW w:w="1117" w:type="pct"/>
            <w:noWrap/>
            <w:vAlign w:val="center"/>
          </w:tcPr>
          <w:p w14:paraId="44A6F8FF" w14:textId="77777777" w:rsidR="00D267D5" w:rsidRPr="00490C53" w:rsidRDefault="00D267D5">
            <w:pPr>
              <w:pStyle w:val="Tabletext"/>
              <w:jc w:val="right"/>
              <w:rPr>
                <w:lang w:eastAsia="en-GB"/>
              </w:rPr>
            </w:pPr>
            <w:r w:rsidRPr="00490C53">
              <w:rPr>
                <w:rFonts w:cstheme="minorHAnsi"/>
                <w:szCs w:val="24"/>
              </w:rPr>
              <w:t>14.4%</w:t>
            </w:r>
          </w:p>
        </w:tc>
        <w:tc>
          <w:tcPr>
            <w:tcW w:w="1160" w:type="pct"/>
            <w:noWrap/>
            <w:vAlign w:val="center"/>
          </w:tcPr>
          <w:p w14:paraId="54AB25C7" w14:textId="77777777" w:rsidR="00D267D5" w:rsidRPr="00490C53" w:rsidRDefault="00D267D5">
            <w:pPr>
              <w:pStyle w:val="Tabletext"/>
              <w:jc w:val="right"/>
              <w:rPr>
                <w:lang w:eastAsia="en-GB"/>
              </w:rPr>
            </w:pPr>
            <w:r w:rsidRPr="00490C53">
              <w:rPr>
                <w:rFonts w:cstheme="minorHAnsi"/>
                <w:szCs w:val="24"/>
              </w:rPr>
              <w:t>0.5%</w:t>
            </w:r>
          </w:p>
        </w:tc>
      </w:tr>
      <w:tr w:rsidR="00D267D5" w:rsidRPr="00490C53" w14:paraId="71E416B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0388299" w14:textId="77777777" w:rsidR="00D267D5" w:rsidRPr="00490C53" w:rsidRDefault="00D267D5">
            <w:pPr>
              <w:pStyle w:val="Tabletext"/>
              <w:rPr>
                <w:lang w:eastAsia="en-GB"/>
              </w:rPr>
            </w:pPr>
          </w:p>
        </w:tc>
        <w:tc>
          <w:tcPr>
            <w:tcW w:w="1746" w:type="pct"/>
            <w:noWrap/>
            <w:vAlign w:val="top"/>
          </w:tcPr>
          <w:p w14:paraId="52F70EAF" w14:textId="77777777" w:rsidR="00D267D5" w:rsidRPr="00490C53" w:rsidRDefault="00D267D5">
            <w:pPr>
              <w:pStyle w:val="Tabletext"/>
              <w:rPr>
                <w:lang w:eastAsia="en-GB"/>
              </w:rPr>
            </w:pPr>
            <w:r w:rsidRPr="00490C53">
              <w:t>6-10 Years</w:t>
            </w:r>
          </w:p>
        </w:tc>
        <w:tc>
          <w:tcPr>
            <w:tcW w:w="1117" w:type="pct"/>
            <w:noWrap/>
            <w:vAlign w:val="center"/>
          </w:tcPr>
          <w:p w14:paraId="6AFB2703" w14:textId="77777777" w:rsidR="00D267D5" w:rsidRPr="00490C53" w:rsidRDefault="00D267D5">
            <w:pPr>
              <w:pStyle w:val="Tabletext"/>
              <w:jc w:val="right"/>
              <w:rPr>
                <w:lang w:eastAsia="en-GB"/>
              </w:rPr>
            </w:pPr>
            <w:r w:rsidRPr="00490C53">
              <w:rPr>
                <w:rFonts w:cstheme="minorHAnsi"/>
                <w:szCs w:val="24"/>
              </w:rPr>
              <w:t>0.3%</w:t>
            </w:r>
          </w:p>
        </w:tc>
        <w:tc>
          <w:tcPr>
            <w:tcW w:w="1160" w:type="pct"/>
            <w:noWrap/>
            <w:vAlign w:val="center"/>
          </w:tcPr>
          <w:p w14:paraId="40149D52" w14:textId="77777777" w:rsidR="00D267D5" w:rsidRPr="00490C53" w:rsidRDefault="00D267D5">
            <w:pPr>
              <w:pStyle w:val="Tabletext"/>
              <w:jc w:val="right"/>
              <w:rPr>
                <w:lang w:eastAsia="en-GB"/>
              </w:rPr>
            </w:pPr>
            <w:r w:rsidRPr="00490C53">
              <w:rPr>
                <w:rFonts w:cstheme="minorHAnsi"/>
                <w:szCs w:val="24"/>
              </w:rPr>
              <w:t>0.6%</w:t>
            </w:r>
          </w:p>
        </w:tc>
      </w:tr>
      <w:tr w:rsidR="00D267D5" w:rsidRPr="00490C53" w14:paraId="06C1D1C9" w14:textId="77777777">
        <w:tblPrEx>
          <w:tblCellMar>
            <w:left w:w="108" w:type="dxa"/>
            <w:right w:w="108" w:type="dxa"/>
          </w:tblCellMar>
        </w:tblPrEx>
        <w:trPr>
          <w:trHeight w:val="290"/>
        </w:trPr>
        <w:tc>
          <w:tcPr>
            <w:tcW w:w="977" w:type="pct"/>
            <w:noWrap/>
            <w:vAlign w:val="top"/>
          </w:tcPr>
          <w:p w14:paraId="564993EC" w14:textId="77777777" w:rsidR="00D267D5" w:rsidRPr="00490C53" w:rsidRDefault="00D267D5">
            <w:pPr>
              <w:pStyle w:val="Tabletext"/>
              <w:rPr>
                <w:lang w:eastAsia="en-GB"/>
              </w:rPr>
            </w:pPr>
          </w:p>
        </w:tc>
        <w:tc>
          <w:tcPr>
            <w:tcW w:w="1746" w:type="pct"/>
            <w:noWrap/>
            <w:vAlign w:val="top"/>
          </w:tcPr>
          <w:p w14:paraId="5FBCAC5C" w14:textId="77777777" w:rsidR="00D267D5" w:rsidRPr="00490C53" w:rsidRDefault="00D267D5">
            <w:pPr>
              <w:pStyle w:val="Tabletext"/>
              <w:rPr>
                <w:lang w:eastAsia="en-GB"/>
              </w:rPr>
            </w:pPr>
            <w:r w:rsidRPr="00490C53">
              <w:t>11-15 Years</w:t>
            </w:r>
          </w:p>
        </w:tc>
        <w:tc>
          <w:tcPr>
            <w:tcW w:w="1117" w:type="pct"/>
            <w:noWrap/>
            <w:vAlign w:val="center"/>
          </w:tcPr>
          <w:p w14:paraId="642D2747" w14:textId="77777777" w:rsidR="00D267D5" w:rsidRPr="00490C53" w:rsidRDefault="00D267D5">
            <w:pPr>
              <w:pStyle w:val="Tabletext"/>
              <w:jc w:val="right"/>
              <w:rPr>
                <w:lang w:eastAsia="en-GB"/>
              </w:rPr>
            </w:pPr>
            <w:r w:rsidRPr="00490C53">
              <w:rPr>
                <w:rFonts w:cstheme="minorHAnsi"/>
                <w:szCs w:val="24"/>
              </w:rPr>
              <w:t>3.9%</w:t>
            </w:r>
          </w:p>
        </w:tc>
        <w:tc>
          <w:tcPr>
            <w:tcW w:w="1160" w:type="pct"/>
            <w:noWrap/>
            <w:vAlign w:val="center"/>
          </w:tcPr>
          <w:p w14:paraId="3348B12D" w14:textId="77777777" w:rsidR="00D267D5" w:rsidRPr="00490C53" w:rsidRDefault="00D267D5">
            <w:pPr>
              <w:pStyle w:val="Tabletext"/>
              <w:jc w:val="right"/>
              <w:rPr>
                <w:lang w:eastAsia="en-GB"/>
              </w:rPr>
            </w:pPr>
            <w:r w:rsidRPr="00490C53">
              <w:rPr>
                <w:rFonts w:cstheme="minorHAnsi"/>
                <w:szCs w:val="24"/>
              </w:rPr>
              <w:t>0.5%</w:t>
            </w:r>
          </w:p>
        </w:tc>
      </w:tr>
      <w:tr w:rsidR="00D267D5" w:rsidRPr="00490C53" w14:paraId="3A56B1A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5499B59B" w14:textId="77777777" w:rsidR="00D267D5" w:rsidRPr="00490C53" w:rsidRDefault="00D267D5">
            <w:pPr>
              <w:pStyle w:val="Tabletext"/>
              <w:rPr>
                <w:lang w:eastAsia="en-GB"/>
              </w:rPr>
            </w:pPr>
          </w:p>
        </w:tc>
        <w:tc>
          <w:tcPr>
            <w:tcW w:w="1746" w:type="pct"/>
            <w:noWrap/>
            <w:vAlign w:val="top"/>
          </w:tcPr>
          <w:p w14:paraId="27D8CDE2" w14:textId="77777777" w:rsidR="00D267D5" w:rsidRPr="00490C53" w:rsidRDefault="00D267D5">
            <w:pPr>
              <w:pStyle w:val="Tabletext"/>
              <w:rPr>
                <w:lang w:eastAsia="en-GB"/>
              </w:rPr>
            </w:pPr>
            <w:r w:rsidRPr="00490C53">
              <w:t>16-20 Years</w:t>
            </w:r>
          </w:p>
        </w:tc>
        <w:tc>
          <w:tcPr>
            <w:tcW w:w="1117" w:type="pct"/>
            <w:noWrap/>
            <w:vAlign w:val="center"/>
          </w:tcPr>
          <w:p w14:paraId="435F1105" w14:textId="77777777" w:rsidR="00D267D5" w:rsidRPr="00490C53" w:rsidRDefault="00D267D5">
            <w:pPr>
              <w:pStyle w:val="Tabletext"/>
              <w:jc w:val="right"/>
              <w:rPr>
                <w:lang w:eastAsia="en-GB"/>
              </w:rPr>
            </w:pPr>
            <w:r w:rsidRPr="00490C53">
              <w:rPr>
                <w:rFonts w:cstheme="minorHAnsi"/>
                <w:szCs w:val="24"/>
              </w:rPr>
              <w:t>4.6%</w:t>
            </w:r>
          </w:p>
        </w:tc>
        <w:tc>
          <w:tcPr>
            <w:tcW w:w="1160" w:type="pct"/>
            <w:noWrap/>
            <w:vAlign w:val="center"/>
          </w:tcPr>
          <w:p w14:paraId="311CD651" w14:textId="77777777" w:rsidR="00D267D5" w:rsidRPr="00490C53" w:rsidRDefault="00D267D5">
            <w:pPr>
              <w:pStyle w:val="Tabletext"/>
              <w:jc w:val="right"/>
              <w:rPr>
                <w:lang w:eastAsia="en-GB"/>
              </w:rPr>
            </w:pPr>
            <w:r w:rsidRPr="00490C53">
              <w:rPr>
                <w:rFonts w:cstheme="minorHAnsi"/>
                <w:szCs w:val="24"/>
              </w:rPr>
              <w:t>0.3%</w:t>
            </w:r>
          </w:p>
        </w:tc>
      </w:tr>
      <w:tr w:rsidR="00D267D5" w:rsidRPr="00490C53" w14:paraId="6A43CEEE" w14:textId="77777777">
        <w:tblPrEx>
          <w:tblCellMar>
            <w:left w:w="108" w:type="dxa"/>
            <w:right w:w="108" w:type="dxa"/>
          </w:tblCellMar>
        </w:tblPrEx>
        <w:trPr>
          <w:trHeight w:val="290"/>
        </w:trPr>
        <w:tc>
          <w:tcPr>
            <w:tcW w:w="977" w:type="pct"/>
            <w:noWrap/>
            <w:vAlign w:val="top"/>
          </w:tcPr>
          <w:p w14:paraId="2AEB01EE" w14:textId="77777777" w:rsidR="00D267D5" w:rsidRPr="00490C53" w:rsidRDefault="00D267D5">
            <w:pPr>
              <w:pStyle w:val="Tabletext"/>
              <w:rPr>
                <w:lang w:eastAsia="en-GB"/>
              </w:rPr>
            </w:pPr>
          </w:p>
        </w:tc>
        <w:tc>
          <w:tcPr>
            <w:tcW w:w="1746" w:type="pct"/>
            <w:noWrap/>
            <w:vAlign w:val="top"/>
          </w:tcPr>
          <w:p w14:paraId="14B5D743" w14:textId="77777777" w:rsidR="00D267D5" w:rsidRPr="00490C53" w:rsidRDefault="00D267D5">
            <w:pPr>
              <w:pStyle w:val="Tabletext"/>
              <w:rPr>
                <w:lang w:eastAsia="en-GB"/>
              </w:rPr>
            </w:pPr>
            <w:r w:rsidRPr="00490C53">
              <w:t>21-40 Years</w:t>
            </w:r>
          </w:p>
        </w:tc>
        <w:tc>
          <w:tcPr>
            <w:tcW w:w="1117" w:type="pct"/>
            <w:noWrap/>
            <w:vAlign w:val="center"/>
          </w:tcPr>
          <w:p w14:paraId="1F0FE9FA" w14:textId="77777777" w:rsidR="00D267D5" w:rsidRPr="00490C53" w:rsidRDefault="00D267D5">
            <w:pPr>
              <w:pStyle w:val="Tabletext"/>
              <w:jc w:val="right"/>
              <w:rPr>
                <w:lang w:eastAsia="en-GB"/>
              </w:rPr>
            </w:pPr>
            <w:r w:rsidRPr="00490C53">
              <w:rPr>
                <w:rFonts w:cstheme="minorHAnsi"/>
                <w:szCs w:val="24"/>
              </w:rPr>
              <w:t>13.3%</w:t>
            </w:r>
          </w:p>
        </w:tc>
        <w:tc>
          <w:tcPr>
            <w:tcW w:w="1160" w:type="pct"/>
            <w:noWrap/>
            <w:vAlign w:val="center"/>
          </w:tcPr>
          <w:p w14:paraId="408FDDFB" w14:textId="77777777" w:rsidR="00D267D5" w:rsidRPr="00490C53" w:rsidRDefault="00D267D5">
            <w:pPr>
              <w:pStyle w:val="Tabletext"/>
              <w:jc w:val="right"/>
              <w:rPr>
                <w:lang w:eastAsia="en-GB"/>
              </w:rPr>
            </w:pPr>
            <w:r w:rsidRPr="00490C53">
              <w:rPr>
                <w:rFonts w:cstheme="minorHAnsi"/>
                <w:szCs w:val="24"/>
              </w:rPr>
              <w:t>1.0%</w:t>
            </w:r>
          </w:p>
        </w:tc>
      </w:tr>
      <w:tr w:rsidR="00D267D5" w:rsidRPr="00490C53" w14:paraId="50AB251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90"/>
        </w:trPr>
        <w:tc>
          <w:tcPr>
            <w:tcW w:w="977" w:type="pct"/>
            <w:noWrap/>
            <w:vAlign w:val="top"/>
          </w:tcPr>
          <w:p w14:paraId="46667E1E" w14:textId="77777777" w:rsidR="00D267D5" w:rsidRPr="00490C53" w:rsidRDefault="00D267D5">
            <w:pPr>
              <w:pStyle w:val="Tabletext"/>
              <w:rPr>
                <w:lang w:eastAsia="en-GB"/>
              </w:rPr>
            </w:pPr>
          </w:p>
        </w:tc>
        <w:tc>
          <w:tcPr>
            <w:tcW w:w="1746" w:type="pct"/>
            <w:noWrap/>
            <w:vAlign w:val="top"/>
          </w:tcPr>
          <w:p w14:paraId="65010FD3" w14:textId="77777777" w:rsidR="00D267D5" w:rsidRPr="00490C53" w:rsidRDefault="00D267D5">
            <w:pPr>
              <w:pStyle w:val="Tabletext"/>
              <w:rPr>
                <w:lang w:eastAsia="en-GB"/>
              </w:rPr>
            </w:pPr>
            <w:r w:rsidRPr="00490C53">
              <w:t>More than 40 Years</w:t>
            </w:r>
          </w:p>
        </w:tc>
        <w:tc>
          <w:tcPr>
            <w:tcW w:w="1117" w:type="pct"/>
            <w:noWrap/>
            <w:vAlign w:val="center"/>
          </w:tcPr>
          <w:p w14:paraId="74C90411" w14:textId="77777777" w:rsidR="00D267D5" w:rsidRPr="00490C53" w:rsidRDefault="00D267D5">
            <w:pPr>
              <w:pStyle w:val="Tabletext"/>
              <w:jc w:val="right"/>
              <w:rPr>
                <w:lang w:eastAsia="en-GB"/>
              </w:rPr>
            </w:pPr>
            <w:r w:rsidRPr="00490C53">
              <w:rPr>
                <w:rFonts w:cstheme="minorHAnsi"/>
                <w:szCs w:val="24"/>
              </w:rPr>
              <w:t>7.2%</w:t>
            </w:r>
          </w:p>
        </w:tc>
        <w:tc>
          <w:tcPr>
            <w:tcW w:w="1160" w:type="pct"/>
            <w:noWrap/>
            <w:vAlign w:val="center"/>
          </w:tcPr>
          <w:p w14:paraId="5EADE806" w14:textId="77777777" w:rsidR="00D267D5" w:rsidRPr="00490C53" w:rsidRDefault="00D267D5">
            <w:pPr>
              <w:pStyle w:val="Tabletext"/>
              <w:jc w:val="right"/>
              <w:rPr>
                <w:lang w:eastAsia="en-GB"/>
              </w:rPr>
            </w:pPr>
            <w:r w:rsidRPr="00490C53">
              <w:rPr>
                <w:rFonts w:cstheme="minorHAnsi"/>
                <w:szCs w:val="24"/>
              </w:rPr>
              <w:t>0.5%</w:t>
            </w:r>
          </w:p>
        </w:tc>
      </w:tr>
      <w:tr w:rsidR="00D267D5" w:rsidRPr="00490C53" w14:paraId="18F97556" w14:textId="77777777">
        <w:tblPrEx>
          <w:tblCellMar>
            <w:left w:w="108" w:type="dxa"/>
            <w:right w:w="108" w:type="dxa"/>
          </w:tblCellMar>
        </w:tblPrEx>
        <w:trPr>
          <w:trHeight w:val="290"/>
        </w:trPr>
        <w:tc>
          <w:tcPr>
            <w:tcW w:w="977" w:type="pct"/>
            <w:tcBorders>
              <w:bottom w:val="single" w:sz="4" w:space="0" w:color="0054BA" w:themeColor="accent2"/>
            </w:tcBorders>
            <w:noWrap/>
            <w:vAlign w:val="top"/>
          </w:tcPr>
          <w:p w14:paraId="50BAC74F" w14:textId="77777777" w:rsidR="00D267D5" w:rsidRPr="00490C53" w:rsidRDefault="00D267D5">
            <w:pPr>
              <w:pStyle w:val="Tabletext"/>
              <w:rPr>
                <w:lang w:eastAsia="en-GB"/>
              </w:rPr>
            </w:pPr>
            <w:r w:rsidRPr="00490C53">
              <w:rPr>
                <w:b/>
                <w:bCs/>
              </w:rPr>
              <w:t>Average</w:t>
            </w:r>
          </w:p>
        </w:tc>
        <w:tc>
          <w:tcPr>
            <w:tcW w:w="1746" w:type="pct"/>
            <w:tcBorders>
              <w:bottom w:val="single" w:sz="4" w:space="0" w:color="0054BA" w:themeColor="accent2"/>
            </w:tcBorders>
            <w:noWrap/>
            <w:vAlign w:val="top"/>
          </w:tcPr>
          <w:p w14:paraId="287D0761" w14:textId="77777777" w:rsidR="00D267D5" w:rsidRPr="00490C53" w:rsidRDefault="00D267D5">
            <w:pPr>
              <w:pStyle w:val="Tabletext"/>
              <w:rPr>
                <w:lang w:eastAsia="en-GB"/>
              </w:rPr>
            </w:pPr>
          </w:p>
        </w:tc>
        <w:tc>
          <w:tcPr>
            <w:tcW w:w="1117" w:type="pct"/>
            <w:tcBorders>
              <w:bottom w:val="single" w:sz="4" w:space="0" w:color="0054BA" w:themeColor="accent2"/>
            </w:tcBorders>
            <w:noWrap/>
            <w:vAlign w:val="center"/>
          </w:tcPr>
          <w:p w14:paraId="5F90DA5F" w14:textId="77777777" w:rsidR="00D267D5" w:rsidRPr="00490C53" w:rsidRDefault="00D267D5">
            <w:pPr>
              <w:pStyle w:val="Tabletext"/>
              <w:jc w:val="right"/>
              <w:rPr>
                <w:lang w:eastAsia="en-GB"/>
              </w:rPr>
            </w:pPr>
            <w:r w:rsidRPr="00490C53">
              <w:rPr>
                <w:rFonts w:cstheme="minorHAnsi"/>
                <w:b/>
                <w:bCs/>
                <w:szCs w:val="24"/>
              </w:rPr>
              <w:t>8.2%</w:t>
            </w:r>
          </w:p>
        </w:tc>
        <w:tc>
          <w:tcPr>
            <w:tcW w:w="1160" w:type="pct"/>
            <w:tcBorders>
              <w:bottom w:val="single" w:sz="4" w:space="0" w:color="0054BA" w:themeColor="accent2"/>
            </w:tcBorders>
            <w:noWrap/>
            <w:vAlign w:val="center"/>
          </w:tcPr>
          <w:p w14:paraId="531648F3" w14:textId="77777777" w:rsidR="00D267D5" w:rsidRPr="00490C53" w:rsidRDefault="00D267D5">
            <w:pPr>
              <w:pStyle w:val="Tabletext"/>
              <w:jc w:val="right"/>
              <w:rPr>
                <w:lang w:eastAsia="en-GB"/>
              </w:rPr>
            </w:pPr>
            <w:r w:rsidRPr="00490C53">
              <w:rPr>
                <w:rFonts w:cstheme="minorHAnsi"/>
                <w:b/>
                <w:bCs/>
                <w:szCs w:val="24"/>
              </w:rPr>
              <w:t>0.3%</w:t>
            </w:r>
          </w:p>
        </w:tc>
      </w:tr>
    </w:tbl>
    <w:p w14:paraId="35171CAA" w14:textId="3207B6EF" w:rsidR="00D267D5" w:rsidRPr="00490C53" w:rsidRDefault="00D267D5" w:rsidP="00D267D5">
      <w:pPr>
        <w:pStyle w:val="Caption"/>
      </w:pPr>
      <w:r w:rsidRPr="00490C53">
        <w:t>Source: London Economics’ analysis of IDBR data</w:t>
      </w:r>
      <w:r w:rsidR="009E6E8F">
        <w:t xml:space="preserve"> and BBB Portal Data. </w:t>
      </w:r>
    </w:p>
    <w:p w14:paraId="3BD1D0B1" w14:textId="77777777" w:rsidR="00AC55AD" w:rsidRPr="00236B73" w:rsidRDefault="00AC55AD" w:rsidP="00236B73">
      <w:pPr>
        <w:rPr>
          <w:color w:val="142855" w:themeColor="text2"/>
        </w:rPr>
      </w:pPr>
      <w:r w:rsidRPr="00236B73">
        <w:rPr>
          <w:color w:val="142855" w:themeColor="text2"/>
        </w:rPr>
        <w:t>Difference-in-differences estimation</w:t>
      </w:r>
    </w:p>
    <w:p w14:paraId="7B3FF3BC" w14:textId="12FE6C41" w:rsidR="00AC55AD" w:rsidRPr="00490C53" w:rsidRDefault="00AC55AD" w:rsidP="00AC55AD">
      <w:r w:rsidRPr="00490C53">
        <w:t xml:space="preserve">Under the difference-in-differences approach, outcomes </w:t>
      </w:r>
      <w:r w:rsidR="004B0656" w:rsidRPr="00490C53">
        <w:t xml:space="preserve">of borrowers and non-borrowers </w:t>
      </w:r>
      <w:r w:rsidRPr="00490C53">
        <w:t xml:space="preserve">are compared both before and after the </w:t>
      </w:r>
      <w:r w:rsidRPr="00490C53">
        <w:rPr>
          <w:rFonts w:cstheme="minorHAnsi"/>
          <w:szCs w:val="24"/>
        </w:rPr>
        <w:t xml:space="preserve">Covid-19 Loan Guarantee Schemes </w:t>
      </w:r>
      <w:r w:rsidRPr="00490C53">
        <w:t xml:space="preserve">were introduced </w:t>
      </w:r>
      <w:proofErr w:type="gramStart"/>
      <w:r w:rsidRPr="00490C53">
        <w:t>in order to</w:t>
      </w:r>
      <w:proofErr w:type="gramEnd"/>
      <w:r w:rsidRPr="00490C53">
        <w:t xml:space="preserve"> account for the pre-existing differences in performance (as measured by turnover and employment) between the treatment and control groups that may not have been eliminated </w:t>
      </w:r>
      <w:r w:rsidR="00937680" w:rsidRPr="00490C53">
        <w:t xml:space="preserve">by </w:t>
      </w:r>
      <w:r w:rsidRPr="00490C53">
        <w:t>the propensity score matching.</w:t>
      </w:r>
      <w:r w:rsidRPr="00490C53">
        <w:rPr>
          <w:rStyle w:val="FootnoteReference"/>
        </w:rPr>
        <w:footnoteReference w:id="169"/>
      </w:r>
      <w:r w:rsidRPr="00490C53">
        <w:t xml:space="preserve"> </w:t>
      </w:r>
    </w:p>
    <w:p w14:paraId="474411DF" w14:textId="77777777" w:rsidR="00AC55AD" w:rsidRPr="00490C53" w:rsidRDefault="00AC55AD" w:rsidP="00AC55AD">
      <w:r w:rsidRPr="00490C53">
        <w:t>The core specification for the difference-in-differences model is described by the following equation:</w:t>
      </w:r>
    </w:p>
    <w:p w14:paraId="196E7E4B" w14:textId="5E1A9B19" w:rsidR="00AC55AD" w:rsidRPr="00490C53" w:rsidRDefault="006924B0" w:rsidP="00AC55AD">
      <w:pPr>
        <w:rPr>
          <w:rFonts w:eastAsiaTheme="minorEastAsia"/>
        </w:rPr>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γT</m:t>
            </m:r>
          </m:e>
          <m:sub>
            <m:r>
              <w:rPr>
                <w:rFonts w:ascii="Cambria Math" w:hAnsi="Cambria Math"/>
              </w:rPr>
              <m:t>i</m:t>
            </m:r>
          </m:sub>
        </m:sSub>
        <m:r>
          <w:rPr>
            <w:rFonts w:ascii="Cambria Math" w:hAnsi="Cambria Math"/>
          </w:rPr>
          <m:t>+</m:t>
        </m:r>
        <m:r>
          <w:rPr>
            <w:rFonts w:ascii="Cambria Math" w:hAnsi="Cambria Math"/>
          </w:rPr>
          <m:t>φ</m:t>
        </m:r>
        <m:sSub>
          <m:sSubPr>
            <m:ctrlPr>
              <w:rPr>
                <w:rFonts w:ascii="Cambria Math" w:hAnsi="Cambria Math"/>
                <w:bCs/>
                <w:i/>
              </w:rPr>
            </m:ctrlPr>
          </m:sSubPr>
          <m:e>
            <m:r>
              <w:rPr>
                <w:rFonts w:ascii="Cambria Math" w:hAnsi="Cambria Math"/>
              </w:rPr>
              <m:t>I</m:t>
            </m:r>
          </m:e>
          <m:sub>
            <m:r>
              <w:rPr>
                <w:rFonts w:ascii="Cambria Math" w:hAnsi="Cambria Math"/>
              </w:rPr>
              <m:t>t</m:t>
            </m:r>
          </m:sub>
        </m:sSub>
        <m:r>
          <w:rPr>
            <w:rFonts w:ascii="Cambria Math" w:hAnsi="Cambria Math"/>
          </w:rPr>
          <m:t>+</m:t>
        </m:r>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e>
        </m:d>
        <m:r>
          <m:rPr>
            <m:sty m:val="bi"/>
          </m:rPr>
          <w:rPr>
            <w:rFonts w:ascii="Cambria Math" w:hAnsi="Cambria Math"/>
          </w:rPr>
          <m:t>+</m:t>
        </m:r>
        <m:r>
          <w:rPr>
            <w:rFonts w:ascii="Cambria Math" w:hAnsi="Cambria Math"/>
          </w:rPr>
          <m:t>μ</m:t>
        </m:r>
        <m:sSub>
          <m:sSubPr>
            <m:ctrlPr>
              <w:rPr>
                <w:rFonts w:ascii="Cambria Math" w:hAnsi="Cambria Math"/>
                <w:bCs/>
                <w:i/>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w:r w:rsidR="00AC55AD" w:rsidRPr="00490C53">
        <w:rPr>
          <w:rFonts w:eastAsiaTheme="minorEastAsia"/>
        </w:rPr>
        <w:t>…………………………………………………</w:t>
      </w:r>
      <w:proofErr w:type="gramStart"/>
      <w:r w:rsidR="00AC55AD" w:rsidRPr="00490C53">
        <w:rPr>
          <w:rFonts w:eastAsiaTheme="minorEastAsia"/>
        </w:rPr>
        <w:t>…(</w:t>
      </w:r>
      <w:proofErr w:type="gramEnd"/>
      <w:r w:rsidR="00AC55AD" w:rsidRPr="00490C53">
        <w:rPr>
          <w:rFonts w:eastAsiaTheme="minorEastAsia"/>
        </w:rPr>
        <w:t>1)</w:t>
      </w:r>
    </w:p>
    <w:p w14:paraId="3EEFB466" w14:textId="2A6DD003" w:rsidR="00AC55AD" w:rsidRPr="00846F78" w:rsidRDefault="006924B0" w:rsidP="000573F9">
      <w:pPr>
        <w:pStyle w:val="ListBullet"/>
        <w:rPr>
          <w:rFonts w:cstheme="minorHAnsi"/>
        </w:rPr>
      </w:pPr>
      <m:oMath>
        <m:sSub>
          <m:sSubPr>
            <m:ctrlPr>
              <w:rPr>
                <w:rFonts w:ascii="Cambria Math" w:hAnsi="Cambria Math"/>
              </w:rPr>
            </m:ctrlPr>
          </m:sSubPr>
          <m:e>
            <m:r>
              <w:rPr>
                <w:rFonts w:ascii="Cambria Math" w:hAnsi="Cambria Math"/>
              </w:rPr>
              <m:t>y</m:t>
            </m:r>
          </m:e>
          <m:sub>
            <m:r>
              <w:rPr>
                <w:rFonts w:ascii="Cambria Math" w:hAnsi="Cambria Math"/>
              </w:rPr>
              <m:t>it</m:t>
            </m:r>
          </m:sub>
        </m:sSub>
      </m:oMath>
      <w:r w:rsidR="00AC55AD" w:rsidRPr="00846F78">
        <w:rPr>
          <w:rFonts w:cstheme="minorHAnsi"/>
        </w:rPr>
        <w:t xml:space="preserve"> denotes the outcome variable (i.e. either log employment or log turnover).</w:t>
      </w:r>
      <w:r w:rsidR="00AC55AD" w:rsidRPr="00846F78">
        <w:rPr>
          <w:rFonts w:cstheme="minorHAnsi"/>
          <w:vertAlign w:val="superscript"/>
        </w:rPr>
        <w:footnoteReference w:id="170"/>
      </w:r>
      <w:r w:rsidR="00AC55AD" w:rsidRPr="00846F78">
        <w:rPr>
          <w:rFonts w:cstheme="minorHAnsi"/>
        </w:rPr>
        <w:t xml:space="preserve"> The two </w:t>
      </w:r>
      <w:r w:rsidR="00BC2EF6" w:rsidRPr="00846F78">
        <w:rPr>
          <w:rFonts w:cstheme="minorHAnsi"/>
        </w:rPr>
        <w:t xml:space="preserve">periods </w:t>
      </w:r>
      <w:r w:rsidR="00AC55AD" w:rsidRPr="00846F78">
        <w:rPr>
          <w:rFonts w:cstheme="minorHAnsi"/>
        </w:rPr>
        <w:t>included in the analysis are the last period available from the IDBR that was entirely before the pandemic</w:t>
      </w:r>
      <w:r w:rsidR="00B31B66" w:rsidRPr="00846F78">
        <w:rPr>
          <w:rStyle w:val="FootnoteReference"/>
          <w:rFonts w:cstheme="minorHAnsi"/>
        </w:rPr>
        <w:footnoteReference w:id="171"/>
      </w:r>
      <w:r w:rsidR="00B3310B" w:rsidRPr="00846F78">
        <w:rPr>
          <w:rFonts w:cstheme="minorHAnsi"/>
        </w:rPr>
        <w:t xml:space="preserve"> (</w:t>
      </w:r>
      <w:r w:rsidR="00D23612" w:rsidRPr="00846F78">
        <w:rPr>
          <w:rFonts w:cstheme="minorHAnsi"/>
        </w:rPr>
        <w:t>this is referred to as</w:t>
      </w:r>
      <w:r w:rsidR="00B3310B" w:rsidRPr="00846F78">
        <w:rPr>
          <w:rFonts w:cstheme="minorHAnsi"/>
        </w:rPr>
        <w:t xml:space="preserve"> the </w:t>
      </w:r>
      <w:r w:rsidR="00D23612" w:rsidRPr="00846F78">
        <w:rPr>
          <w:rFonts w:cstheme="minorHAnsi"/>
        </w:rPr>
        <w:t>‘</w:t>
      </w:r>
      <w:r w:rsidR="00B3310B" w:rsidRPr="00846F78">
        <w:rPr>
          <w:rFonts w:cstheme="minorHAnsi"/>
        </w:rPr>
        <w:t>pre-pandemic</w:t>
      </w:r>
      <w:r w:rsidR="00A50836" w:rsidRPr="00846F78">
        <w:rPr>
          <w:rFonts w:cstheme="minorHAnsi"/>
        </w:rPr>
        <w:t>’ or ‘pre-intervention’</w:t>
      </w:r>
      <w:r w:rsidR="00B3310B" w:rsidRPr="00846F78">
        <w:rPr>
          <w:rFonts w:cstheme="minorHAnsi"/>
        </w:rPr>
        <w:t xml:space="preserve"> period)</w:t>
      </w:r>
      <w:r w:rsidR="00AC55AD" w:rsidRPr="00846F78">
        <w:rPr>
          <w:rFonts w:cstheme="minorHAnsi"/>
        </w:rPr>
        <w:t xml:space="preserve">, and the first period </w:t>
      </w:r>
      <w:r w:rsidR="00542E2D" w:rsidRPr="00846F78">
        <w:rPr>
          <w:rFonts w:cstheme="minorHAnsi"/>
        </w:rPr>
        <w:t xml:space="preserve">predominantly </w:t>
      </w:r>
      <w:r w:rsidR="00611B04" w:rsidRPr="00846F78">
        <w:rPr>
          <w:rFonts w:cstheme="minorHAnsi"/>
        </w:rPr>
        <w:t xml:space="preserve">after the onset of the pandemic </w:t>
      </w:r>
      <w:r w:rsidR="00796328" w:rsidRPr="00846F78">
        <w:rPr>
          <w:rFonts w:cstheme="minorHAnsi"/>
        </w:rPr>
        <w:t xml:space="preserve">(this is referred to as the </w:t>
      </w:r>
      <w:r w:rsidR="00DA5997">
        <w:rPr>
          <w:rFonts w:cstheme="minorHAnsi"/>
        </w:rPr>
        <w:t xml:space="preserve">first year of the pandemic, </w:t>
      </w:r>
      <w:r w:rsidR="00796328" w:rsidRPr="00846F78">
        <w:rPr>
          <w:rFonts w:cstheme="minorHAnsi"/>
        </w:rPr>
        <w:t>‘post-pandemic’</w:t>
      </w:r>
      <w:r w:rsidR="00DA5997">
        <w:rPr>
          <w:rFonts w:cstheme="minorHAnsi"/>
        </w:rPr>
        <w:t>,</w:t>
      </w:r>
      <w:r w:rsidR="00796328" w:rsidRPr="00846F78">
        <w:rPr>
          <w:rFonts w:cstheme="minorHAnsi"/>
        </w:rPr>
        <w:t xml:space="preserve"> ‘post-intervention’ </w:t>
      </w:r>
      <w:r w:rsidR="00DA5997">
        <w:rPr>
          <w:rFonts w:cstheme="minorHAnsi"/>
        </w:rPr>
        <w:t xml:space="preserve">or ‘post-treatment’ </w:t>
      </w:r>
      <w:r w:rsidR="00796328" w:rsidRPr="00846F78">
        <w:rPr>
          <w:rFonts w:cstheme="minorHAnsi"/>
        </w:rPr>
        <w:t>period)</w:t>
      </w:r>
      <w:r w:rsidR="000E0811" w:rsidRPr="00846F78">
        <w:rPr>
          <w:rFonts w:cstheme="minorHAnsi"/>
        </w:rPr>
        <w:t>.</w:t>
      </w:r>
      <w:r w:rsidR="00AC55AD" w:rsidRPr="00846F78">
        <w:rPr>
          <w:rFonts w:cstheme="minorHAnsi"/>
          <w:vertAlign w:val="superscript"/>
        </w:rPr>
        <w:footnoteReference w:id="172"/>
      </w:r>
      <w:r w:rsidR="00AC55AD" w:rsidRPr="00846F78">
        <w:rPr>
          <w:rFonts w:cstheme="minorHAnsi"/>
        </w:rPr>
        <w:t xml:space="preserve"> This allows a comparison before and after the Covid-19 Loan Guarantee Schemes were </w:t>
      </w:r>
      <w:r w:rsidR="003766B8" w:rsidRPr="00846F78">
        <w:rPr>
          <w:rFonts w:cstheme="minorHAnsi"/>
        </w:rPr>
        <w:t>introduced</w:t>
      </w:r>
      <w:r w:rsidR="001017B4" w:rsidRPr="00846F78">
        <w:rPr>
          <w:rFonts w:cstheme="minorHAnsi"/>
        </w:rPr>
        <w:t>;</w:t>
      </w:r>
      <w:r w:rsidR="00AC55AD" w:rsidRPr="00846F78">
        <w:rPr>
          <w:rFonts w:cstheme="minorHAnsi"/>
        </w:rPr>
        <w:t xml:space="preserve"> </w:t>
      </w:r>
    </w:p>
    <w:p w14:paraId="0CE88CE4" w14:textId="38D8F8A9" w:rsidR="00AC55AD" w:rsidRPr="00846F78" w:rsidRDefault="006924B0" w:rsidP="000573F9">
      <w:pPr>
        <w:pStyle w:val="ListBullet"/>
        <w:rPr>
          <w:rFonts w:cstheme="minorHAnsi"/>
        </w:rPr>
      </w:pPr>
      <m:oMath>
        <m:sSub>
          <m:sSubPr>
            <m:ctrlPr>
              <w:rPr>
                <w:rFonts w:ascii="Cambria Math" w:hAnsi="Cambria Math"/>
              </w:rPr>
            </m:ctrlPr>
          </m:sSubPr>
          <m:e>
            <m:r>
              <w:rPr>
                <w:rFonts w:ascii="Cambria Math" w:hAnsi="Cambria Math"/>
              </w:rPr>
              <m:t>β</m:t>
            </m:r>
          </m:e>
          <m:sub>
            <m:r>
              <w:rPr>
                <w:rFonts w:ascii="Cambria Math" w:hAnsi="Cambria Math"/>
              </w:rPr>
              <m:t>0</m:t>
            </m:r>
          </m:sub>
        </m:sSub>
      </m:oMath>
      <w:r w:rsidR="00AC55AD" w:rsidRPr="00846F78">
        <w:rPr>
          <w:rFonts w:cstheme="minorHAnsi"/>
        </w:rPr>
        <w:t xml:space="preserve"> is a constant </w:t>
      </w:r>
      <w:proofErr w:type="gramStart"/>
      <w:r w:rsidR="00AC55AD" w:rsidRPr="00846F78">
        <w:rPr>
          <w:rFonts w:cstheme="minorHAnsi"/>
        </w:rPr>
        <w:t>term</w:t>
      </w:r>
      <w:r w:rsidR="001017B4" w:rsidRPr="00846F78">
        <w:rPr>
          <w:rFonts w:cstheme="minorHAnsi"/>
        </w:rPr>
        <w:t>;</w:t>
      </w:r>
      <w:proofErr w:type="gramEnd"/>
      <w:r w:rsidR="00AC55AD" w:rsidRPr="00846F78">
        <w:rPr>
          <w:rFonts w:cstheme="minorHAnsi"/>
        </w:rPr>
        <w:t xml:space="preserve"> </w:t>
      </w:r>
    </w:p>
    <w:p w14:paraId="5071C684" w14:textId="59936C31" w:rsidR="00AC55AD" w:rsidRPr="00846F78" w:rsidRDefault="006924B0" w:rsidP="000573F9">
      <w:pPr>
        <w:pStyle w:val="ListBullet"/>
        <w:rPr>
          <w:rFonts w:cstheme="minorHAnsi"/>
        </w:rPr>
      </w:pPr>
      <m:oMath>
        <m:sSub>
          <m:sSubPr>
            <m:ctrlPr>
              <w:rPr>
                <w:rFonts w:ascii="Cambria Math" w:hAnsi="Cambria Math"/>
              </w:rPr>
            </m:ctrlPr>
          </m:sSubPr>
          <m:e>
            <m:r>
              <w:rPr>
                <w:rFonts w:ascii="Cambria Math" w:hAnsi="Cambria Math"/>
              </w:rPr>
              <m:t>T</m:t>
            </m:r>
          </m:e>
          <m:sub>
            <m:r>
              <w:rPr>
                <w:rFonts w:ascii="Cambria Math" w:hAnsi="Cambria Math"/>
              </w:rPr>
              <m:t>i</m:t>
            </m:r>
          </m:sub>
        </m:sSub>
      </m:oMath>
      <w:r w:rsidR="00AC55AD" w:rsidRPr="00846F78">
        <w:rPr>
          <w:rFonts w:cstheme="minorHAnsi"/>
        </w:rPr>
        <w:t xml:space="preserve"> is a dummy variable indicating whether a given business was </w:t>
      </w:r>
      <w:r w:rsidR="00CE3076" w:rsidRPr="00846F78">
        <w:rPr>
          <w:rFonts w:cstheme="minorHAnsi"/>
        </w:rPr>
        <w:t>a borrower</w:t>
      </w:r>
      <w:r w:rsidR="00AC55AD" w:rsidRPr="00846F78">
        <w:rPr>
          <w:rFonts w:cstheme="minorHAnsi"/>
        </w:rPr>
        <w:t xml:space="preserve"> or </w:t>
      </w:r>
      <w:r w:rsidR="00CE3076" w:rsidRPr="00846F78">
        <w:rPr>
          <w:rFonts w:cstheme="minorHAnsi"/>
        </w:rPr>
        <w:t>a non-borrower</w:t>
      </w:r>
      <w:r w:rsidR="008A49D6" w:rsidRPr="00846F78">
        <w:rPr>
          <w:rFonts w:cstheme="minorHAnsi"/>
        </w:rPr>
        <w:t xml:space="preserve"> (</w:t>
      </w:r>
      <w:proofErr w:type="gramStart"/>
      <w:r w:rsidR="008A49D6" w:rsidRPr="00846F78">
        <w:rPr>
          <w:rFonts w:cstheme="minorHAnsi"/>
        </w:rPr>
        <w:t>i.e.</w:t>
      </w:r>
      <w:proofErr w:type="gramEnd"/>
      <w:r w:rsidR="008A49D6" w:rsidRPr="00846F78">
        <w:rPr>
          <w:rFonts w:cstheme="minorHAnsi"/>
        </w:rPr>
        <w:t xml:space="preserve"> whether it received the ‘treatment’)</w:t>
      </w:r>
      <w:r w:rsidR="001017B4" w:rsidRPr="00846F78">
        <w:rPr>
          <w:rFonts w:cstheme="minorHAnsi"/>
        </w:rPr>
        <w:t>;</w:t>
      </w:r>
    </w:p>
    <w:p w14:paraId="37D99EEE" w14:textId="5D6632C7" w:rsidR="00AC55AD" w:rsidRPr="00846F78" w:rsidRDefault="006924B0" w:rsidP="000573F9">
      <w:pPr>
        <w:pStyle w:val="ListBullet"/>
        <w:rPr>
          <w:rFonts w:cstheme="minorHAnsi"/>
        </w:rPr>
      </w:pPr>
      <m:oMath>
        <m:sSub>
          <m:sSubPr>
            <m:ctrlPr>
              <w:rPr>
                <w:rFonts w:ascii="Cambria Math" w:hAnsi="Cambria Math"/>
              </w:rPr>
            </m:ctrlPr>
          </m:sSubPr>
          <m:e>
            <m:r>
              <w:rPr>
                <w:rFonts w:ascii="Cambria Math" w:hAnsi="Cambria Math"/>
              </w:rPr>
              <m:t>I</m:t>
            </m:r>
          </m:e>
          <m:sub>
            <m:r>
              <w:rPr>
                <w:rFonts w:ascii="Cambria Math" w:hAnsi="Cambria Math"/>
              </w:rPr>
              <m:t>t</m:t>
            </m:r>
          </m:sub>
        </m:sSub>
      </m:oMath>
      <w:r w:rsidR="00AC55AD" w:rsidRPr="00846F78">
        <w:rPr>
          <w:rFonts w:cstheme="minorHAnsi"/>
        </w:rPr>
        <w:t xml:space="preserve"> indicates whether the observation is pre- or post-</w:t>
      </w:r>
      <w:proofErr w:type="gramStart"/>
      <w:r w:rsidR="00AC55AD" w:rsidRPr="00846F78">
        <w:rPr>
          <w:rFonts w:cstheme="minorHAnsi"/>
        </w:rPr>
        <w:t>treatment</w:t>
      </w:r>
      <w:r w:rsidR="001017B4" w:rsidRPr="00846F78">
        <w:rPr>
          <w:rFonts w:cstheme="minorHAnsi"/>
        </w:rPr>
        <w:t>;</w:t>
      </w:r>
      <w:proofErr w:type="gramEnd"/>
    </w:p>
    <w:p w14:paraId="32B2D64C" w14:textId="2F7FB0B9" w:rsidR="00AC55AD" w:rsidRPr="00846F78" w:rsidRDefault="006924B0" w:rsidP="000573F9">
      <w:pPr>
        <w:pStyle w:val="ListBullet"/>
        <w:rPr>
          <w:rFonts w:cstheme="minorHAnsi"/>
        </w:rPr>
      </w:pPr>
      <m:oMath>
        <m:sSub>
          <m:sSubPr>
            <m:ctrlPr>
              <w:rPr>
                <w:rFonts w:ascii="Cambria Math" w:hAnsi="Cambria Math"/>
              </w:rPr>
            </m:ctrlPr>
          </m:sSubPr>
          <m:e>
            <m:r>
              <w:rPr>
                <w:rFonts w:ascii="Cambria Math" w:hAnsi="Cambria Math"/>
              </w:rPr>
              <m:t>P</m:t>
            </m:r>
          </m:e>
          <m:sub>
            <m:r>
              <w:rPr>
                <w:rFonts w:ascii="Cambria Math" w:hAnsi="Cambria Math"/>
              </w:rPr>
              <m:t>it</m:t>
            </m:r>
          </m:sub>
        </m:sSub>
      </m:oMath>
      <w:r w:rsidR="00AC55AD" w:rsidRPr="00846F78">
        <w:rPr>
          <w:rFonts w:cstheme="minorHAnsi"/>
        </w:rPr>
        <w:t xml:space="preserve"> is a dummy controlling for participation in the CJRS </w:t>
      </w:r>
      <w:proofErr w:type="gramStart"/>
      <w:r w:rsidR="00AC55AD" w:rsidRPr="00846F78">
        <w:rPr>
          <w:rFonts w:cstheme="minorHAnsi"/>
        </w:rPr>
        <w:t>scheme</w:t>
      </w:r>
      <w:r w:rsidR="001017B4" w:rsidRPr="00846F78">
        <w:rPr>
          <w:rFonts w:cstheme="minorHAnsi"/>
        </w:rPr>
        <w:t>;</w:t>
      </w:r>
      <w:proofErr w:type="gramEnd"/>
    </w:p>
    <w:p w14:paraId="11D3E02D" w14:textId="50AB7B8D" w:rsidR="00AC55AD" w:rsidRPr="00846F78" w:rsidRDefault="006924B0" w:rsidP="000573F9">
      <w:pPr>
        <w:pStyle w:val="ListBullet"/>
        <w:rPr>
          <w:rFonts w:cstheme="minorHAnsi"/>
        </w:rPr>
      </w:pPr>
      <m:oMath>
        <m:sSub>
          <m:sSubPr>
            <m:ctrlPr>
              <w:rPr>
                <w:rFonts w:ascii="Cambria Math" w:hAnsi="Cambria Math"/>
              </w:rPr>
            </m:ctrlPr>
          </m:sSubPr>
          <m:e>
            <m:r>
              <w:rPr>
                <w:rFonts w:ascii="Cambria Math" w:hAnsi="Cambria Math"/>
              </w:rPr>
              <m:t>f</m:t>
            </m:r>
          </m:e>
          <m:sub>
            <m:r>
              <w:rPr>
                <w:rFonts w:ascii="Cambria Math" w:hAnsi="Cambria Math"/>
              </w:rPr>
              <m:t>i</m:t>
            </m:r>
          </m:sub>
        </m:sSub>
      </m:oMath>
      <w:r w:rsidR="00AC55AD" w:rsidRPr="00846F78">
        <w:rPr>
          <w:rFonts w:cstheme="minorHAnsi"/>
        </w:rPr>
        <w:t xml:space="preserve"> denotes unobserved time invariant factors which may influence the outcome variable. The use of the fixed effects estimator accounts for this unobserved </w:t>
      </w:r>
      <w:proofErr w:type="gramStart"/>
      <w:r w:rsidR="00AC55AD" w:rsidRPr="00846F78">
        <w:rPr>
          <w:rFonts w:cstheme="minorHAnsi"/>
        </w:rPr>
        <w:t>heterogeneity</w:t>
      </w:r>
      <w:r w:rsidR="001017B4" w:rsidRPr="00846F78">
        <w:rPr>
          <w:rFonts w:cstheme="minorHAnsi"/>
        </w:rPr>
        <w:t>;</w:t>
      </w:r>
      <w:proofErr w:type="gramEnd"/>
      <w:r w:rsidR="00AC55AD" w:rsidRPr="00846F78">
        <w:rPr>
          <w:rFonts w:cstheme="minorHAnsi"/>
        </w:rPr>
        <w:t xml:space="preserve"> </w:t>
      </w:r>
    </w:p>
    <w:p w14:paraId="084BEB87" w14:textId="5DAFC1F6" w:rsidR="00AC55AD" w:rsidRPr="00846F78" w:rsidRDefault="006924B0" w:rsidP="000573F9">
      <w:pPr>
        <w:pStyle w:val="ListBullet"/>
        <w:rPr>
          <w:rFonts w:cstheme="minorHAnsi"/>
        </w:rPr>
      </w:pPr>
      <m:oMath>
        <m:sSub>
          <m:sSubPr>
            <m:ctrlPr>
              <w:rPr>
                <w:rFonts w:ascii="Cambria Math" w:hAnsi="Cambria Math"/>
              </w:rPr>
            </m:ctrlPr>
          </m:sSubPr>
          <m:e>
            <m:r>
              <w:rPr>
                <w:rFonts w:ascii="Cambria Math" w:hAnsi="Cambria Math"/>
              </w:rPr>
              <m:t>ε</m:t>
            </m:r>
          </m:e>
          <m:sub>
            <m:r>
              <w:rPr>
                <w:rFonts w:ascii="Cambria Math" w:hAnsi="Cambria Math"/>
              </w:rPr>
              <m:t>it</m:t>
            </m:r>
          </m:sub>
        </m:sSub>
      </m:oMath>
      <w:r w:rsidR="00AC55AD" w:rsidRPr="00846F78">
        <w:rPr>
          <w:rFonts w:cstheme="minorHAnsi"/>
        </w:rPr>
        <w:t xml:space="preserve"> is the idiosyncratic error term. This captures factors which are not observed, and which change both across businesses and across time. Standard errors are clustered at the sector level to account for potential correlation in error terms across businesses in the same </w:t>
      </w:r>
      <w:proofErr w:type="gramStart"/>
      <w:r w:rsidR="00AC55AD" w:rsidRPr="00846F78">
        <w:rPr>
          <w:rFonts w:cstheme="minorHAnsi"/>
        </w:rPr>
        <w:t>industry</w:t>
      </w:r>
      <w:r w:rsidR="006F6A0C" w:rsidRPr="00846F78">
        <w:rPr>
          <w:rFonts w:cstheme="minorHAnsi"/>
        </w:rPr>
        <w:t>;</w:t>
      </w:r>
      <w:proofErr w:type="gramEnd"/>
    </w:p>
    <w:p w14:paraId="639750F7" w14:textId="1406B0F3" w:rsidR="00AC55AD" w:rsidRPr="00846F78" w:rsidRDefault="0000288C" w:rsidP="000573F9">
      <w:pPr>
        <w:pStyle w:val="ListBullet"/>
        <w:rPr>
          <w:rFonts w:cstheme="minorHAnsi"/>
        </w:rPr>
      </w:pPr>
      <m:oMath>
        <m:r>
          <w:rPr>
            <w:rFonts w:ascii="Cambria Math" w:hAnsi="Cambria Math"/>
          </w:rPr>
          <m:t>γ</m:t>
        </m:r>
      </m:oMath>
      <w:r w:rsidR="00AC55AD" w:rsidRPr="00846F78">
        <w:rPr>
          <w:rFonts w:cstheme="minorHAnsi"/>
        </w:rPr>
        <w:t xml:space="preserve">, </w:t>
      </w:r>
      <m:oMath>
        <m:r>
          <w:rPr>
            <w:rFonts w:ascii="Cambria Math" w:hAnsi="Cambria Math"/>
          </w:rPr>
          <m:t>φ</m:t>
        </m:r>
      </m:oMath>
      <w:r w:rsidR="00AC55AD" w:rsidRPr="00846F78">
        <w:rPr>
          <w:rFonts w:cstheme="minorHAnsi"/>
        </w:rPr>
        <w:t xml:space="preserve">, </w:t>
      </w:r>
      <m:oMath>
        <m:r>
          <w:rPr>
            <w:rFonts w:ascii="Cambria Math" w:hAnsi="Cambria Math"/>
          </w:rPr>
          <m:t>λ</m:t>
        </m:r>
      </m:oMath>
      <w:r w:rsidR="00AC55AD" w:rsidRPr="00846F78">
        <w:rPr>
          <w:rFonts w:cstheme="minorHAnsi"/>
        </w:rPr>
        <w:t xml:space="preserve"> and </w:t>
      </w:r>
      <m:oMath>
        <m:r>
          <w:rPr>
            <w:rFonts w:ascii="Cambria Math" w:hAnsi="Cambria Math"/>
          </w:rPr>
          <m:t>μ</m:t>
        </m:r>
      </m:oMath>
      <w:r w:rsidR="00AC55AD" w:rsidRPr="00846F78">
        <w:rPr>
          <w:rFonts w:cstheme="minorHAnsi"/>
        </w:rPr>
        <w:t xml:space="preserve"> are individual coefficients. </w:t>
      </w:r>
      <m:oMath>
        <m:r>
          <w:rPr>
            <w:rFonts w:ascii="Cambria Math" w:hAnsi="Cambria Math"/>
          </w:rPr>
          <m:t>λ</m:t>
        </m:r>
      </m:oMath>
      <w:r w:rsidR="00AC55AD" w:rsidRPr="00846F78">
        <w:rPr>
          <w:rFonts w:cstheme="minorHAnsi"/>
        </w:rPr>
        <w:t xml:space="preserve"> is the estimate for the effect of the Covid-19 Loan Guarantee Scheme</w:t>
      </w:r>
      <w:r w:rsidR="00D5476C" w:rsidRPr="00846F78">
        <w:rPr>
          <w:rFonts w:cstheme="minorHAnsi"/>
        </w:rPr>
        <w:t>s</w:t>
      </w:r>
      <w:r w:rsidR="00AC55AD" w:rsidRPr="00846F78">
        <w:rPr>
          <w:rFonts w:cstheme="minorHAnsi"/>
        </w:rPr>
        <w:t>.</w:t>
      </w:r>
    </w:p>
    <w:p w14:paraId="1C34D4D9" w14:textId="77777777" w:rsidR="008D0FBC" w:rsidRPr="00490C53" w:rsidRDefault="008D0FBC" w:rsidP="00236B73">
      <w:r w:rsidRPr="00236B73">
        <w:rPr>
          <w:color w:val="142855" w:themeColor="text2"/>
        </w:rPr>
        <w:t>Testing for differences in pre-treatment trends</w:t>
      </w:r>
    </w:p>
    <w:p w14:paraId="31D65230" w14:textId="07AA7D87" w:rsidR="008D0FBC" w:rsidRPr="0041538B" w:rsidRDefault="008D0FBC" w:rsidP="008D0FBC">
      <w:r>
        <w:t xml:space="preserve">As mentioned in the main report, a key assumption underlying </w:t>
      </w:r>
      <w:proofErr w:type="spellStart"/>
      <w:r>
        <w:t>DiD</w:t>
      </w:r>
      <w:proofErr w:type="spellEnd"/>
      <w:r>
        <w:t xml:space="preserve"> is the common (or parallel) trends assumption: </w:t>
      </w:r>
      <w:r>
        <w:rPr>
          <w:noProof/>
        </w:rPr>
        <w:t xml:space="preserve">in the absence of the intervention (i.e. the Covid-19 Loan Guarantee Schemes), the turnover and employment of the treatment group should have followed a similar trend to that within the chosen control group. This sub-section explains why this assumption is likely to hold, and presents the outcome of statistical tests which offer further support for the choice of the control group against which borrowers are compared. </w:t>
      </w:r>
    </w:p>
    <w:p w14:paraId="69460554" w14:textId="0B1421D8" w:rsidR="005A1E8D" w:rsidRPr="00BA6A9F" w:rsidRDefault="008D0FBC" w:rsidP="00A36500">
      <w:r>
        <w:t xml:space="preserve">It is likely that the common trends assumption is satisfied because the PSM </w:t>
      </w:r>
      <w:proofErr w:type="gramStart"/>
      <w:r>
        <w:t>takes into account</w:t>
      </w:r>
      <w:proofErr w:type="gramEnd"/>
      <w:r>
        <w:t xml:space="preserve"> a number of variables likely to affect the trajectory of employment and turnover during the pandemic in the absence of the Covid-19 Loan Guarantee Schemes. For instance, matching on businesses’ sector (one of the variables included in the PSM) is likely to account for the influence of sector-specific factors on trends (</w:t>
      </w:r>
      <w:r w:rsidR="00994BE7">
        <w:t xml:space="preserve">for example </w:t>
      </w:r>
      <w:r>
        <w:t>sector-specific business models more or less likely to be disrupted by the pandemic). Moreover, businesses’ age provides information on their experience (</w:t>
      </w:r>
      <w:r w:rsidR="00994BE7">
        <w:t xml:space="preserve">for example </w:t>
      </w:r>
      <w:r>
        <w:t xml:space="preserve">older businesses may have had more experience weathering previous crises). Furthermore, growth in pre-pandemic turnover or employment could be indicative of a number of other factors potentially influencing trends in </w:t>
      </w:r>
      <w:proofErr w:type="gramStart"/>
      <w:r>
        <w:t>businesses’</w:t>
      </w:r>
      <w:proofErr w:type="gramEnd"/>
      <w:r>
        <w:t xml:space="preserve"> in turnover and employment.</w:t>
      </w:r>
      <w:r>
        <w:rPr>
          <w:rStyle w:val="FootnoteReference"/>
        </w:rPr>
        <w:footnoteReference w:id="173"/>
      </w:r>
      <w:r>
        <w:t xml:space="preserve"> As shown in the balance tables presented earlier in this annex, the PSM has substantially reduced differences between the treatment and control groups with respect to these characteristics. </w:t>
      </w:r>
    </w:p>
    <w:p w14:paraId="2BB82EAE" w14:textId="38817E69" w:rsidR="00580CC2" w:rsidRDefault="008D0FBC" w:rsidP="00A36500">
      <w:r>
        <w:t xml:space="preserve">Though logical reasoning suggests that the common trends assumption is likely to hold, statistical tests were conducted to further support (or challenge) the choice of the control group against which borrowers are compared. </w:t>
      </w:r>
      <w:r>
        <w:rPr>
          <w:noProof/>
        </w:rPr>
        <w:t xml:space="preserve">While it is not possible to test the common trend </w:t>
      </w:r>
      <w:r>
        <w:rPr>
          <w:noProof/>
        </w:rPr>
        <w:lastRenderedPageBreak/>
        <w:t xml:space="preserve">assumption after </w:t>
      </w:r>
      <w:r w:rsidR="00DA5997">
        <w:rPr>
          <w:noProof/>
        </w:rPr>
        <w:t xml:space="preserve">the intervention </w:t>
      </w:r>
      <w:r>
        <w:rPr>
          <w:noProof/>
        </w:rPr>
        <w:t xml:space="preserve">(given that the counterfactual outcome of the treated group cannot be observed), the absence of significant differences between the </w:t>
      </w:r>
      <w:r w:rsidR="00680DF2">
        <w:rPr>
          <w:noProof/>
        </w:rPr>
        <w:t xml:space="preserve">trends of </w:t>
      </w:r>
      <w:r>
        <w:rPr>
          <w:noProof/>
        </w:rPr>
        <w:t>treatment and control group</w:t>
      </w:r>
      <w:r w:rsidR="00680DF2">
        <w:rPr>
          <w:noProof/>
        </w:rPr>
        <w:t xml:space="preserve"> outcomes</w:t>
      </w:r>
      <w:r>
        <w:rPr>
          <w:noProof/>
        </w:rPr>
        <w:t xml:space="preserve"> before </w:t>
      </w:r>
      <w:r w:rsidR="00DA5997">
        <w:rPr>
          <w:noProof/>
        </w:rPr>
        <w:t xml:space="preserve">the intervention </w:t>
      </w:r>
      <w:r>
        <w:rPr>
          <w:noProof/>
        </w:rPr>
        <w:t xml:space="preserve">would alleviate some concerns about potential differences </w:t>
      </w:r>
      <w:r w:rsidR="00680DF2">
        <w:rPr>
          <w:noProof/>
        </w:rPr>
        <w:t xml:space="preserve">in outcome trends </w:t>
      </w:r>
      <w:r>
        <w:rPr>
          <w:noProof/>
        </w:rPr>
        <w:t xml:space="preserve">between these </w:t>
      </w:r>
      <w:r>
        <w:t xml:space="preserve">groups after </w:t>
      </w:r>
      <w:r w:rsidR="00DA5997">
        <w:t xml:space="preserve">the intervention </w:t>
      </w:r>
      <w:r>
        <w:t>that could have occurred in the absence of the policy intervention.</w:t>
      </w:r>
      <w:r w:rsidRPr="0041538B">
        <w:t xml:space="preserve"> </w:t>
      </w:r>
    </w:p>
    <w:p w14:paraId="730B0A2C" w14:textId="5ADB5FE1" w:rsidR="00580CC2" w:rsidRDefault="008D0FBC" w:rsidP="00A36500">
      <w:r>
        <w:t>The tests consisted of estimating the time trend in the outcome variables (</w:t>
      </w:r>
      <w:proofErr w:type="gramStart"/>
      <w:r>
        <w:t>i.e.</w:t>
      </w:r>
      <w:proofErr w:type="gramEnd"/>
      <w:r>
        <w:t xml:space="preserve"> turnover and employment) within the control group prior to </w:t>
      </w:r>
      <w:r w:rsidR="00DA5997">
        <w:t xml:space="preserve">the intervention </w:t>
      </w:r>
      <w:r>
        <w:t>using a set of time dummies, and testing whether this time trend was statistically different among the treated group using a set of interaction terms between the time dummies and the treatment indicator. If the interaction terms were statistically significant, this would suggest that pre-treatment trends may have been different across the treated and control groups.</w:t>
      </w:r>
      <w:r>
        <w:rPr>
          <w:rStyle w:val="FootnoteReference"/>
        </w:rPr>
        <w:footnoteReference w:id="174"/>
      </w:r>
      <w:r>
        <w:t xml:space="preserve"> </w:t>
      </w:r>
    </w:p>
    <w:p w14:paraId="397DAAA6" w14:textId="124A540D" w:rsidR="00580CC2" w:rsidRDefault="008D0FBC" w:rsidP="00A36500">
      <w:r>
        <w:t>This test was run separately for turnover and employment, and on both the BBLS and combined CBILS/CLBILS samples. In neither case were any of the interactions between the pre-</w:t>
      </w:r>
      <w:r w:rsidR="00DA5997">
        <w:t xml:space="preserve">treatment </w:t>
      </w:r>
      <w:r>
        <w:t xml:space="preserve">time dummies and treatment indicator statistically significant at conventional levels, implying failure to reject the hypothesis of similar pre-treatment trends. This provides </w:t>
      </w:r>
      <w:r>
        <w:rPr>
          <w:noProof/>
        </w:rPr>
        <w:t xml:space="preserve">support for the choice of the control group against which borrowers are compared. </w:t>
      </w:r>
    </w:p>
    <w:p w14:paraId="0314CDDC" w14:textId="10FA4D85" w:rsidR="00580CC2" w:rsidRDefault="008D0FBC" w:rsidP="00A36500">
      <w:r>
        <w:t xml:space="preserve">It should be noted that standard errors were clustered at the sector level to account for the possibility that unobservable factors (captured in the error term of the regression) may be correlated across firms operating in the same sector. However, these sectors are consolidated into five large groups of SIC sections, in line with the consolidated sector groupings used in the </w:t>
      </w:r>
      <w:r w:rsidR="00DA466B">
        <w:t>Y</w:t>
      </w:r>
      <w:r>
        <w:t>ear 1 survey analysis.</w:t>
      </w:r>
      <w:r>
        <w:rPr>
          <w:rStyle w:val="FootnoteReference"/>
        </w:rPr>
        <w:footnoteReference w:id="175"/>
      </w:r>
      <w:r>
        <w:t xml:space="preserve"> As an additional check, standard errors were clustered based on more granular sectors – namely at the level of the SIC section. This level of clustering leads to lower standard errors and therefore a higher likelihood of rejecting the hypothesis that pre-treatments trends are similar across the control and treated groups. In this case, the interaction between the treatment indicator and the time dummy </w:t>
      </w:r>
      <w:r w:rsidR="00DA5997">
        <w:t xml:space="preserve">indicating the second year before the pandemic </w:t>
      </w:r>
      <w:r>
        <w:t xml:space="preserve">was negative and statistically significant in the </w:t>
      </w:r>
      <w:proofErr w:type="gramStart"/>
      <w:r>
        <w:t>models</w:t>
      </w:r>
      <w:proofErr w:type="gramEnd"/>
      <w:r>
        <w:t xml:space="preserve"> testing differences in pre-treatment trends in turnover (in both the case of BBLS and CBILS/CLBILS), suggesting that on </w:t>
      </w:r>
      <w:r>
        <w:lastRenderedPageBreak/>
        <w:t xml:space="preserve">average, the turnover of treated firms decreased relative to that of control businesses between </w:t>
      </w:r>
      <w:r w:rsidR="00DA5997">
        <w:t xml:space="preserve">third </w:t>
      </w:r>
      <w:r>
        <w:t xml:space="preserve">and </w:t>
      </w:r>
      <w:r w:rsidR="00DA5997">
        <w:t>second year prior to the pandemic</w:t>
      </w:r>
      <w:r>
        <w:t xml:space="preserve">. However, the interaction between the dummy </w:t>
      </w:r>
      <w:r w:rsidR="00DA5997">
        <w:t xml:space="preserve">indicating the first year prior to the pandemic </w:t>
      </w:r>
      <w:r>
        <w:t xml:space="preserve">and treatment indicator is not statistically significant, suggesting that while </w:t>
      </w:r>
      <w:r w:rsidR="00DA5997">
        <w:t>the</w:t>
      </w:r>
      <w:r>
        <w:t xml:space="preserve"> trends </w:t>
      </w:r>
      <w:r w:rsidR="00DA5997">
        <w:t xml:space="preserve">between the third and second years prior to the pandemic </w:t>
      </w:r>
      <w:r>
        <w:t xml:space="preserve">may have differed across the two groups, the ‘average’ trend between </w:t>
      </w:r>
      <w:r w:rsidR="00DA5997">
        <w:t xml:space="preserve">third and first year before the pandemic </w:t>
      </w:r>
      <w:r>
        <w:t xml:space="preserve">was similar. </w:t>
      </w:r>
    </w:p>
    <w:p w14:paraId="47754910" w14:textId="2E19EE12" w:rsidR="008D0FBC" w:rsidRDefault="008D0FBC" w:rsidP="00A36500">
      <w:r>
        <w:t>Furthermore, the difference in pre-treatment trends (1</w:t>
      </w:r>
      <w:r w:rsidR="00F8223A">
        <w:t>%</w:t>
      </w:r>
      <w:r>
        <w:t>-2%) is an order of magnitude lower than the estimated treatment effect (10</w:t>
      </w:r>
      <w:r w:rsidR="00F8223A">
        <w:t>%</w:t>
      </w:r>
      <w:r>
        <w:t xml:space="preserve">-12%), so even if bias due to non-parallel trends existed, its impact is likely to be small. </w:t>
      </w:r>
    </w:p>
    <w:p w14:paraId="7AC17922" w14:textId="5FC4157F" w:rsidR="008D0FBC" w:rsidRDefault="008D0FBC" w:rsidP="002D323B">
      <w:r>
        <w:t xml:space="preserve">Therefore, although there appears to be a statistically significant difference in the trend </w:t>
      </w:r>
      <w:r w:rsidR="00DA5997">
        <w:t xml:space="preserve">from the third to second year prior to the pandemic </w:t>
      </w:r>
      <w:r>
        <w:t xml:space="preserve">between the two groups when standard errors are clustered at the level of the SIC section, the low magnitude of that difference relative to the estimated treatment impact, the lack of statistical significance of the </w:t>
      </w:r>
      <w:r w:rsidR="00DA5997">
        <w:t>interaction between the first pre-pandemic year dummy and the treatment dummy</w:t>
      </w:r>
      <w:r>
        <w:t xml:space="preserve">, the fact that none of the interactions are significant when standard errors are clustered at a higher level, and the logic for why both groups would have likely followed a similar trajectory in the absence of the intervention all provide support </w:t>
      </w:r>
      <w:r>
        <w:rPr>
          <w:noProof/>
        </w:rPr>
        <w:t>for the choice of the control group against which borrowers are compared</w:t>
      </w:r>
      <w:r>
        <w:t>.</w:t>
      </w:r>
    </w:p>
    <w:p w14:paraId="70898A96" w14:textId="7DA33685" w:rsidR="000E3375" w:rsidRPr="005D5D23" w:rsidRDefault="00777D16" w:rsidP="00236B73">
      <w:r w:rsidRPr="00236B73">
        <w:rPr>
          <w:color w:val="142855" w:themeColor="text2"/>
        </w:rPr>
        <w:t>Econometric Results</w:t>
      </w:r>
    </w:p>
    <w:p w14:paraId="69C64A50" w14:textId="6E19350A" w:rsidR="00777D16" w:rsidRPr="00490C53" w:rsidRDefault="00777D16" w:rsidP="00777D16">
      <w:pPr>
        <w:pStyle w:val="Heading5"/>
      </w:pPr>
      <w:bookmarkStart w:id="306" w:name="_Ref138342267"/>
      <w:r w:rsidRPr="00490C53">
        <w:t xml:space="preserve">Table </w:t>
      </w:r>
      <w:r w:rsidRPr="00846F78">
        <w:fldChar w:fldCharType="begin"/>
      </w:r>
      <w:r w:rsidRPr="00490C53">
        <w:instrText xml:space="preserve"> SEQ Table \* ARABIC </w:instrText>
      </w:r>
      <w:r w:rsidRPr="00846F78">
        <w:fldChar w:fldCharType="separate"/>
      </w:r>
      <w:r w:rsidR="00397D49">
        <w:rPr>
          <w:noProof/>
        </w:rPr>
        <w:t>45</w:t>
      </w:r>
      <w:r w:rsidRPr="00846F78">
        <w:fldChar w:fldCharType="end"/>
      </w:r>
      <w:bookmarkEnd w:id="306"/>
      <w:r w:rsidRPr="00490C53">
        <w:t xml:space="preserve">: Estimated impact of the Covid-19 Loan Guarantee Schemes on turnover – </w:t>
      </w:r>
      <w:r w:rsidR="001F5733">
        <w:t>Secondary analysis</w:t>
      </w:r>
      <w:r w:rsidR="001F5733" w:rsidRPr="00490C53">
        <w:t xml:space="preserve"> </w:t>
      </w:r>
      <w:r w:rsidRPr="00490C53">
        <w:t>of Year 1 impacts</w:t>
      </w:r>
    </w:p>
    <w:tbl>
      <w:tblPr>
        <w:tblStyle w:val="TableGrid"/>
        <w:tblW w:w="5000" w:type="pct"/>
        <w:tblLook w:val="04A0" w:firstRow="1" w:lastRow="0" w:firstColumn="1" w:lastColumn="0" w:noHBand="0" w:noVBand="1"/>
      </w:tblPr>
      <w:tblGrid>
        <w:gridCol w:w="3289"/>
        <w:gridCol w:w="1553"/>
        <w:gridCol w:w="1551"/>
        <w:gridCol w:w="1881"/>
        <w:gridCol w:w="1880"/>
      </w:tblGrid>
      <w:tr w:rsidR="00777D16" w:rsidRPr="00490C53" w14:paraId="6814B0D0"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1620" w:type="pct"/>
            <w:noWrap/>
            <w:hideMark/>
          </w:tcPr>
          <w:p w14:paraId="771DC51D" w14:textId="77777777" w:rsidR="00777D16" w:rsidRPr="00490C53" w:rsidRDefault="00777D16">
            <w:pPr>
              <w:pStyle w:val="Tablecolumnheading-white"/>
            </w:pPr>
            <w:r w:rsidRPr="00490C53">
              <w:t>Variable</w:t>
            </w:r>
          </w:p>
        </w:tc>
        <w:tc>
          <w:tcPr>
            <w:tcW w:w="765" w:type="pct"/>
            <w:noWrap/>
            <w:vAlign w:val="center"/>
            <w:hideMark/>
          </w:tcPr>
          <w:p w14:paraId="4C1FD282" w14:textId="77777777" w:rsidR="00777D16" w:rsidRPr="00490C53" w:rsidRDefault="00777D16">
            <w:pPr>
              <w:pStyle w:val="Tablecolumnheading-white"/>
              <w:jc w:val="center"/>
              <w:rPr>
                <w:bCs/>
              </w:rPr>
            </w:pPr>
            <w:r w:rsidRPr="00490C53">
              <w:rPr>
                <w:bCs/>
              </w:rPr>
              <w:t>BBLS</w:t>
            </w:r>
          </w:p>
        </w:tc>
        <w:tc>
          <w:tcPr>
            <w:tcW w:w="764" w:type="pct"/>
            <w:noWrap/>
            <w:vAlign w:val="center"/>
            <w:hideMark/>
          </w:tcPr>
          <w:p w14:paraId="7BDBB17F" w14:textId="77777777" w:rsidR="00777D16" w:rsidRPr="00490C53" w:rsidRDefault="00777D16">
            <w:pPr>
              <w:pStyle w:val="Tablecolumnheading-white"/>
              <w:jc w:val="center"/>
              <w:rPr>
                <w:bCs/>
              </w:rPr>
            </w:pPr>
            <w:r w:rsidRPr="00490C53">
              <w:rPr>
                <w:bCs/>
              </w:rPr>
              <w:t>BBLS</w:t>
            </w:r>
          </w:p>
        </w:tc>
        <w:tc>
          <w:tcPr>
            <w:tcW w:w="926" w:type="pct"/>
            <w:vAlign w:val="center"/>
          </w:tcPr>
          <w:p w14:paraId="36354109" w14:textId="77777777" w:rsidR="00777D16" w:rsidRPr="00490C53" w:rsidRDefault="00777D16">
            <w:pPr>
              <w:pStyle w:val="Tablecolumnheading-white"/>
              <w:jc w:val="center"/>
              <w:rPr>
                <w:bCs/>
              </w:rPr>
            </w:pPr>
            <w:r w:rsidRPr="00490C53">
              <w:rPr>
                <w:bCs/>
              </w:rPr>
              <w:t>CBILS/CLBILS</w:t>
            </w:r>
          </w:p>
        </w:tc>
        <w:tc>
          <w:tcPr>
            <w:tcW w:w="926" w:type="pct"/>
            <w:vAlign w:val="center"/>
          </w:tcPr>
          <w:p w14:paraId="340CBF53" w14:textId="77777777" w:rsidR="00777D16" w:rsidRPr="00490C53" w:rsidRDefault="00777D16">
            <w:pPr>
              <w:pStyle w:val="Tablecolumnheading-white"/>
              <w:jc w:val="center"/>
              <w:rPr>
                <w:bCs/>
              </w:rPr>
            </w:pPr>
            <w:r w:rsidRPr="00490C53">
              <w:rPr>
                <w:bCs/>
              </w:rPr>
              <w:t>CBILS/CLBILS</w:t>
            </w:r>
          </w:p>
        </w:tc>
      </w:tr>
      <w:tr w:rsidR="00777D16" w:rsidRPr="00490C53" w14:paraId="6F7E94E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1620" w:type="pct"/>
            <w:noWrap/>
            <w:vAlign w:val="center"/>
            <w:hideMark/>
          </w:tcPr>
          <w:p w14:paraId="7CCFF759" w14:textId="77777777" w:rsidR="00777D16" w:rsidRPr="00490C53" w:rsidRDefault="00777D16">
            <w:pPr>
              <w:pStyle w:val="Tabletext"/>
            </w:pPr>
            <w:r w:rsidRPr="00490C53">
              <w:t>Post-intervention</w:t>
            </w:r>
          </w:p>
        </w:tc>
        <w:tc>
          <w:tcPr>
            <w:tcW w:w="765" w:type="pct"/>
            <w:vAlign w:val="center"/>
            <w:hideMark/>
          </w:tcPr>
          <w:p w14:paraId="5150FEBA" w14:textId="77777777" w:rsidR="00777D16" w:rsidRPr="00490C53" w:rsidRDefault="00777D16">
            <w:pPr>
              <w:pStyle w:val="Tabletext"/>
              <w:spacing w:before="0"/>
              <w:jc w:val="center"/>
            </w:pPr>
            <w:r w:rsidRPr="00490C53">
              <w:t>-0.082***</w:t>
            </w:r>
            <w:r w:rsidRPr="00490C53">
              <w:br/>
              <w:t>(0.018)</w:t>
            </w:r>
          </w:p>
        </w:tc>
        <w:tc>
          <w:tcPr>
            <w:tcW w:w="764" w:type="pct"/>
            <w:vAlign w:val="center"/>
            <w:hideMark/>
          </w:tcPr>
          <w:p w14:paraId="2B4906E7" w14:textId="77777777" w:rsidR="00777D16" w:rsidRPr="00490C53" w:rsidRDefault="00777D16">
            <w:pPr>
              <w:pStyle w:val="Tabletext"/>
              <w:spacing w:before="0"/>
              <w:jc w:val="center"/>
            </w:pPr>
            <w:r w:rsidRPr="00490C53">
              <w:t>-0.088***</w:t>
            </w:r>
            <w:r w:rsidRPr="00490C53">
              <w:br/>
              <w:t>(0.018)</w:t>
            </w:r>
          </w:p>
        </w:tc>
        <w:tc>
          <w:tcPr>
            <w:tcW w:w="926" w:type="pct"/>
            <w:vAlign w:val="center"/>
          </w:tcPr>
          <w:p w14:paraId="2B9AA3E3" w14:textId="77777777" w:rsidR="00777D16" w:rsidRPr="00490C53" w:rsidRDefault="00777D16">
            <w:pPr>
              <w:pStyle w:val="Tabletext"/>
              <w:spacing w:before="0"/>
              <w:jc w:val="center"/>
            </w:pPr>
            <w:r w:rsidRPr="00490C53">
              <w:t>-0.092***</w:t>
            </w:r>
            <w:r w:rsidRPr="00490C53">
              <w:br/>
              <w:t>(0.012)</w:t>
            </w:r>
          </w:p>
        </w:tc>
        <w:tc>
          <w:tcPr>
            <w:tcW w:w="926" w:type="pct"/>
            <w:vAlign w:val="center"/>
          </w:tcPr>
          <w:p w14:paraId="668DF861" w14:textId="77777777" w:rsidR="00777D16" w:rsidRPr="00490C53" w:rsidRDefault="00777D16">
            <w:pPr>
              <w:pStyle w:val="Tabletext"/>
              <w:spacing w:before="0"/>
              <w:jc w:val="center"/>
            </w:pPr>
            <w:r w:rsidRPr="00490C53">
              <w:t>-0.114***</w:t>
            </w:r>
            <w:r w:rsidRPr="00490C53">
              <w:br/>
              <w:t>(0.009)</w:t>
            </w:r>
          </w:p>
        </w:tc>
      </w:tr>
      <w:tr w:rsidR="00777D16" w:rsidRPr="00490C53" w14:paraId="1A2919DC" w14:textId="77777777">
        <w:tblPrEx>
          <w:tblCellMar>
            <w:left w:w="108" w:type="dxa"/>
            <w:right w:w="108" w:type="dxa"/>
          </w:tblCellMar>
        </w:tblPrEx>
        <w:trPr>
          <w:trHeight w:val="870"/>
        </w:trPr>
        <w:tc>
          <w:tcPr>
            <w:tcW w:w="1620" w:type="pct"/>
            <w:noWrap/>
            <w:vAlign w:val="center"/>
            <w:hideMark/>
          </w:tcPr>
          <w:p w14:paraId="66243351" w14:textId="77777777" w:rsidR="00777D16" w:rsidRPr="00490C53" w:rsidRDefault="00777D16">
            <w:pPr>
              <w:pStyle w:val="Tabletext"/>
            </w:pPr>
            <w:r w:rsidRPr="00490C53">
              <w:t>Borrower, post-intervention</w:t>
            </w:r>
          </w:p>
        </w:tc>
        <w:tc>
          <w:tcPr>
            <w:tcW w:w="765" w:type="pct"/>
            <w:vAlign w:val="center"/>
            <w:hideMark/>
          </w:tcPr>
          <w:p w14:paraId="15D1A7EF" w14:textId="77777777" w:rsidR="00777D16" w:rsidRPr="00490C53" w:rsidRDefault="00777D16">
            <w:pPr>
              <w:pStyle w:val="Tabletext"/>
              <w:spacing w:before="0"/>
              <w:jc w:val="center"/>
            </w:pPr>
            <w:r w:rsidRPr="00490C53">
              <w:t>0.099***</w:t>
            </w:r>
            <w:r w:rsidRPr="00490C53">
              <w:br/>
              <w:t>(0.017)</w:t>
            </w:r>
          </w:p>
        </w:tc>
        <w:tc>
          <w:tcPr>
            <w:tcW w:w="764" w:type="pct"/>
            <w:vAlign w:val="center"/>
            <w:hideMark/>
          </w:tcPr>
          <w:p w14:paraId="272438D1" w14:textId="77777777" w:rsidR="00777D16" w:rsidRPr="00490C53" w:rsidRDefault="00777D16">
            <w:pPr>
              <w:pStyle w:val="Tabletext"/>
              <w:spacing w:before="0"/>
              <w:jc w:val="center"/>
            </w:pPr>
            <w:r w:rsidRPr="00490C53">
              <w:t>0.093***</w:t>
            </w:r>
            <w:r w:rsidRPr="00490C53">
              <w:br/>
              <w:t>(0.017)</w:t>
            </w:r>
          </w:p>
        </w:tc>
        <w:tc>
          <w:tcPr>
            <w:tcW w:w="926" w:type="pct"/>
            <w:vAlign w:val="center"/>
          </w:tcPr>
          <w:p w14:paraId="33A47E39" w14:textId="77777777" w:rsidR="00777D16" w:rsidRPr="00490C53" w:rsidRDefault="00777D16">
            <w:pPr>
              <w:pStyle w:val="Tabletext"/>
              <w:spacing w:before="0"/>
              <w:jc w:val="center"/>
            </w:pPr>
            <w:r w:rsidRPr="00490C53">
              <w:t>0.124***</w:t>
            </w:r>
            <w:r w:rsidRPr="00490C53">
              <w:br/>
              <w:t>(0.017)</w:t>
            </w:r>
          </w:p>
        </w:tc>
        <w:tc>
          <w:tcPr>
            <w:tcW w:w="926" w:type="pct"/>
            <w:vAlign w:val="center"/>
          </w:tcPr>
          <w:p w14:paraId="488B1172" w14:textId="77777777" w:rsidR="00777D16" w:rsidRPr="00490C53" w:rsidRDefault="00777D16">
            <w:pPr>
              <w:pStyle w:val="Tabletext"/>
              <w:spacing w:before="0"/>
              <w:jc w:val="center"/>
            </w:pPr>
            <w:r w:rsidRPr="00490C53">
              <w:t>0.109***</w:t>
            </w:r>
            <w:r w:rsidRPr="00490C53">
              <w:br/>
              <w:t>(0.018)</w:t>
            </w:r>
          </w:p>
        </w:tc>
      </w:tr>
      <w:tr w:rsidR="00777D16" w:rsidRPr="00490C53" w14:paraId="37F895C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1620" w:type="pct"/>
            <w:noWrap/>
            <w:vAlign w:val="center"/>
            <w:hideMark/>
          </w:tcPr>
          <w:p w14:paraId="35D1BF6D" w14:textId="77777777" w:rsidR="00777D16" w:rsidRPr="00490C53" w:rsidRDefault="00777D16">
            <w:pPr>
              <w:pStyle w:val="Tabletext"/>
            </w:pPr>
            <w:r w:rsidRPr="00490C53">
              <w:t>Used CJRS in 2020</w:t>
            </w:r>
          </w:p>
        </w:tc>
        <w:tc>
          <w:tcPr>
            <w:tcW w:w="765" w:type="pct"/>
            <w:vAlign w:val="center"/>
            <w:hideMark/>
          </w:tcPr>
          <w:p w14:paraId="4AA97C68" w14:textId="77777777" w:rsidR="00777D16" w:rsidRPr="00490C53" w:rsidRDefault="00777D16">
            <w:pPr>
              <w:pStyle w:val="Tabletext"/>
              <w:spacing w:before="0"/>
              <w:jc w:val="center"/>
            </w:pPr>
          </w:p>
        </w:tc>
        <w:tc>
          <w:tcPr>
            <w:tcW w:w="764" w:type="pct"/>
            <w:vAlign w:val="center"/>
            <w:hideMark/>
          </w:tcPr>
          <w:p w14:paraId="63168A61" w14:textId="77777777" w:rsidR="00777D16" w:rsidRPr="00490C53" w:rsidRDefault="00777D16">
            <w:pPr>
              <w:pStyle w:val="Tabletext"/>
              <w:spacing w:before="0"/>
              <w:jc w:val="center"/>
            </w:pPr>
            <w:r w:rsidRPr="00490C53">
              <w:t>0.021***</w:t>
            </w:r>
            <w:r w:rsidRPr="00490C53">
              <w:br/>
              <w:t>(0.004)</w:t>
            </w:r>
          </w:p>
        </w:tc>
        <w:tc>
          <w:tcPr>
            <w:tcW w:w="926" w:type="pct"/>
            <w:vAlign w:val="center"/>
          </w:tcPr>
          <w:p w14:paraId="72C79AF4" w14:textId="77777777" w:rsidR="00777D16" w:rsidRPr="00490C53" w:rsidRDefault="00777D16">
            <w:pPr>
              <w:pStyle w:val="Tabletext"/>
              <w:spacing w:before="0"/>
              <w:jc w:val="center"/>
            </w:pPr>
          </w:p>
        </w:tc>
        <w:tc>
          <w:tcPr>
            <w:tcW w:w="926" w:type="pct"/>
            <w:vAlign w:val="center"/>
          </w:tcPr>
          <w:p w14:paraId="6E907C2C" w14:textId="77777777" w:rsidR="00777D16" w:rsidRPr="00490C53" w:rsidRDefault="00777D16">
            <w:pPr>
              <w:pStyle w:val="Tabletext"/>
              <w:spacing w:before="0"/>
              <w:jc w:val="center"/>
            </w:pPr>
            <w:r w:rsidRPr="00490C53">
              <w:t>0.054***</w:t>
            </w:r>
            <w:r w:rsidRPr="00490C53">
              <w:br/>
              <w:t>(0.005)</w:t>
            </w:r>
          </w:p>
        </w:tc>
      </w:tr>
      <w:tr w:rsidR="00777D16" w:rsidRPr="00490C53" w14:paraId="2E48362F" w14:textId="77777777">
        <w:tblPrEx>
          <w:tblCellMar>
            <w:left w:w="108" w:type="dxa"/>
            <w:right w:w="108" w:type="dxa"/>
          </w:tblCellMar>
        </w:tblPrEx>
        <w:trPr>
          <w:trHeight w:val="443"/>
        </w:trPr>
        <w:tc>
          <w:tcPr>
            <w:tcW w:w="1620" w:type="pct"/>
            <w:noWrap/>
            <w:vAlign w:val="center"/>
            <w:hideMark/>
          </w:tcPr>
          <w:p w14:paraId="5697B004" w14:textId="77777777" w:rsidR="00777D16" w:rsidRPr="00490C53" w:rsidRDefault="00777D16">
            <w:pPr>
              <w:pStyle w:val="Tabletext"/>
            </w:pPr>
            <w:r w:rsidRPr="00490C53">
              <w:t>Constant</w:t>
            </w:r>
          </w:p>
        </w:tc>
        <w:tc>
          <w:tcPr>
            <w:tcW w:w="765" w:type="pct"/>
            <w:vAlign w:val="center"/>
            <w:hideMark/>
          </w:tcPr>
          <w:p w14:paraId="14485B6D" w14:textId="77777777" w:rsidR="00777D16" w:rsidRPr="00490C53" w:rsidRDefault="00777D16">
            <w:pPr>
              <w:pStyle w:val="Tabletext"/>
              <w:spacing w:before="0"/>
              <w:jc w:val="center"/>
            </w:pPr>
            <w:r w:rsidRPr="00490C53">
              <w:t>13.060***</w:t>
            </w:r>
            <w:r w:rsidRPr="00490C53">
              <w:br/>
              <w:t>(0.005)</w:t>
            </w:r>
          </w:p>
        </w:tc>
        <w:tc>
          <w:tcPr>
            <w:tcW w:w="764" w:type="pct"/>
            <w:vAlign w:val="center"/>
            <w:hideMark/>
          </w:tcPr>
          <w:p w14:paraId="36E8337F" w14:textId="77777777" w:rsidR="00777D16" w:rsidRPr="00490C53" w:rsidRDefault="00777D16">
            <w:pPr>
              <w:pStyle w:val="Tabletext"/>
              <w:spacing w:before="0"/>
              <w:jc w:val="center"/>
            </w:pPr>
            <w:r w:rsidRPr="00490C53">
              <w:t>13.060***</w:t>
            </w:r>
            <w:r w:rsidRPr="00490C53">
              <w:br/>
              <w:t>(0.005)</w:t>
            </w:r>
          </w:p>
        </w:tc>
        <w:tc>
          <w:tcPr>
            <w:tcW w:w="926" w:type="pct"/>
            <w:vAlign w:val="center"/>
          </w:tcPr>
          <w:p w14:paraId="050C733F" w14:textId="77777777" w:rsidR="00777D16" w:rsidRPr="00490C53" w:rsidRDefault="00777D16">
            <w:pPr>
              <w:pStyle w:val="Tabletext"/>
              <w:spacing w:before="0"/>
              <w:jc w:val="center"/>
            </w:pPr>
            <w:r w:rsidRPr="00490C53">
              <w:t>14.464***</w:t>
            </w:r>
            <w:r w:rsidRPr="00490C53">
              <w:br/>
              <w:t>(0.002)</w:t>
            </w:r>
          </w:p>
        </w:tc>
        <w:tc>
          <w:tcPr>
            <w:tcW w:w="926" w:type="pct"/>
            <w:vAlign w:val="center"/>
          </w:tcPr>
          <w:p w14:paraId="49ADDEC6" w14:textId="77777777" w:rsidR="00777D16" w:rsidRPr="00490C53" w:rsidRDefault="00777D16">
            <w:pPr>
              <w:pStyle w:val="Tabletext"/>
              <w:spacing w:before="0"/>
              <w:jc w:val="center"/>
            </w:pPr>
            <w:r w:rsidRPr="00490C53">
              <w:t>14.464***</w:t>
            </w:r>
            <w:r w:rsidRPr="00490C53">
              <w:br/>
              <w:t>(0.002)</w:t>
            </w:r>
          </w:p>
        </w:tc>
      </w:tr>
      <w:tr w:rsidR="00777D16" w:rsidRPr="00490C53" w14:paraId="620CB3F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70"/>
        </w:trPr>
        <w:tc>
          <w:tcPr>
            <w:tcW w:w="1620" w:type="pct"/>
            <w:noWrap/>
            <w:vAlign w:val="center"/>
          </w:tcPr>
          <w:p w14:paraId="23538444" w14:textId="77777777" w:rsidR="00777D16" w:rsidRPr="00490C53" w:rsidRDefault="00777D16">
            <w:pPr>
              <w:pStyle w:val="Tabletext"/>
            </w:pPr>
            <w:r w:rsidRPr="00490C53">
              <w:lastRenderedPageBreak/>
              <w:t>Observations</w:t>
            </w:r>
          </w:p>
        </w:tc>
        <w:tc>
          <w:tcPr>
            <w:tcW w:w="765" w:type="pct"/>
            <w:vAlign w:val="center"/>
          </w:tcPr>
          <w:p w14:paraId="5605DA5A" w14:textId="77777777" w:rsidR="00777D16" w:rsidRPr="00490C53" w:rsidRDefault="00777D16">
            <w:pPr>
              <w:pStyle w:val="Tabletext"/>
              <w:jc w:val="center"/>
            </w:pPr>
            <w:r w:rsidRPr="00490C53">
              <w:t>268,738</w:t>
            </w:r>
          </w:p>
        </w:tc>
        <w:tc>
          <w:tcPr>
            <w:tcW w:w="764" w:type="pct"/>
            <w:vAlign w:val="center"/>
          </w:tcPr>
          <w:p w14:paraId="39968AA2" w14:textId="77777777" w:rsidR="00777D16" w:rsidRPr="00490C53" w:rsidRDefault="00777D16">
            <w:pPr>
              <w:pStyle w:val="Tabletext"/>
              <w:jc w:val="center"/>
            </w:pPr>
            <w:r w:rsidRPr="00490C53">
              <w:t>268,738</w:t>
            </w:r>
          </w:p>
        </w:tc>
        <w:tc>
          <w:tcPr>
            <w:tcW w:w="926" w:type="pct"/>
            <w:vAlign w:val="center"/>
          </w:tcPr>
          <w:p w14:paraId="5F513DD2" w14:textId="77777777" w:rsidR="00777D16" w:rsidRPr="00490C53" w:rsidRDefault="00777D16">
            <w:pPr>
              <w:pStyle w:val="Tabletext"/>
              <w:jc w:val="center"/>
            </w:pPr>
            <w:r w:rsidRPr="00490C53">
              <w:t>157,576</w:t>
            </w:r>
          </w:p>
        </w:tc>
        <w:tc>
          <w:tcPr>
            <w:tcW w:w="926" w:type="pct"/>
            <w:vAlign w:val="center"/>
          </w:tcPr>
          <w:p w14:paraId="4ABD7A61" w14:textId="77777777" w:rsidR="00777D16" w:rsidRPr="00490C53" w:rsidRDefault="00777D16">
            <w:pPr>
              <w:pStyle w:val="Tabletext"/>
              <w:jc w:val="center"/>
            </w:pPr>
            <w:r w:rsidRPr="00490C53">
              <w:t>157,576</w:t>
            </w:r>
          </w:p>
        </w:tc>
      </w:tr>
      <w:tr w:rsidR="00777D16" w:rsidRPr="00490C53" w14:paraId="5F5DB4F5" w14:textId="77777777">
        <w:tblPrEx>
          <w:tblCellMar>
            <w:left w:w="108" w:type="dxa"/>
            <w:right w:w="108" w:type="dxa"/>
          </w:tblCellMar>
        </w:tblPrEx>
        <w:trPr>
          <w:trHeight w:val="564"/>
        </w:trPr>
        <w:tc>
          <w:tcPr>
            <w:tcW w:w="1620" w:type="pct"/>
            <w:noWrap/>
            <w:vAlign w:val="center"/>
          </w:tcPr>
          <w:p w14:paraId="1C6073E1" w14:textId="77777777" w:rsidR="00777D16" w:rsidRPr="00490C53" w:rsidRDefault="00777D16">
            <w:pPr>
              <w:pStyle w:val="Tabletext"/>
            </w:pPr>
            <w:r w:rsidRPr="00490C53">
              <w:t>R-squared</w:t>
            </w:r>
          </w:p>
        </w:tc>
        <w:tc>
          <w:tcPr>
            <w:tcW w:w="765" w:type="pct"/>
            <w:vAlign w:val="center"/>
          </w:tcPr>
          <w:p w14:paraId="3B4A4938" w14:textId="77777777" w:rsidR="00777D16" w:rsidRPr="00490C53" w:rsidRDefault="00777D16">
            <w:pPr>
              <w:pStyle w:val="Tabletext"/>
              <w:jc w:val="center"/>
            </w:pPr>
            <w:r w:rsidRPr="00490C53">
              <w:t>0.007</w:t>
            </w:r>
          </w:p>
        </w:tc>
        <w:tc>
          <w:tcPr>
            <w:tcW w:w="764" w:type="pct"/>
            <w:vAlign w:val="center"/>
          </w:tcPr>
          <w:p w14:paraId="2BE7B1F3" w14:textId="77777777" w:rsidR="00777D16" w:rsidRPr="00490C53" w:rsidRDefault="00777D16">
            <w:pPr>
              <w:pStyle w:val="Tabletext"/>
              <w:jc w:val="center"/>
            </w:pPr>
            <w:r w:rsidRPr="00490C53">
              <w:t>0.007</w:t>
            </w:r>
          </w:p>
        </w:tc>
        <w:tc>
          <w:tcPr>
            <w:tcW w:w="926" w:type="pct"/>
            <w:vAlign w:val="center"/>
          </w:tcPr>
          <w:p w14:paraId="72A2917D" w14:textId="77777777" w:rsidR="00777D16" w:rsidRPr="00490C53" w:rsidRDefault="00777D16">
            <w:pPr>
              <w:pStyle w:val="Tabletext"/>
              <w:jc w:val="center"/>
            </w:pPr>
            <w:r w:rsidRPr="00490C53">
              <w:t>0.009</w:t>
            </w:r>
          </w:p>
        </w:tc>
        <w:tc>
          <w:tcPr>
            <w:tcW w:w="926" w:type="pct"/>
            <w:vAlign w:val="center"/>
          </w:tcPr>
          <w:p w14:paraId="61B45CEC" w14:textId="77777777" w:rsidR="00777D16" w:rsidRPr="00490C53" w:rsidRDefault="00777D16">
            <w:pPr>
              <w:pStyle w:val="Tabletext"/>
              <w:jc w:val="center"/>
            </w:pPr>
            <w:r w:rsidRPr="00490C53">
              <w:t>0.010</w:t>
            </w:r>
          </w:p>
        </w:tc>
      </w:tr>
      <w:tr w:rsidR="00777D16" w:rsidRPr="00490C53" w14:paraId="3B0C957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64"/>
        </w:trPr>
        <w:tc>
          <w:tcPr>
            <w:tcW w:w="1620" w:type="pct"/>
            <w:tcBorders>
              <w:bottom w:val="single" w:sz="4" w:space="0" w:color="0054BA" w:themeColor="accent2"/>
            </w:tcBorders>
            <w:noWrap/>
            <w:vAlign w:val="center"/>
          </w:tcPr>
          <w:p w14:paraId="28F3F213" w14:textId="77777777" w:rsidR="00777D16" w:rsidRPr="00490C53" w:rsidRDefault="00777D16">
            <w:pPr>
              <w:pStyle w:val="Tabletext"/>
            </w:pPr>
            <w:r w:rsidRPr="00490C53">
              <w:t>Fixed effects</w:t>
            </w:r>
          </w:p>
        </w:tc>
        <w:tc>
          <w:tcPr>
            <w:tcW w:w="765" w:type="pct"/>
            <w:tcBorders>
              <w:bottom w:val="single" w:sz="4" w:space="0" w:color="0054BA" w:themeColor="accent2"/>
            </w:tcBorders>
            <w:vAlign w:val="center"/>
          </w:tcPr>
          <w:p w14:paraId="319A78ED" w14:textId="77777777" w:rsidR="00777D16" w:rsidRPr="00490C53" w:rsidRDefault="00777D16">
            <w:pPr>
              <w:pStyle w:val="Tabletext"/>
              <w:jc w:val="center"/>
            </w:pPr>
            <w:r w:rsidRPr="00490C53">
              <w:t>Yes</w:t>
            </w:r>
          </w:p>
        </w:tc>
        <w:tc>
          <w:tcPr>
            <w:tcW w:w="764" w:type="pct"/>
            <w:tcBorders>
              <w:bottom w:val="single" w:sz="4" w:space="0" w:color="0054BA" w:themeColor="accent2"/>
            </w:tcBorders>
            <w:vAlign w:val="center"/>
          </w:tcPr>
          <w:p w14:paraId="0E1DF484" w14:textId="77777777" w:rsidR="00777D16" w:rsidRPr="00490C53" w:rsidRDefault="00777D16">
            <w:pPr>
              <w:pStyle w:val="Tabletext"/>
              <w:jc w:val="center"/>
            </w:pPr>
            <w:r w:rsidRPr="00490C53">
              <w:t>Yes</w:t>
            </w:r>
          </w:p>
        </w:tc>
        <w:tc>
          <w:tcPr>
            <w:tcW w:w="926" w:type="pct"/>
            <w:tcBorders>
              <w:bottom w:val="single" w:sz="4" w:space="0" w:color="0054BA" w:themeColor="accent2"/>
            </w:tcBorders>
            <w:vAlign w:val="center"/>
          </w:tcPr>
          <w:p w14:paraId="2E3A2C51" w14:textId="77777777" w:rsidR="00777D16" w:rsidRPr="00490C53" w:rsidRDefault="00777D16">
            <w:pPr>
              <w:pStyle w:val="Tabletext"/>
              <w:jc w:val="center"/>
            </w:pPr>
            <w:r w:rsidRPr="00490C53">
              <w:t>Yes</w:t>
            </w:r>
          </w:p>
        </w:tc>
        <w:tc>
          <w:tcPr>
            <w:tcW w:w="926" w:type="pct"/>
            <w:tcBorders>
              <w:bottom w:val="single" w:sz="4" w:space="0" w:color="0054BA" w:themeColor="accent2"/>
            </w:tcBorders>
            <w:vAlign w:val="center"/>
          </w:tcPr>
          <w:p w14:paraId="08C2FA64" w14:textId="77777777" w:rsidR="00777D16" w:rsidRPr="00490C53" w:rsidRDefault="00777D16">
            <w:pPr>
              <w:pStyle w:val="Tabletext"/>
              <w:jc w:val="center"/>
            </w:pPr>
            <w:r w:rsidRPr="00490C53">
              <w:t>Yes</w:t>
            </w:r>
          </w:p>
        </w:tc>
      </w:tr>
    </w:tbl>
    <w:p w14:paraId="6CCDAB9F" w14:textId="1433B19B" w:rsidR="00777D16" w:rsidRPr="00490C53" w:rsidRDefault="00777D16" w:rsidP="00777D16">
      <w:r>
        <w:rPr>
          <w:rStyle w:val="Emphasis"/>
          <w:b w:val="0"/>
          <w:color w:val="555674"/>
        </w:rPr>
        <w:t xml:space="preserve">Note: </w:t>
      </w:r>
      <w:r w:rsidRPr="00490C53">
        <w:rPr>
          <w:rStyle w:val="Emphasis"/>
          <w:b w:val="0"/>
          <w:color w:val="555674"/>
        </w:rPr>
        <w:t>*** p-value&lt;0.01, ** p-value&lt;0.05, * p-value&lt;0.1. Source: London Economics’ analysis of IDBR data</w:t>
      </w:r>
      <w:r w:rsidR="00E6301D">
        <w:rPr>
          <w:rStyle w:val="Emphasis"/>
          <w:b w:val="0"/>
          <w:bCs/>
          <w:color w:val="555674"/>
        </w:rPr>
        <w:t>, BBB Portal Data and HMRC Coronavirus Job Retention Scheme</w:t>
      </w:r>
      <w:r w:rsidR="00E6301D" w:rsidRPr="00F269C4">
        <w:rPr>
          <w:rStyle w:val="Emphasis"/>
          <w:b w:val="0"/>
          <w:bCs/>
          <w:color w:val="555674"/>
        </w:rPr>
        <w:t xml:space="preserve"> (CJRS) data</w:t>
      </w:r>
      <w:r w:rsidRPr="00490C53">
        <w:rPr>
          <w:rStyle w:val="Emphasis"/>
          <w:b w:val="0"/>
          <w:iCs w:val="0"/>
          <w:color w:val="555674"/>
        </w:rPr>
        <w:t>.</w:t>
      </w:r>
    </w:p>
    <w:p w14:paraId="65C25C57" w14:textId="77705064" w:rsidR="00777D16" w:rsidRPr="00490C53" w:rsidRDefault="00777D16" w:rsidP="00777D16">
      <w:pPr>
        <w:pStyle w:val="Heading5"/>
      </w:pPr>
      <w:bookmarkStart w:id="307" w:name="_Ref138342269"/>
      <w:r w:rsidRPr="00490C53">
        <w:t xml:space="preserve">Table </w:t>
      </w:r>
      <w:r w:rsidRPr="00490C53">
        <w:fldChar w:fldCharType="begin"/>
      </w:r>
      <w:r w:rsidRPr="00490C53">
        <w:instrText>SEQ Table \* ARABIC</w:instrText>
      </w:r>
      <w:r w:rsidRPr="00490C53">
        <w:fldChar w:fldCharType="separate"/>
      </w:r>
      <w:r w:rsidR="00397D49">
        <w:rPr>
          <w:noProof/>
        </w:rPr>
        <w:t>46</w:t>
      </w:r>
      <w:r w:rsidRPr="00490C53">
        <w:fldChar w:fldCharType="end"/>
      </w:r>
      <w:bookmarkEnd w:id="307"/>
      <w:r w:rsidRPr="00490C53">
        <w:t xml:space="preserve">: Estimated impact of the Covid-19 Loan Guarantee Schemes on employment – </w:t>
      </w:r>
      <w:r w:rsidR="001F5733">
        <w:t>Secondary analysis</w:t>
      </w:r>
      <w:r w:rsidR="001F5733" w:rsidRPr="00490C53">
        <w:t xml:space="preserve"> </w:t>
      </w:r>
      <w:r w:rsidRPr="00490C53">
        <w:t>of Year 1 impacts</w:t>
      </w:r>
    </w:p>
    <w:tbl>
      <w:tblPr>
        <w:tblStyle w:val="TableGrid"/>
        <w:tblW w:w="4917" w:type="pct"/>
        <w:tblLook w:val="04A0" w:firstRow="1" w:lastRow="0" w:firstColumn="1" w:lastColumn="0" w:noHBand="0" w:noVBand="1"/>
      </w:tblPr>
      <w:tblGrid>
        <w:gridCol w:w="3285"/>
        <w:gridCol w:w="1284"/>
        <w:gridCol w:w="1284"/>
        <w:gridCol w:w="2066"/>
        <w:gridCol w:w="2066"/>
      </w:tblGrid>
      <w:tr w:rsidR="00777D16" w:rsidRPr="00490C53" w14:paraId="7C0900EC"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0" w:type="pct"/>
            <w:noWrap/>
            <w:hideMark/>
          </w:tcPr>
          <w:p w14:paraId="6C5D542A" w14:textId="77777777" w:rsidR="00777D16" w:rsidRPr="00490C53" w:rsidRDefault="00777D16">
            <w:pPr>
              <w:pStyle w:val="Tablecolumnheading-white"/>
            </w:pPr>
            <w:r w:rsidRPr="00490C53">
              <w:t>Variable</w:t>
            </w:r>
          </w:p>
        </w:tc>
        <w:tc>
          <w:tcPr>
            <w:tcW w:w="0" w:type="pct"/>
            <w:noWrap/>
            <w:vAlign w:val="center"/>
            <w:hideMark/>
          </w:tcPr>
          <w:p w14:paraId="5372B1F0" w14:textId="77777777" w:rsidR="00777D16" w:rsidRPr="00490C53" w:rsidRDefault="00777D16">
            <w:pPr>
              <w:pStyle w:val="Tablecolumnheading-white"/>
              <w:jc w:val="center"/>
              <w:rPr>
                <w:bCs/>
              </w:rPr>
            </w:pPr>
            <w:r w:rsidRPr="00490C53">
              <w:rPr>
                <w:bCs/>
              </w:rPr>
              <w:t>BBLS</w:t>
            </w:r>
          </w:p>
        </w:tc>
        <w:tc>
          <w:tcPr>
            <w:tcW w:w="0" w:type="pct"/>
            <w:noWrap/>
            <w:vAlign w:val="center"/>
            <w:hideMark/>
          </w:tcPr>
          <w:p w14:paraId="72212691" w14:textId="77777777" w:rsidR="00777D16" w:rsidRPr="00490C53" w:rsidRDefault="00777D16">
            <w:pPr>
              <w:pStyle w:val="Tablecolumnheading-white"/>
              <w:jc w:val="center"/>
              <w:rPr>
                <w:bCs/>
              </w:rPr>
            </w:pPr>
            <w:r w:rsidRPr="00490C53">
              <w:rPr>
                <w:bCs/>
              </w:rPr>
              <w:t>BBLS</w:t>
            </w:r>
          </w:p>
        </w:tc>
        <w:tc>
          <w:tcPr>
            <w:tcW w:w="0" w:type="pct"/>
            <w:vAlign w:val="center"/>
          </w:tcPr>
          <w:p w14:paraId="7CD17578" w14:textId="77777777" w:rsidR="00777D16" w:rsidRPr="00490C53" w:rsidRDefault="00777D16">
            <w:pPr>
              <w:pStyle w:val="Tablecolumnheading-white"/>
              <w:jc w:val="center"/>
              <w:rPr>
                <w:bCs/>
              </w:rPr>
            </w:pPr>
            <w:r w:rsidRPr="00490C53">
              <w:rPr>
                <w:bCs/>
              </w:rPr>
              <w:t>CBILS/CLBILS</w:t>
            </w:r>
          </w:p>
        </w:tc>
        <w:tc>
          <w:tcPr>
            <w:tcW w:w="0" w:type="pct"/>
            <w:vAlign w:val="center"/>
          </w:tcPr>
          <w:p w14:paraId="0A9472E9" w14:textId="77777777" w:rsidR="00777D16" w:rsidRPr="00490C53" w:rsidRDefault="00777D16">
            <w:pPr>
              <w:pStyle w:val="Tablecolumnheading-white"/>
              <w:jc w:val="center"/>
              <w:rPr>
                <w:bCs/>
              </w:rPr>
            </w:pPr>
            <w:r w:rsidRPr="00490C53">
              <w:rPr>
                <w:bCs/>
              </w:rPr>
              <w:t>CBILS/CLBILS</w:t>
            </w:r>
          </w:p>
        </w:tc>
      </w:tr>
      <w:tr w:rsidR="00777D16" w:rsidRPr="00490C53" w14:paraId="101C915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0" w:type="pct"/>
            <w:noWrap/>
            <w:vAlign w:val="center"/>
            <w:hideMark/>
          </w:tcPr>
          <w:p w14:paraId="00756B5A" w14:textId="77777777" w:rsidR="00777D16" w:rsidRPr="00490C53" w:rsidRDefault="00777D16">
            <w:pPr>
              <w:pStyle w:val="Tabletext"/>
            </w:pPr>
            <w:r w:rsidRPr="00490C53">
              <w:t>Post-intervention</w:t>
            </w:r>
          </w:p>
        </w:tc>
        <w:tc>
          <w:tcPr>
            <w:tcW w:w="0" w:type="pct"/>
            <w:vAlign w:val="center"/>
            <w:hideMark/>
          </w:tcPr>
          <w:p w14:paraId="33A41ADC" w14:textId="77777777" w:rsidR="00777D16" w:rsidRPr="00490C53" w:rsidRDefault="00777D16">
            <w:pPr>
              <w:pStyle w:val="Tabletext"/>
              <w:spacing w:before="0"/>
              <w:jc w:val="center"/>
            </w:pPr>
            <w:r w:rsidRPr="00490C53">
              <w:t>-0.034***</w:t>
            </w:r>
            <w:r w:rsidRPr="00490C53">
              <w:br/>
              <w:t>(0.005)</w:t>
            </w:r>
          </w:p>
        </w:tc>
        <w:tc>
          <w:tcPr>
            <w:tcW w:w="0" w:type="pct"/>
            <w:vAlign w:val="center"/>
            <w:hideMark/>
          </w:tcPr>
          <w:p w14:paraId="39A7487C" w14:textId="77777777" w:rsidR="00777D16" w:rsidRPr="00490C53" w:rsidRDefault="00777D16">
            <w:pPr>
              <w:pStyle w:val="Tabletext"/>
              <w:spacing w:before="0"/>
              <w:jc w:val="center"/>
            </w:pPr>
            <w:r w:rsidRPr="00490C53">
              <w:t>-0.039***</w:t>
            </w:r>
            <w:r w:rsidRPr="00490C53">
              <w:br/>
              <w:t>(0.005)</w:t>
            </w:r>
          </w:p>
        </w:tc>
        <w:tc>
          <w:tcPr>
            <w:tcW w:w="0" w:type="pct"/>
            <w:vAlign w:val="center"/>
          </w:tcPr>
          <w:p w14:paraId="619484DD" w14:textId="77777777" w:rsidR="00777D16" w:rsidRPr="00490C53" w:rsidRDefault="00777D16">
            <w:pPr>
              <w:pStyle w:val="Tabletext"/>
              <w:spacing w:before="0"/>
              <w:jc w:val="center"/>
            </w:pPr>
            <w:r w:rsidRPr="00490C53">
              <w:t>-0.053***</w:t>
            </w:r>
            <w:r w:rsidRPr="00490C53">
              <w:br/>
              <w:t>(0.005)</w:t>
            </w:r>
          </w:p>
        </w:tc>
        <w:tc>
          <w:tcPr>
            <w:tcW w:w="0" w:type="pct"/>
            <w:vAlign w:val="center"/>
          </w:tcPr>
          <w:p w14:paraId="19BA0348" w14:textId="77777777" w:rsidR="00777D16" w:rsidRPr="00490C53" w:rsidRDefault="00777D16">
            <w:pPr>
              <w:pStyle w:val="Tabletext"/>
              <w:spacing w:before="0"/>
              <w:jc w:val="center"/>
            </w:pPr>
            <w:r w:rsidRPr="00490C53">
              <w:t>-0.060***</w:t>
            </w:r>
            <w:r w:rsidRPr="00490C53">
              <w:br/>
              <w:t>(0.007)</w:t>
            </w:r>
          </w:p>
        </w:tc>
      </w:tr>
      <w:tr w:rsidR="00777D16" w:rsidRPr="00490C53" w14:paraId="1FFA3C46" w14:textId="77777777">
        <w:tblPrEx>
          <w:tblCellMar>
            <w:left w:w="108" w:type="dxa"/>
            <w:right w:w="108" w:type="dxa"/>
          </w:tblCellMar>
        </w:tblPrEx>
        <w:trPr>
          <w:trHeight w:val="870"/>
        </w:trPr>
        <w:tc>
          <w:tcPr>
            <w:tcW w:w="0" w:type="pct"/>
            <w:noWrap/>
            <w:vAlign w:val="center"/>
            <w:hideMark/>
          </w:tcPr>
          <w:p w14:paraId="33006237" w14:textId="77777777" w:rsidR="00777D16" w:rsidRPr="00490C53" w:rsidRDefault="00777D16">
            <w:pPr>
              <w:pStyle w:val="Tabletext"/>
            </w:pPr>
            <w:r w:rsidRPr="00490C53">
              <w:t>Borrower, post-intervention</w:t>
            </w:r>
          </w:p>
        </w:tc>
        <w:tc>
          <w:tcPr>
            <w:tcW w:w="0" w:type="pct"/>
            <w:vAlign w:val="center"/>
            <w:hideMark/>
          </w:tcPr>
          <w:p w14:paraId="30C4A6E2" w14:textId="77777777" w:rsidR="00777D16" w:rsidRPr="00490C53" w:rsidRDefault="00777D16">
            <w:pPr>
              <w:pStyle w:val="Tabletext"/>
              <w:spacing w:before="0"/>
              <w:jc w:val="center"/>
            </w:pPr>
            <w:r w:rsidRPr="00490C53">
              <w:t>0.059***</w:t>
            </w:r>
            <w:r w:rsidRPr="00490C53">
              <w:br/>
              <w:t>(0.005)</w:t>
            </w:r>
          </w:p>
        </w:tc>
        <w:tc>
          <w:tcPr>
            <w:tcW w:w="0" w:type="pct"/>
            <w:vAlign w:val="center"/>
            <w:hideMark/>
          </w:tcPr>
          <w:p w14:paraId="0342E9D9" w14:textId="77777777" w:rsidR="00777D16" w:rsidRPr="00490C53" w:rsidRDefault="00777D16">
            <w:pPr>
              <w:pStyle w:val="Tabletext"/>
              <w:spacing w:before="0"/>
              <w:jc w:val="center"/>
            </w:pPr>
            <w:r w:rsidRPr="00490C53">
              <w:t>0.055***</w:t>
            </w:r>
            <w:r w:rsidRPr="00490C53">
              <w:br/>
              <w:t>(0.005)</w:t>
            </w:r>
          </w:p>
        </w:tc>
        <w:tc>
          <w:tcPr>
            <w:tcW w:w="0" w:type="pct"/>
            <w:vAlign w:val="center"/>
          </w:tcPr>
          <w:p w14:paraId="3911D0B8" w14:textId="77777777" w:rsidR="00777D16" w:rsidRPr="00490C53" w:rsidRDefault="00777D16">
            <w:pPr>
              <w:pStyle w:val="Tabletext"/>
              <w:spacing w:before="0"/>
              <w:jc w:val="center"/>
            </w:pPr>
            <w:r w:rsidRPr="00490C53">
              <w:t>0.091***</w:t>
            </w:r>
            <w:r w:rsidRPr="00490C53">
              <w:br/>
              <w:t>(0.009)</w:t>
            </w:r>
          </w:p>
        </w:tc>
        <w:tc>
          <w:tcPr>
            <w:tcW w:w="0" w:type="pct"/>
            <w:vAlign w:val="center"/>
          </w:tcPr>
          <w:p w14:paraId="7B810719" w14:textId="77777777" w:rsidR="00777D16" w:rsidRPr="00490C53" w:rsidRDefault="00777D16">
            <w:pPr>
              <w:pStyle w:val="Tabletext"/>
              <w:spacing w:before="0"/>
              <w:jc w:val="center"/>
            </w:pPr>
            <w:r w:rsidRPr="00490C53">
              <w:t>0.086***</w:t>
            </w:r>
            <w:r w:rsidRPr="00490C53">
              <w:br/>
              <w:t>(0.010)</w:t>
            </w:r>
          </w:p>
        </w:tc>
      </w:tr>
      <w:tr w:rsidR="00777D16" w:rsidRPr="00490C53" w14:paraId="03643C7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0" w:type="pct"/>
            <w:noWrap/>
            <w:vAlign w:val="center"/>
            <w:hideMark/>
          </w:tcPr>
          <w:p w14:paraId="5DE71C60" w14:textId="77777777" w:rsidR="00777D16" w:rsidRPr="00490C53" w:rsidRDefault="00777D16">
            <w:pPr>
              <w:pStyle w:val="Tabletext"/>
            </w:pPr>
            <w:r w:rsidRPr="00490C53">
              <w:t>Used CJRS in 2020</w:t>
            </w:r>
          </w:p>
        </w:tc>
        <w:tc>
          <w:tcPr>
            <w:tcW w:w="0" w:type="pct"/>
            <w:vAlign w:val="center"/>
            <w:hideMark/>
          </w:tcPr>
          <w:p w14:paraId="06386BA4" w14:textId="77777777" w:rsidR="00777D16" w:rsidRPr="00490C53" w:rsidRDefault="00777D16">
            <w:pPr>
              <w:pStyle w:val="Tabletext"/>
              <w:spacing w:before="0"/>
              <w:jc w:val="center"/>
            </w:pPr>
          </w:p>
        </w:tc>
        <w:tc>
          <w:tcPr>
            <w:tcW w:w="0" w:type="pct"/>
            <w:vAlign w:val="center"/>
            <w:hideMark/>
          </w:tcPr>
          <w:p w14:paraId="3D86211C" w14:textId="77777777" w:rsidR="00777D16" w:rsidRPr="00490C53" w:rsidRDefault="00777D16">
            <w:pPr>
              <w:pStyle w:val="Tabletext"/>
              <w:spacing w:before="0"/>
              <w:jc w:val="center"/>
            </w:pPr>
            <w:r w:rsidRPr="00490C53">
              <w:t>0.014**</w:t>
            </w:r>
            <w:r w:rsidRPr="00490C53">
              <w:br/>
              <w:t>(0.005)</w:t>
            </w:r>
          </w:p>
        </w:tc>
        <w:tc>
          <w:tcPr>
            <w:tcW w:w="0" w:type="pct"/>
            <w:vAlign w:val="center"/>
          </w:tcPr>
          <w:p w14:paraId="5DB1014B" w14:textId="77777777" w:rsidR="00777D16" w:rsidRPr="00490C53" w:rsidRDefault="00777D16">
            <w:pPr>
              <w:pStyle w:val="Tabletext"/>
              <w:spacing w:before="0"/>
              <w:jc w:val="center"/>
            </w:pPr>
          </w:p>
        </w:tc>
        <w:tc>
          <w:tcPr>
            <w:tcW w:w="0" w:type="pct"/>
            <w:vAlign w:val="center"/>
          </w:tcPr>
          <w:p w14:paraId="6A8B7714" w14:textId="77777777" w:rsidR="00777D16" w:rsidRPr="00490C53" w:rsidRDefault="00777D16">
            <w:pPr>
              <w:pStyle w:val="Tabletext"/>
              <w:spacing w:before="0"/>
              <w:jc w:val="center"/>
            </w:pPr>
            <w:r w:rsidRPr="00490C53">
              <w:t>0.018**</w:t>
            </w:r>
            <w:r w:rsidRPr="00490C53">
              <w:br/>
              <w:t>(0.006)</w:t>
            </w:r>
          </w:p>
        </w:tc>
      </w:tr>
      <w:tr w:rsidR="00777D16" w:rsidRPr="00490C53" w14:paraId="6BA68222" w14:textId="77777777">
        <w:tblPrEx>
          <w:tblCellMar>
            <w:left w:w="108" w:type="dxa"/>
            <w:right w:w="108" w:type="dxa"/>
          </w:tblCellMar>
        </w:tblPrEx>
        <w:trPr>
          <w:trHeight w:val="443"/>
        </w:trPr>
        <w:tc>
          <w:tcPr>
            <w:tcW w:w="0" w:type="pct"/>
            <w:noWrap/>
            <w:vAlign w:val="center"/>
            <w:hideMark/>
          </w:tcPr>
          <w:p w14:paraId="37717BC6" w14:textId="77777777" w:rsidR="00777D16" w:rsidRPr="00490C53" w:rsidRDefault="00777D16">
            <w:pPr>
              <w:pStyle w:val="Tabletext"/>
            </w:pPr>
            <w:r w:rsidRPr="00490C53">
              <w:t>Constant</w:t>
            </w:r>
          </w:p>
        </w:tc>
        <w:tc>
          <w:tcPr>
            <w:tcW w:w="0" w:type="pct"/>
            <w:vAlign w:val="center"/>
            <w:hideMark/>
          </w:tcPr>
          <w:p w14:paraId="17A63825" w14:textId="77777777" w:rsidR="00777D16" w:rsidRPr="00490C53" w:rsidRDefault="00777D16">
            <w:pPr>
              <w:pStyle w:val="Tabletext"/>
              <w:spacing w:before="0"/>
              <w:jc w:val="center"/>
            </w:pPr>
            <w:r w:rsidRPr="00490C53">
              <w:t>1.853***</w:t>
            </w:r>
            <w:r w:rsidRPr="00490C53">
              <w:br/>
              <w:t>(0.003)</w:t>
            </w:r>
          </w:p>
        </w:tc>
        <w:tc>
          <w:tcPr>
            <w:tcW w:w="0" w:type="pct"/>
            <w:vAlign w:val="center"/>
            <w:hideMark/>
          </w:tcPr>
          <w:p w14:paraId="5EC4956B" w14:textId="77777777" w:rsidR="00777D16" w:rsidRPr="00490C53" w:rsidRDefault="00777D16">
            <w:pPr>
              <w:pStyle w:val="Tabletext"/>
              <w:spacing w:before="0"/>
              <w:jc w:val="center"/>
            </w:pPr>
            <w:r w:rsidRPr="00490C53">
              <w:t>1.853***</w:t>
            </w:r>
            <w:r w:rsidRPr="00490C53">
              <w:br/>
              <w:t>(0.003)</w:t>
            </w:r>
          </w:p>
        </w:tc>
        <w:tc>
          <w:tcPr>
            <w:tcW w:w="0" w:type="pct"/>
            <w:vAlign w:val="center"/>
          </w:tcPr>
          <w:p w14:paraId="36A509A1" w14:textId="77777777" w:rsidR="00777D16" w:rsidRPr="00490C53" w:rsidRDefault="00777D16">
            <w:pPr>
              <w:pStyle w:val="Tabletext"/>
              <w:spacing w:before="0"/>
              <w:jc w:val="center"/>
            </w:pPr>
            <w:r w:rsidRPr="00490C53">
              <w:t>2.875***</w:t>
            </w:r>
            <w:r w:rsidRPr="00490C53">
              <w:br/>
              <w:t>(0.003)</w:t>
            </w:r>
          </w:p>
        </w:tc>
        <w:tc>
          <w:tcPr>
            <w:tcW w:w="0" w:type="pct"/>
            <w:vAlign w:val="center"/>
          </w:tcPr>
          <w:p w14:paraId="746F4492" w14:textId="77777777" w:rsidR="00777D16" w:rsidRPr="00490C53" w:rsidRDefault="00777D16">
            <w:pPr>
              <w:pStyle w:val="Tabletext"/>
              <w:spacing w:before="0"/>
              <w:jc w:val="center"/>
            </w:pPr>
            <w:r w:rsidRPr="00490C53">
              <w:t>2.875***</w:t>
            </w:r>
            <w:r w:rsidRPr="00490C53">
              <w:br/>
              <w:t>(0.004)</w:t>
            </w:r>
          </w:p>
        </w:tc>
      </w:tr>
      <w:tr w:rsidR="00777D16" w:rsidRPr="00490C53" w14:paraId="69D1BB8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70"/>
        </w:trPr>
        <w:tc>
          <w:tcPr>
            <w:tcW w:w="0" w:type="pct"/>
            <w:noWrap/>
            <w:vAlign w:val="center"/>
          </w:tcPr>
          <w:p w14:paraId="6DDB3E2C" w14:textId="77777777" w:rsidR="00777D16" w:rsidRPr="00490C53" w:rsidRDefault="00777D16">
            <w:pPr>
              <w:pStyle w:val="Tabletext"/>
            </w:pPr>
            <w:r w:rsidRPr="00490C53">
              <w:t>Observations</w:t>
            </w:r>
          </w:p>
        </w:tc>
        <w:tc>
          <w:tcPr>
            <w:tcW w:w="0" w:type="pct"/>
            <w:vAlign w:val="center"/>
          </w:tcPr>
          <w:p w14:paraId="0EED0683" w14:textId="77777777" w:rsidR="00777D16" w:rsidRPr="00490C53" w:rsidRDefault="00777D16">
            <w:pPr>
              <w:pStyle w:val="Tabletext"/>
              <w:jc w:val="center"/>
            </w:pPr>
            <w:r w:rsidRPr="00490C53">
              <w:t>268,738</w:t>
            </w:r>
          </w:p>
        </w:tc>
        <w:tc>
          <w:tcPr>
            <w:tcW w:w="0" w:type="pct"/>
            <w:vAlign w:val="center"/>
          </w:tcPr>
          <w:p w14:paraId="361F920D" w14:textId="77777777" w:rsidR="00777D16" w:rsidRPr="00490C53" w:rsidRDefault="00777D16">
            <w:pPr>
              <w:pStyle w:val="Tabletext"/>
              <w:jc w:val="center"/>
            </w:pPr>
            <w:r w:rsidRPr="00490C53">
              <w:t>268,738</w:t>
            </w:r>
          </w:p>
        </w:tc>
        <w:tc>
          <w:tcPr>
            <w:tcW w:w="0" w:type="pct"/>
            <w:vAlign w:val="center"/>
          </w:tcPr>
          <w:p w14:paraId="7432DAFB" w14:textId="77777777" w:rsidR="00777D16" w:rsidRPr="00490C53" w:rsidRDefault="00777D16">
            <w:pPr>
              <w:pStyle w:val="Tabletext"/>
              <w:jc w:val="center"/>
            </w:pPr>
            <w:r w:rsidRPr="00490C53">
              <w:t>157,576</w:t>
            </w:r>
          </w:p>
        </w:tc>
        <w:tc>
          <w:tcPr>
            <w:tcW w:w="0" w:type="pct"/>
            <w:vAlign w:val="center"/>
          </w:tcPr>
          <w:p w14:paraId="5E07BC5A" w14:textId="77777777" w:rsidR="00777D16" w:rsidRPr="00490C53" w:rsidRDefault="00777D16">
            <w:pPr>
              <w:pStyle w:val="Tabletext"/>
              <w:jc w:val="center"/>
            </w:pPr>
            <w:r w:rsidRPr="00490C53">
              <w:t>157,576</w:t>
            </w:r>
          </w:p>
        </w:tc>
      </w:tr>
      <w:tr w:rsidR="00777D16" w:rsidRPr="00490C53" w14:paraId="0952B781" w14:textId="77777777">
        <w:tblPrEx>
          <w:tblCellMar>
            <w:left w:w="108" w:type="dxa"/>
            <w:right w:w="108" w:type="dxa"/>
          </w:tblCellMar>
        </w:tblPrEx>
        <w:trPr>
          <w:trHeight w:val="564"/>
        </w:trPr>
        <w:tc>
          <w:tcPr>
            <w:tcW w:w="0" w:type="pct"/>
            <w:noWrap/>
            <w:vAlign w:val="center"/>
          </w:tcPr>
          <w:p w14:paraId="2E15483F" w14:textId="77777777" w:rsidR="00777D16" w:rsidRPr="00490C53" w:rsidRDefault="00777D16">
            <w:pPr>
              <w:pStyle w:val="Tabletext"/>
            </w:pPr>
            <w:r w:rsidRPr="00490C53">
              <w:t>R-squared</w:t>
            </w:r>
          </w:p>
        </w:tc>
        <w:tc>
          <w:tcPr>
            <w:tcW w:w="0" w:type="pct"/>
            <w:vAlign w:val="center"/>
          </w:tcPr>
          <w:p w14:paraId="018176ED" w14:textId="77777777" w:rsidR="00777D16" w:rsidRPr="00490C53" w:rsidRDefault="00777D16">
            <w:pPr>
              <w:pStyle w:val="Tabletext"/>
              <w:jc w:val="center"/>
            </w:pPr>
            <w:r w:rsidRPr="00490C53">
              <w:t>0.006</w:t>
            </w:r>
          </w:p>
        </w:tc>
        <w:tc>
          <w:tcPr>
            <w:tcW w:w="0" w:type="pct"/>
            <w:vAlign w:val="center"/>
          </w:tcPr>
          <w:p w14:paraId="5EBC1400" w14:textId="77777777" w:rsidR="00777D16" w:rsidRPr="00490C53" w:rsidRDefault="00777D16">
            <w:pPr>
              <w:pStyle w:val="Tabletext"/>
              <w:jc w:val="center"/>
            </w:pPr>
            <w:r w:rsidRPr="00490C53">
              <w:t>0.006</w:t>
            </w:r>
          </w:p>
        </w:tc>
        <w:tc>
          <w:tcPr>
            <w:tcW w:w="0" w:type="pct"/>
            <w:vAlign w:val="center"/>
          </w:tcPr>
          <w:p w14:paraId="70581CCA" w14:textId="77777777" w:rsidR="00777D16" w:rsidRPr="00490C53" w:rsidRDefault="00777D16">
            <w:pPr>
              <w:pStyle w:val="Tabletext"/>
              <w:jc w:val="center"/>
            </w:pPr>
            <w:r w:rsidRPr="00490C53">
              <w:t>0.011</w:t>
            </w:r>
          </w:p>
        </w:tc>
        <w:tc>
          <w:tcPr>
            <w:tcW w:w="0" w:type="pct"/>
            <w:vAlign w:val="center"/>
          </w:tcPr>
          <w:p w14:paraId="7F55600C" w14:textId="77777777" w:rsidR="00777D16" w:rsidRPr="00490C53" w:rsidRDefault="00777D16">
            <w:pPr>
              <w:pStyle w:val="Tabletext"/>
              <w:jc w:val="center"/>
            </w:pPr>
            <w:r w:rsidRPr="00490C53">
              <w:t>0.011</w:t>
            </w:r>
          </w:p>
        </w:tc>
      </w:tr>
      <w:tr w:rsidR="00777D16" w:rsidRPr="00490C53" w14:paraId="2226BBC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64"/>
        </w:trPr>
        <w:tc>
          <w:tcPr>
            <w:tcW w:w="0" w:type="pct"/>
            <w:tcBorders>
              <w:bottom w:val="single" w:sz="4" w:space="0" w:color="0054BA" w:themeColor="accent2"/>
            </w:tcBorders>
            <w:noWrap/>
            <w:vAlign w:val="center"/>
          </w:tcPr>
          <w:p w14:paraId="45568F2D" w14:textId="77777777" w:rsidR="00777D16" w:rsidRPr="00490C53" w:rsidRDefault="00777D16">
            <w:pPr>
              <w:pStyle w:val="Tabletext"/>
            </w:pPr>
            <w:r w:rsidRPr="00490C53">
              <w:t>Fixed effects</w:t>
            </w:r>
          </w:p>
        </w:tc>
        <w:tc>
          <w:tcPr>
            <w:tcW w:w="0" w:type="pct"/>
            <w:tcBorders>
              <w:bottom w:val="single" w:sz="4" w:space="0" w:color="0054BA" w:themeColor="accent2"/>
            </w:tcBorders>
            <w:vAlign w:val="center"/>
          </w:tcPr>
          <w:p w14:paraId="24BF9DD9" w14:textId="77777777" w:rsidR="00777D16" w:rsidRPr="00490C53" w:rsidRDefault="00777D16">
            <w:pPr>
              <w:pStyle w:val="Tabletext"/>
              <w:jc w:val="center"/>
            </w:pPr>
            <w:r w:rsidRPr="00490C53">
              <w:t>Yes</w:t>
            </w:r>
          </w:p>
        </w:tc>
        <w:tc>
          <w:tcPr>
            <w:tcW w:w="0" w:type="pct"/>
            <w:tcBorders>
              <w:bottom w:val="single" w:sz="4" w:space="0" w:color="0054BA" w:themeColor="accent2"/>
            </w:tcBorders>
            <w:vAlign w:val="center"/>
          </w:tcPr>
          <w:p w14:paraId="661741E8" w14:textId="77777777" w:rsidR="00777D16" w:rsidRPr="00490C53" w:rsidRDefault="00777D16">
            <w:pPr>
              <w:pStyle w:val="Tabletext"/>
              <w:jc w:val="center"/>
            </w:pPr>
            <w:r w:rsidRPr="00490C53">
              <w:t>Yes</w:t>
            </w:r>
          </w:p>
        </w:tc>
        <w:tc>
          <w:tcPr>
            <w:tcW w:w="0" w:type="pct"/>
            <w:tcBorders>
              <w:bottom w:val="single" w:sz="4" w:space="0" w:color="0054BA" w:themeColor="accent2"/>
            </w:tcBorders>
            <w:vAlign w:val="center"/>
          </w:tcPr>
          <w:p w14:paraId="25484457" w14:textId="77777777" w:rsidR="00777D16" w:rsidRPr="00490C53" w:rsidRDefault="00777D16">
            <w:pPr>
              <w:pStyle w:val="Tabletext"/>
              <w:jc w:val="center"/>
            </w:pPr>
            <w:r w:rsidRPr="00490C53">
              <w:t>Yes</w:t>
            </w:r>
          </w:p>
        </w:tc>
        <w:tc>
          <w:tcPr>
            <w:tcW w:w="0" w:type="pct"/>
            <w:tcBorders>
              <w:bottom w:val="single" w:sz="4" w:space="0" w:color="0054BA" w:themeColor="accent2"/>
            </w:tcBorders>
            <w:vAlign w:val="center"/>
          </w:tcPr>
          <w:p w14:paraId="60727606" w14:textId="77777777" w:rsidR="00777D16" w:rsidRPr="00490C53" w:rsidRDefault="00777D16">
            <w:pPr>
              <w:pStyle w:val="Tabletext"/>
              <w:jc w:val="center"/>
            </w:pPr>
            <w:r w:rsidRPr="00490C53">
              <w:t>Yes</w:t>
            </w:r>
          </w:p>
        </w:tc>
      </w:tr>
    </w:tbl>
    <w:p w14:paraId="42FE2425" w14:textId="48174D25" w:rsidR="00777D16" w:rsidRPr="00490C53" w:rsidRDefault="00777D16" w:rsidP="00777D16">
      <w:pPr>
        <w:rPr>
          <w:rStyle w:val="Emphasis"/>
          <w:b w:val="0"/>
          <w:iCs w:val="0"/>
          <w:color w:val="555674"/>
        </w:rPr>
      </w:pPr>
      <w:r>
        <w:rPr>
          <w:rStyle w:val="Emphasis"/>
          <w:b w:val="0"/>
          <w:color w:val="555674"/>
        </w:rPr>
        <w:t xml:space="preserve">Note: </w:t>
      </w:r>
      <w:r w:rsidRPr="00490C53">
        <w:rPr>
          <w:rStyle w:val="Emphasis"/>
          <w:b w:val="0"/>
          <w:color w:val="555674"/>
        </w:rPr>
        <w:t>*** p-value&lt;0.01, ** p-value&lt;0.05, * p-value&lt;0.1. Source: London Economics’ analysis of IDBR data</w:t>
      </w:r>
      <w:r w:rsidR="00E6301D">
        <w:rPr>
          <w:rStyle w:val="Emphasis"/>
          <w:b w:val="0"/>
          <w:bCs/>
          <w:color w:val="555674"/>
        </w:rPr>
        <w:t>, BBB Portal Data and HMRC Coronavirus Job Retention Scheme</w:t>
      </w:r>
      <w:r w:rsidR="00E6301D" w:rsidRPr="00F269C4">
        <w:rPr>
          <w:rStyle w:val="Emphasis"/>
          <w:b w:val="0"/>
          <w:bCs/>
          <w:color w:val="555674"/>
        </w:rPr>
        <w:t xml:space="preserve"> (CJRS) data</w:t>
      </w:r>
      <w:r w:rsidR="00E6301D" w:rsidRPr="006E5CA3">
        <w:rPr>
          <w:rStyle w:val="Emphasis"/>
          <w:b w:val="0"/>
          <w:color w:val="555674"/>
        </w:rPr>
        <w:t>.</w:t>
      </w:r>
    </w:p>
    <w:p w14:paraId="51B54A1F" w14:textId="22F53AFB" w:rsidR="0086062F" w:rsidRDefault="00D70E15" w:rsidP="00AC55AD">
      <w:r w:rsidRPr="00490C53">
        <w:t>T</w:t>
      </w:r>
      <w:r w:rsidR="00943118" w:rsidRPr="00490C53">
        <w:t>he n</w:t>
      </w:r>
      <w:r w:rsidR="004D0E67" w:rsidRPr="00490C53">
        <w:t xml:space="preserve">umber of pre-pandemic jobs among borrowers that would have </w:t>
      </w:r>
      <w:r w:rsidR="004550ED">
        <w:t>permanently closed</w:t>
      </w:r>
      <w:r w:rsidR="004550ED" w:rsidRPr="00490C53">
        <w:t xml:space="preserve"> </w:t>
      </w:r>
      <w:r w:rsidR="004D0E67" w:rsidRPr="00490C53">
        <w:t xml:space="preserve">in </w:t>
      </w:r>
      <w:r w:rsidR="006D4172">
        <w:t>the first year of the pandemic</w:t>
      </w:r>
      <w:r w:rsidR="006D4172" w:rsidRPr="00490C53">
        <w:t xml:space="preserve"> </w:t>
      </w:r>
      <w:r w:rsidR="004D0E67" w:rsidRPr="00490C53">
        <w:t xml:space="preserve">in the absence of the Covid-19 Loan Guarantee Schemes </w:t>
      </w:r>
      <w:r w:rsidR="00943118" w:rsidRPr="00490C53">
        <w:t>was estimated</w:t>
      </w:r>
      <w:r w:rsidRPr="00490C53">
        <w:t xml:space="preserve"> as part of the business survival analysis</w:t>
      </w:r>
      <w:r w:rsidR="00943118" w:rsidRPr="00490C53">
        <w:t xml:space="preserve">. </w:t>
      </w:r>
      <w:r w:rsidR="00063F83" w:rsidRPr="00490C53">
        <w:t xml:space="preserve">However, the Covid-19 Loan Guarantee Schemes </w:t>
      </w:r>
      <w:r w:rsidR="00EE66FF" w:rsidRPr="00490C53">
        <w:t xml:space="preserve">may have also had an impact on employment among borrowers that would have survived even in </w:t>
      </w:r>
      <w:r w:rsidR="00BC79A0" w:rsidRPr="00490C53">
        <w:t>the absence of the BBLS and CBILS/CLBILS</w:t>
      </w:r>
      <w:r w:rsidR="00EE66FF" w:rsidRPr="00490C53">
        <w:t xml:space="preserve">. </w:t>
      </w:r>
      <w:proofErr w:type="gramStart"/>
      <w:r w:rsidR="004D0E67" w:rsidRPr="00490C53">
        <w:t>In order to</w:t>
      </w:r>
      <w:proofErr w:type="gramEnd"/>
      <w:r w:rsidR="004D0E67" w:rsidRPr="00490C53">
        <w:t xml:space="preserve"> calculate the </w:t>
      </w:r>
      <w:r w:rsidR="00AC55AD" w:rsidRPr="00490C53">
        <w:t xml:space="preserve">number </w:t>
      </w:r>
      <w:r w:rsidR="00AC55AD" w:rsidRPr="00490C53">
        <w:lastRenderedPageBreak/>
        <w:t xml:space="preserve">of </w:t>
      </w:r>
      <w:r w:rsidR="005D21D4" w:rsidRPr="00490C53">
        <w:t>potential additional job</w:t>
      </w:r>
      <w:r w:rsidR="00C72691" w:rsidRPr="00490C53">
        <w:t xml:space="preserve"> losses among </w:t>
      </w:r>
      <w:r w:rsidR="004D0E67" w:rsidRPr="00490C53">
        <w:t xml:space="preserve">all </w:t>
      </w:r>
      <w:r w:rsidR="00451A2B" w:rsidRPr="00490C53">
        <w:t>businesses in the absence of the Covid-19 Loan Guarantee Schemes</w:t>
      </w:r>
      <w:r w:rsidR="004D0E67" w:rsidRPr="00490C53">
        <w:t xml:space="preserve">, a separate </w:t>
      </w:r>
      <w:r w:rsidR="000D15AB" w:rsidRPr="00490C53">
        <w:t>econometric analysis of employment data</w:t>
      </w:r>
      <w:r w:rsidR="004D0E67" w:rsidRPr="00490C53">
        <w:t xml:space="preserve"> was undertaken</w:t>
      </w:r>
      <w:r w:rsidR="000D15AB" w:rsidRPr="00490C53">
        <w:t xml:space="preserve">. </w:t>
      </w:r>
    </w:p>
    <w:p w14:paraId="05540278" w14:textId="1A0851DA" w:rsidR="0086062F" w:rsidRDefault="0086062F" w:rsidP="00AC55AD">
      <w:r>
        <w:t>T</w:t>
      </w:r>
      <w:r w:rsidRPr="00490C53">
        <w:t xml:space="preserve">his analysis is separate to the analysis of business survival in the sense that it includes all borrowers, including both those that </w:t>
      </w:r>
      <w:r w:rsidR="004550ED">
        <w:t>permanently closed</w:t>
      </w:r>
      <w:r w:rsidR="004550ED" w:rsidRPr="00490C53">
        <w:t xml:space="preserve"> </w:t>
      </w:r>
      <w:r w:rsidRPr="00490C53">
        <w:t xml:space="preserve">in </w:t>
      </w:r>
      <w:r w:rsidR="00DA5997">
        <w:t>the first year of the pandemic</w:t>
      </w:r>
      <w:r w:rsidR="00DA5997" w:rsidRPr="00490C53">
        <w:t xml:space="preserve"> </w:t>
      </w:r>
      <w:r w:rsidRPr="00490C53">
        <w:t xml:space="preserve">and those that did not </w:t>
      </w:r>
      <w:r w:rsidR="004550ED">
        <w:t>permanently close</w:t>
      </w:r>
      <w:r w:rsidR="004550ED" w:rsidRPr="00490C53">
        <w:t xml:space="preserve"> </w:t>
      </w:r>
      <w:r w:rsidRPr="00490C53">
        <w:t xml:space="preserve">or would not have </w:t>
      </w:r>
      <w:r w:rsidR="004550ED">
        <w:t>permanently closed</w:t>
      </w:r>
      <w:r w:rsidR="004550ED" w:rsidRPr="00490C53">
        <w:t xml:space="preserve"> </w:t>
      </w:r>
      <w:r w:rsidRPr="00490C53">
        <w:t xml:space="preserve">in the absence of the scheme. The analysis in this section is therefore entirely separate to the estimate of the number of pre-pandemic jobs among borrowers that would have </w:t>
      </w:r>
      <w:r w:rsidR="004550ED">
        <w:t>permanently closed</w:t>
      </w:r>
      <w:r w:rsidR="004550ED" w:rsidRPr="00490C53">
        <w:t xml:space="preserve"> </w:t>
      </w:r>
      <w:r w:rsidRPr="00490C53">
        <w:t xml:space="preserve">in </w:t>
      </w:r>
      <w:r w:rsidR="00DA5997">
        <w:t>the first year of the pandemic</w:t>
      </w:r>
      <w:r w:rsidR="00DA5997" w:rsidRPr="00490C53">
        <w:t xml:space="preserve"> </w:t>
      </w:r>
      <w:r w:rsidRPr="00490C53">
        <w:t xml:space="preserve">in the absence of the Covid-19 Loan Guarantee Schemes </w:t>
      </w:r>
      <w:r w:rsidR="00DA5997">
        <w:t>(</w:t>
      </w:r>
      <w:r w:rsidRPr="00490C53">
        <w:t>estimated as part of the business survival analysis</w:t>
      </w:r>
      <w:r w:rsidR="00DA5997">
        <w:t>)</w:t>
      </w:r>
      <w:r w:rsidRPr="00490C53">
        <w:t>.</w:t>
      </w:r>
    </w:p>
    <w:p w14:paraId="637EEFBB" w14:textId="7F4E9917" w:rsidR="00C72691" w:rsidRPr="00490C53" w:rsidRDefault="0098766E" w:rsidP="00AC55AD">
      <w:r w:rsidRPr="00490C53">
        <w:t xml:space="preserve">This analysis is based on </w:t>
      </w:r>
      <w:r w:rsidR="005B5F78" w:rsidRPr="00490C53">
        <w:t>four</w:t>
      </w:r>
      <w:r w:rsidRPr="00490C53">
        <w:t xml:space="preserve"> components. </w:t>
      </w:r>
    </w:p>
    <w:p w14:paraId="78671386" w14:textId="5DA17740" w:rsidR="009632B0" w:rsidRPr="00490C53" w:rsidRDefault="00CB24BB" w:rsidP="00AC55AD">
      <w:r w:rsidRPr="00490C53">
        <w:t xml:space="preserve">First, </w:t>
      </w:r>
      <w:r w:rsidR="008E459E" w:rsidRPr="00490C53">
        <w:t xml:space="preserve">total employment among borrowers is estimated based on average </w:t>
      </w:r>
      <w:r w:rsidR="00DA5997">
        <w:t>post-pandemic</w:t>
      </w:r>
      <w:r w:rsidR="00DA5997" w:rsidRPr="00490C53">
        <w:t xml:space="preserve"> </w:t>
      </w:r>
      <w:r w:rsidR="008E459E" w:rsidRPr="00490C53">
        <w:t>employment within the sample, and the total number of borrowers</w:t>
      </w:r>
      <w:r w:rsidR="00DE09C7" w:rsidRPr="00490C53">
        <w:t>, based on BBB Management Information.</w:t>
      </w:r>
      <w:r w:rsidR="00773ECE" w:rsidRPr="00490C53">
        <w:t xml:space="preserve"> </w:t>
      </w:r>
    </w:p>
    <w:p w14:paraId="04C92824" w14:textId="3C43044B" w:rsidR="00844205" w:rsidRPr="00490C53" w:rsidRDefault="0086062F" w:rsidP="00AC55AD">
      <w:r>
        <w:t>Second</w:t>
      </w:r>
      <w:r w:rsidR="002C75ED" w:rsidRPr="00490C53">
        <w:t xml:space="preserve">, </w:t>
      </w:r>
      <w:r w:rsidR="00C4085F" w:rsidRPr="00490C53">
        <w:t xml:space="preserve">employment under </w:t>
      </w:r>
      <w:r w:rsidR="00E9027D">
        <w:t>the</w:t>
      </w:r>
      <w:r w:rsidR="00E9027D" w:rsidRPr="00490C53">
        <w:t xml:space="preserve"> </w:t>
      </w:r>
      <w:r w:rsidR="005D2285" w:rsidRPr="00490C53">
        <w:t xml:space="preserve">counterfactual </w:t>
      </w:r>
      <w:r w:rsidR="00C4085F" w:rsidRPr="00490C53">
        <w:t>scenario must be estimated</w:t>
      </w:r>
      <w:r w:rsidR="006B3DB3" w:rsidRPr="00490C53">
        <w:t xml:space="preserve"> for the borrower firms</w:t>
      </w:r>
      <w:r w:rsidR="00C4085F" w:rsidRPr="00490C53">
        <w:t xml:space="preserve">. </w:t>
      </w:r>
      <w:r w:rsidR="004B1A63" w:rsidRPr="00846F78">
        <w:t xml:space="preserve">This is done by dividing total estimated employment of borrowers in </w:t>
      </w:r>
      <w:r w:rsidR="00DA5997">
        <w:t>the first year of the pandemic</w:t>
      </w:r>
      <w:r w:rsidR="00DA5997" w:rsidRPr="00846F78">
        <w:t xml:space="preserve"> </w:t>
      </w:r>
      <w:r w:rsidR="004B1A63" w:rsidRPr="00846F78">
        <w:t xml:space="preserve">by </w:t>
      </w:r>
      <m:oMath>
        <m:sSup>
          <m:sSupPr>
            <m:ctrlPr>
              <w:rPr>
                <w:rFonts w:ascii="Cambria Math" w:hAnsi="Cambria Math"/>
              </w:rPr>
            </m:ctrlPr>
          </m:sSupPr>
          <m:e>
            <m:r>
              <w:rPr>
                <w:rFonts w:ascii="Cambria Math" w:hAnsi="Cambria Math"/>
              </w:rPr>
              <m:t>e</m:t>
            </m:r>
          </m:e>
          <m:sup>
            <m:r>
              <w:rPr>
                <w:rFonts w:ascii="Cambria Math" w:hAnsi="Cambria Math"/>
              </w:rPr>
              <m:t>λ</m:t>
            </m:r>
          </m:sup>
        </m:sSup>
      </m:oMath>
      <w:r w:rsidR="00292612" w:rsidRPr="00490C53">
        <w:rPr>
          <w:rFonts w:eastAsiaTheme="minorEastAsia"/>
        </w:rPr>
        <w:t>.</w:t>
      </w:r>
      <w:r w:rsidR="00292612" w:rsidRPr="00490C53">
        <w:rPr>
          <w:rStyle w:val="FootnoteReference"/>
          <w:rFonts w:eastAsiaTheme="minorEastAsia"/>
        </w:rPr>
        <w:footnoteReference w:id="176"/>
      </w:r>
    </w:p>
    <w:p w14:paraId="4C57DFCD" w14:textId="0E83D83F" w:rsidR="005258B3" w:rsidRPr="00490C53" w:rsidRDefault="0086062F" w:rsidP="00AC55AD">
      <w:r>
        <w:t>Third</w:t>
      </w:r>
      <w:r w:rsidR="005258B3" w:rsidRPr="00490C53">
        <w:t>,</w:t>
      </w:r>
      <w:r w:rsidR="00214EB4" w:rsidRPr="00490C53">
        <w:t xml:space="preserve"> </w:t>
      </w:r>
      <w:r w:rsidR="009824A1" w:rsidRPr="00490C53">
        <w:t xml:space="preserve">the difference-in-difference estimate is </w:t>
      </w:r>
      <w:r w:rsidR="00EF7529" w:rsidRPr="00490C53">
        <w:t xml:space="preserve">applied </w:t>
      </w:r>
      <w:r w:rsidR="009824A1" w:rsidRPr="00490C53">
        <w:t xml:space="preserve">to </w:t>
      </w:r>
      <w:r w:rsidR="00EF7529" w:rsidRPr="00490C53">
        <w:t xml:space="preserve">obtain the uplift in employment among the </w:t>
      </w:r>
      <w:r w:rsidR="00F81CD8" w:rsidRPr="00490C53">
        <w:t xml:space="preserve">population of </w:t>
      </w:r>
      <w:r w:rsidR="00845C51" w:rsidRPr="00490C53">
        <w:t xml:space="preserve">businesses </w:t>
      </w:r>
      <w:proofErr w:type="gramStart"/>
      <w:r w:rsidR="004513A6">
        <w:t>as a result of</w:t>
      </w:r>
      <w:proofErr w:type="gramEnd"/>
      <w:r w:rsidR="004513A6">
        <w:t xml:space="preserve"> the Covid-19 Loan Guarantee Schemes</w:t>
      </w:r>
      <w:r w:rsidR="00400E58" w:rsidRPr="00490C53">
        <w:t xml:space="preserve">. </w:t>
      </w:r>
    </w:p>
    <w:p w14:paraId="7BBDA244" w14:textId="1EC69776" w:rsidR="00AC55AD" w:rsidRPr="00490C53" w:rsidRDefault="00231652" w:rsidP="00AC55AD">
      <w:r w:rsidRPr="00490C53">
        <w:t xml:space="preserve">As in </w:t>
      </w:r>
      <w:r w:rsidR="00B139B4" w:rsidRPr="00490C53">
        <w:t>the case of the business survival analysis</w:t>
      </w:r>
      <w:r w:rsidRPr="00490C53">
        <w:t xml:space="preserve">, this calculation undertaken separately within individual turnover bands </w:t>
      </w:r>
      <m:oMath>
        <m:r>
          <w:rPr>
            <w:rFonts w:ascii="Cambria Math" w:hAnsi="Cambria Math"/>
          </w:rPr>
          <m:t>b</m:t>
        </m:r>
      </m:oMath>
      <w:r w:rsidRPr="00490C53">
        <w:t xml:space="preserve">, before being aggregated across all </w:t>
      </w:r>
      <m:oMath>
        <m:r>
          <w:rPr>
            <w:rFonts w:ascii="Cambria Math" w:hAnsi="Cambria Math"/>
          </w:rPr>
          <m:t>B</m:t>
        </m:r>
      </m:oMath>
      <w:r w:rsidRPr="00490C53">
        <w:t xml:space="preserve"> turnover bands. The calculation – undertaken separately for BBLS and CBILS/CLBILS – is as follows:</w:t>
      </w:r>
    </w:p>
    <w:p w14:paraId="35071087" w14:textId="7C3C610B" w:rsidR="00AC55AD" w:rsidRPr="00846F78" w:rsidRDefault="00AC55AD" w:rsidP="00AC55AD">
      <w:pPr>
        <w:rPr>
          <w:rFonts w:eastAsiaTheme="minorEastAsia"/>
        </w:rPr>
      </w:pPr>
      <m:oMathPara>
        <m:oMath>
          <m:r>
            <w:rPr>
              <w:rFonts w:ascii="Cambria Math" w:hAnsi="Cambria Math"/>
            </w:rPr>
            <w:lastRenderedPageBreak/>
            <m:t>Additional job losses avoided=</m:t>
          </m:r>
          <m:nary>
            <m:naryPr>
              <m:chr m:val="∑"/>
              <m:limLoc m:val="undOvr"/>
              <m:ctrlPr>
                <w:rPr>
                  <w:rFonts w:ascii="Cambria Math" w:hAnsi="Cambria Math"/>
                  <w:i/>
                </w:rPr>
              </m:ctrlPr>
            </m:naryPr>
            <m:sub>
              <m:r>
                <w:rPr>
                  <w:rFonts w:ascii="Cambria Math" w:hAnsi="Cambria Math"/>
                </w:rPr>
                <m:t>b=1</m:t>
              </m:r>
            </m:sub>
            <m:sup>
              <m:r>
                <w:rPr>
                  <w:rFonts w:ascii="Cambria Math" w:hAnsi="Cambria Math"/>
                </w:rPr>
                <m:t>B</m:t>
              </m:r>
            </m:sup>
            <m:e>
              <m:sSub>
                <m:sSubPr>
                  <m:ctrlPr>
                    <w:rPr>
                      <w:rFonts w:ascii="Cambria Math" w:hAnsi="Cambria Math"/>
                      <w:i/>
                    </w:rPr>
                  </m:ctrlPr>
                </m:sSubPr>
                <m:e>
                  <m:r>
                    <w:rPr>
                      <w:rFonts w:ascii="Cambria Math" w:hAnsi="Cambria Math"/>
                    </w:rPr>
                    <m:t>average post-pandemic employment</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number of businesses</m:t>
                  </m:r>
                </m:e>
                <m:sub>
                  <m:r>
                    <w:rPr>
                      <w:rFonts w:ascii="Cambria Math" w:hAnsi="Cambria Math"/>
                    </w:rPr>
                    <m:t>b</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λ</m:t>
                      </m:r>
                    </m:sup>
                  </m:sSup>
                  <m:r>
                    <w:rPr>
                      <w:rFonts w:ascii="Cambria Math" w:hAnsi="Cambria Math"/>
                    </w:rPr>
                    <m:t>-1)</m:t>
                  </m:r>
                </m:num>
                <m:den>
                  <m:sSup>
                    <m:sSupPr>
                      <m:ctrlPr>
                        <w:rPr>
                          <w:rFonts w:ascii="Cambria Math" w:hAnsi="Cambria Math"/>
                          <w:i/>
                        </w:rPr>
                      </m:ctrlPr>
                    </m:sSupPr>
                    <m:e>
                      <m:r>
                        <w:rPr>
                          <w:rFonts w:ascii="Cambria Math" w:hAnsi="Cambria Math"/>
                        </w:rPr>
                        <m:t>e</m:t>
                      </m:r>
                    </m:e>
                    <m:sup>
                      <m:r>
                        <w:rPr>
                          <w:rFonts w:ascii="Cambria Math" w:hAnsi="Cambria Math"/>
                        </w:rPr>
                        <m:t>λ</m:t>
                      </m:r>
                    </m:sup>
                  </m:sSup>
                </m:den>
              </m:f>
            </m:e>
          </m:nary>
        </m:oMath>
      </m:oMathPara>
    </w:p>
    <w:p w14:paraId="6B11CE67" w14:textId="54971204" w:rsidR="00AC55AD" w:rsidRPr="00846F78" w:rsidRDefault="0000288C" w:rsidP="000573F9">
      <w:pPr>
        <w:pStyle w:val="ListBullet"/>
        <w:rPr>
          <w:rFonts w:cstheme="minorHAnsi"/>
        </w:rPr>
      </w:pPr>
      <m:oMath>
        <m:r>
          <w:rPr>
            <w:rFonts w:ascii="Cambria Math" w:hAnsi="Cambria Math"/>
          </w:rPr>
          <m:t>average post-pandemic employment</m:t>
        </m:r>
      </m:oMath>
      <w:r w:rsidR="00330C77" w:rsidRPr="00846F78">
        <w:rPr>
          <w:rFonts w:cstheme="minorHAnsi"/>
        </w:rPr>
        <w:t xml:space="preserve"> </w:t>
      </w:r>
      <w:r w:rsidR="00AC55AD" w:rsidRPr="00846F78">
        <w:rPr>
          <w:rFonts w:cstheme="minorHAnsi"/>
        </w:rPr>
        <w:t xml:space="preserve">refers to average employment </w:t>
      </w:r>
      <w:r w:rsidR="002F4082" w:rsidRPr="00846F78">
        <w:rPr>
          <w:rFonts w:cstheme="minorHAnsi"/>
        </w:rPr>
        <w:t>of borrowers</w:t>
      </w:r>
      <w:r w:rsidR="00AC55AD" w:rsidRPr="00846F78">
        <w:rPr>
          <w:rFonts w:cstheme="minorHAnsi"/>
        </w:rPr>
        <w:t xml:space="preserve"> within each turnover band</w:t>
      </w:r>
      <w:r w:rsidR="008576F7" w:rsidRPr="00846F78">
        <w:rPr>
          <w:rFonts w:cstheme="minorHAnsi"/>
        </w:rPr>
        <w:t xml:space="preserve"> </w:t>
      </w:r>
      <m:oMath>
        <m:r>
          <w:rPr>
            <w:rFonts w:ascii="Cambria Math" w:hAnsi="Cambria Math"/>
          </w:rPr>
          <m:t>b</m:t>
        </m:r>
      </m:oMath>
      <w:r w:rsidR="00AC55AD" w:rsidRPr="00846F78">
        <w:rPr>
          <w:rFonts w:cstheme="minorHAnsi"/>
        </w:rPr>
        <w:t xml:space="preserve">, calculated using the </w:t>
      </w:r>
      <w:proofErr w:type="gramStart"/>
      <w:r w:rsidR="00AC55AD" w:rsidRPr="00846F78">
        <w:rPr>
          <w:rFonts w:cstheme="minorHAnsi"/>
        </w:rPr>
        <w:t>IDBR</w:t>
      </w:r>
      <w:r w:rsidR="008576F7" w:rsidRPr="00846F78">
        <w:rPr>
          <w:rFonts w:cstheme="minorHAnsi"/>
        </w:rPr>
        <w:t>;</w:t>
      </w:r>
      <w:proofErr w:type="gramEnd"/>
    </w:p>
    <w:p w14:paraId="25282A93" w14:textId="3D132841" w:rsidR="00AC55AD" w:rsidRPr="00846F78" w:rsidRDefault="0000288C" w:rsidP="000573F9">
      <w:pPr>
        <w:pStyle w:val="ListBullet"/>
        <w:rPr>
          <w:rFonts w:cstheme="minorHAnsi"/>
        </w:rPr>
      </w:pPr>
      <m:oMath>
        <m:r>
          <w:rPr>
            <w:rFonts w:ascii="Cambria Math" w:hAnsi="Cambria Math"/>
          </w:rPr>
          <m:t>number of businesses</m:t>
        </m:r>
      </m:oMath>
      <w:r w:rsidR="00AC55AD" w:rsidRPr="00846F78">
        <w:rPr>
          <w:rFonts w:cstheme="minorHAnsi"/>
        </w:rPr>
        <w:t xml:space="preserve"> refers to the number of businesses within each turnover band </w:t>
      </w:r>
      <m:oMath>
        <m:r>
          <w:rPr>
            <w:rFonts w:ascii="Cambria Math" w:hAnsi="Cambria Math"/>
          </w:rPr>
          <m:t>b</m:t>
        </m:r>
      </m:oMath>
      <w:r w:rsidR="00F07C59" w:rsidRPr="00846F78">
        <w:rPr>
          <w:rFonts w:eastAsiaTheme="minorEastAsia" w:cstheme="minorHAnsi"/>
        </w:rPr>
        <w:t xml:space="preserve"> </w:t>
      </w:r>
      <w:r w:rsidR="00AC55AD" w:rsidRPr="00846F78">
        <w:rPr>
          <w:rFonts w:cstheme="minorHAnsi"/>
        </w:rPr>
        <w:t xml:space="preserve">as provided in BBB Management </w:t>
      </w:r>
      <w:proofErr w:type="gramStart"/>
      <w:r w:rsidR="00AC55AD" w:rsidRPr="00846F78">
        <w:rPr>
          <w:rFonts w:cstheme="minorHAnsi"/>
        </w:rPr>
        <w:t>Information</w:t>
      </w:r>
      <w:r w:rsidR="00F81025" w:rsidRPr="00846F78">
        <w:rPr>
          <w:rFonts w:cstheme="minorHAnsi"/>
        </w:rPr>
        <w:t>;</w:t>
      </w:r>
      <w:proofErr w:type="gramEnd"/>
    </w:p>
    <w:p w14:paraId="10F60546" w14:textId="5125E4A3" w:rsidR="00AC55AD" w:rsidRPr="00846F78" w:rsidRDefault="0000288C" w:rsidP="000573F9">
      <w:pPr>
        <w:pStyle w:val="ListBullet"/>
        <w:rPr>
          <w:rFonts w:cstheme="minorHAnsi"/>
        </w:rPr>
      </w:pPr>
      <m:oMath>
        <m:r>
          <w:rPr>
            <w:rFonts w:ascii="Cambria Math" w:hAnsi="Cambria Math"/>
          </w:rPr>
          <m:t>λ</m:t>
        </m:r>
      </m:oMath>
      <w:r w:rsidR="00AC55AD" w:rsidRPr="00846F78">
        <w:rPr>
          <w:rFonts w:cstheme="minorHAnsi"/>
        </w:rPr>
        <w:t xml:space="preserve"> refers to the coefficient within the difference-in-difference regression, which is the estimate for the effect of the Covid-19 Loan Guarantee Scheme</w:t>
      </w:r>
      <w:r w:rsidR="00A65104">
        <w:rPr>
          <w:rFonts w:cstheme="minorHAnsi"/>
        </w:rPr>
        <w:t xml:space="preserve"> on </w:t>
      </w:r>
      <w:proofErr w:type="gramStart"/>
      <w:r w:rsidR="00A65104">
        <w:rPr>
          <w:rFonts w:cstheme="minorHAnsi"/>
        </w:rPr>
        <w:t>employment</w:t>
      </w:r>
      <w:r w:rsidR="00BC764A" w:rsidRPr="00846F78">
        <w:rPr>
          <w:rFonts w:cstheme="minorHAnsi"/>
        </w:rPr>
        <w:t>;</w:t>
      </w:r>
      <w:proofErr w:type="gramEnd"/>
    </w:p>
    <w:p w14:paraId="43610AB4" w14:textId="4EF9B7A9" w:rsidR="00AC55AD" w:rsidRPr="00490C53" w:rsidRDefault="00250454">
      <w:r w:rsidRPr="00490C53">
        <w:t xml:space="preserve">The total number of jobs that could potentially have been lost in the absence of the Covid-19 Loan Guarantee Schemes is estimated at </w:t>
      </w:r>
      <w:r w:rsidR="001F26F0" w:rsidRPr="00490C53">
        <w:t>407,</w:t>
      </w:r>
      <w:r w:rsidR="0052243B">
        <w:t>000</w:t>
      </w:r>
      <w:r w:rsidR="00D61026" w:rsidRPr="00490C53">
        <w:t xml:space="preserve"> </w:t>
      </w:r>
      <w:r w:rsidRPr="00490C53">
        <w:t xml:space="preserve">jobs in the case of the BBLS; and </w:t>
      </w:r>
      <w:r w:rsidR="00D53808" w:rsidRPr="00490C53">
        <w:t>29</w:t>
      </w:r>
      <w:r w:rsidR="0052243B">
        <w:t>7,000</w:t>
      </w:r>
      <w:r w:rsidRPr="00490C53">
        <w:t xml:space="preserve"> in the case of the CBILS/CLBILS.</w:t>
      </w:r>
      <w:r w:rsidR="00040B3A" w:rsidRPr="00490C53">
        <w:t xml:space="preserve"> The estimates from the </w:t>
      </w:r>
      <w:r w:rsidR="008E6820" w:rsidRPr="00490C53">
        <w:t>econometric analysis that includes business</w:t>
      </w:r>
      <w:r w:rsidR="008B0AA6" w:rsidRPr="00490C53">
        <w:t>es</w:t>
      </w:r>
      <w:r w:rsidR="008E6820" w:rsidRPr="00490C53">
        <w:t xml:space="preserve"> that </w:t>
      </w:r>
      <w:r w:rsidR="004550ED">
        <w:t>permanently closed</w:t>
      </w:r>
      <w:r w:rsidR="004550ED" w:rsidRPr="00490C53">
        <w:t xml:space="preserve"> </w:t>
      </w:r>
      <w:r w:rsidR="008E6820" w:rsidRPr="00490C53">
        <w:t xml:space="preserve">in </w:t>
      </w:r>
      <w:r w:rsidR="00DA5997">
        <w:t>the first year of the pandemic</w:t>
      </w:r>
      <w:r w:rsidR="00DA5997" w:rsidRPr="00490C53">
        <w:t xml:space="preserve"> </w:t>
      </w:r>
      <w:r w:rsidR="008E6820" w:rsidRPr="00490C53">
        <w:t xml:space="preserve">is also provided below. The coefficient on “Borrower, post-intervention” </w:t>
      </w:r>
      <w:r w:rsidR="00D57D16" w:rsidRPr="00490C53">
        <w:t xml:space="preserve">in the case of both BBLS and CBILS/CLBILS </w:t>
      </w:r>
      <w:r w:rsidR="008B0AA6" w:rsidRPr="00490C53">
        <w:t xml:space="preserve">reflects the inclusion of businesses that </w:t>
      </w:r>
      <w:r w:rsidR="004550ED">
        <w:t>permanently closed</w:t>
      </w:r>
      <w:r w:rsidR="004550ED" w:rsidRPr="00490C53">
        <w:t xml:space="preserve"> </w:t>
      </w:r>
      <w:r w:rsidR="008B0AA6" w:rsidRPr="00490C53">
        <w:t xml:space="preserve">in </w:t>
      </w:r>
      <w:r w:rsidR="00DA5997">
        <w:t>the first year of the pandemic</w:t>
      </w:r>
      <w:r w:rsidR="008B0AA6" w:rsidRPr="00490C53">
        <w:t xml:space="preserve">. </w:t>
      </w:r>
    </w:p>
    <w:p w14:paraId="6B8097B0" w14:textId="3D6C8AED" w:rsidR="00F976BD" w:rsidRPr="00490C53" w:rsidRDefault="00F976BD" w:rsidP="00F976BD">
      <w:pPr>
        <w:pStyle w:val="Heading5"/>
      </w:pPr>
      <w:bookmarkStart w:id="308" w:name="_Ref125474527"/>
      <w:r w:rsidRPr="00490C53">
        <w:t xml:space="preserve">Table </w:t>
      </w:r>
      <w:r w:rsidRPr="00490C53">
        <w:fldChar w:fldCharType="begin"/>
      </w:r>
      <w:r w:rsidRPr="00490C53">
        <w:instrText>SEQ Table \* ARABIC</w:instrText>
      </w:r>
      <w:r w:rsidRPr="00490C53">
        <w:fldChar w:fldCharType="separate"/>
      </w:r>
      <w:r w:rsidR="00397D49">
        <w:rPr>
          <w:noProof/>
        </w:rPr>
        <w:t>47</w:t>
      </w:r>
      <w:r w:rsidRPr="00490C53">
        <w:fldChar w:fldCharType="end"/>
      </w:r>
      <w:r w:rsidRPr="00490C53">
        <w:t>: Estimated impact of the Covid-19 Loan Guarantee Schemes on employment</w:t>
      </w:r>
      <w:r w:rsidR="009E4DB9" w:rsidRPr="00490C53">
        <w:t xml:space="preserve"> </w:t>
      </w:r>
      <w:r w:rsidRPr="00490C53">
        <w:t xml:space="preserve">(including firms that </w:t>
      </w:r>
      <w:r w:rsidR="004550ED">
        <w:t>permanently closed</w:t>
      </w:r>
      <w:r w:rsidR="004550ED" w:rsidRPr="00490C53">
        <w:t xml:space="preserve"> </w:t>
      </w:r>
      <w:r w:rsidRPr="00490C53">
        <w:t xml:space="preserve">in </w:t>
      </w:r>
      <w:r w:rsidR="00DA5997">
        <w:t>the first year of the pandemic</w:t>
      </w:r>
      <w:r w:rsidRPr="00490C53">
        <w:t>)</w:t>
      </w:r>
      <w:bookmarkEnd w:id="308"/>
    </w:p>
    <w:tbl>
      <w:tblPr>
        <w:tblStyle w:val="TableGrid"/>
        <w:tblW w:w="5000" w:type="pct"/>
        <w:tblLook w:val="04A0" w:firstRow="1" w:lastRow="0" w:firstColumn="1" w:lastColumn="0" w:noHBand="0" w:noVBand="1"/>
      </w:tblPr>
      <w:tblGrid>
        <w:gridCol w:w="6871"/>
        <w:gridCol w:w="1344"/>
        <w:gridCol w:w="1939"/>
      </w:tblGrid>
      <w:tr w:rsidR="00F976BD" w:rsidRPr="00490C53" w14:paraId="1D2DE6E6" w14:textId="77777777" w:rsidTr="00846F78">
        <w:trPr>
          <w:cnfStyle w:val="100000000000" w:firstRow="1" w:lastRow="0" w:firstColumn="0" w:lastColumn="0" w:oddVBand="0" w:evenVBand="0" w:oddHBand="0" w:evenHBand="0" w:firstRowFirstColumn="0" w:firstRowLastColumn="0" w:lastRowFirstColumn="0" w:lastRowLastColumn="0"/>
          <w:trHeight w:val="495"/>
          <w:tblHeader/>
        </w:trPr>
        <w:tc>
          <w:tcPr>
            <w:tcW w:w="3383" w:type="pct"/>
            <w:noWrap/>
            <w:hideMark/>
          </w:tcPr>
          <w:p w14:paraId="3F482ABB" w14:textId="77777777" w:rsidR="00F976BD" w:rsidRPr="00490C53" w:rsidRDefault="00F976BD">
            <w:pPr>
              <w:pStyle w:val="Tablecolumnheading-white"/>
            </w:pPr>
            <w:r w:rsidRPr="00490C53">
              <w:t>Variable</w:t>
            </w:r>
          </w:p>
        </w:tc>
        <w:tc>
          <w:tcPr>
            <w:tcW w:w="662" w:type="pct"/>
            <w:noWrap/>
            <w:vAlign w:val="center"/>
            <w:hideMark/>
          </w:tcPr>
          <w:p w14:paraId="4E9C2212" w14:textId="77777777" w:rsidR="00F976BD" w:rsidRPr="00490C53" w:rsidRDefault="00F976BD">
            <w:pPr>
              <w:pStyle w:val="Tablecolumnheading-white"/>
              <w:jc w:val="center"/>
              <w:rPr>
                <w:bCs/>
              </w:rPr>
            </w:pPr>
            <w:r w:rsidRPr="00490C53">
              <w:rPr>
                <w:bCs/>
              </w:rPr>
              <w:t>BBLS</w:t>
            </w:r>
          </w:p>
        </w:tc>
        <w:tc>
          <w:tcPr>
            <w:tcW w:w="955" w:type="pct"/>
            <w:vAlign w:val="center"/>
          </w:tcPr>
          <w:p w14:paraId="56D3FA15" w14:textId="77777777" w:rsidR="00F976BD" w:rsidRPr="00490C53" w:rsidRDefault="00F976BD">
            <w:pPr>
              <w:pStyle w:val="Tablecolumnheading-white"/>
              <w:jc w:val="center"/>
              <w:rPr>
                <w:bCs/>
              </w:rPr>
            </w:pPr>
            <w:r w:rsidRPr="00490C53">
              <w:rPr>
                <w:bCs/>
              </w:rPr>
              <w:t>CBILS/CLBILS</w:t>
            </w:r>
          </w:p>
        </w:tc>
      </w:tr>
      <w:tr w:rsidR="00F976BD" w:rsidRPr="00490C53" w14:paraId="4069C057"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0"/>
        </w:trPr>
        <w:tc>
          <w:tcPr>
            <w:tcW w:w="3383" w:type="pct"/>
            <w:noWrap/>
            <w:vAlign w:val="center"/>
            <w:hideMark/>
          </w:tcPr>
          <w:p w14:paraId="04FFD548" w14:textId="77777777" w:rsidR="00F976BD" w:rsidRPr="00490C53" w:rsidRDefault="00F976BD">
            <w:pPr>
              <w:pStyle w:val="Tabletext"/>
            </w:pPr>
            <w:r w:rsidRPr="00490C53">
              <w:t>Post-intervention</w:t>
            </w:r>
          </w:p>
        </w:tc>
        <w:tc>
          <w:tcPr>
            <w:tcW w:w="662" w:type="pct"/>
            <w:vAlign w:val="center"/>
          </w:tcPr>
          <w:p w14:paraId="65A5E8D2" w14:textId="77777777" w:rsidR="00F976BD" w:rsidRPr="00490C53" w:rsidRDefault="00F976BD">
            <w:pPr>
              <w:pStyle w:val="Tabletext"/>
              <w:spacing w:before="0"/>
              <w:jc w:val="center"/>
            </w:pPr>
            <w:r w:rsidRPr="00490C53">
              <w:t>-0.051***</w:t>
            </w:r>
          </w:p>
          <w:p w14:paraId="28E1ACF0" w14:textId="77777777" w:rsidR="00F976BD" w:rsidRPr="00846F78" w:rsidRDefault="00F976BD">
            <w:pPr>
              <w:pStyle w:val="Tabletext"/>
              <w:spacing w:before="0"/>
              <w:jc w:val="center"/>
            </w:pPr>
            <w:r w:rsidRPr="00490C53">
              <w:t>(0.009)</w:t>
            </w:r>
          </w:p>
        </w:tc>
        <w:tc>
          <w:tcPr>
            <w:tcW w:w="955" w:type="pct"/>
            <w:vAlign w:val="center"/>
          </w:tcPr>
          <w:p w14:paraId="78452EEC" w14:textId="0D35851A" w:rsidR="004D7CF0" w:rsidRPr="00846F78" w:rsidRDefault="004D7CF0" w:rsidP="00846F78">
            <w:pPr>
              <w:pStyle w:val="Tabletext"/>
              <w:spacing w:before="0"/>
              <w:jc w:val="center"/>
            </w:pPr>
            <w:r w:rsidRPr="00846F78">
              <w:t>-0.085</w:t>
            </w:r>
            <w:r w:rsidR="00D91D1B" w:rsidRPr="00490C53">
              <w:t>***</w:t>
            </w:r>
          </w:p>
          <w:p w14:paraId="74B43532" w14:textId="0DB5FABC" w:rsidR="00F976BD" w:rsidRPr="00490C53" w:rsidRDefault="00A06FF4" w:rsidP="00D91D1B">
            <w:pPr>
              <w:pStyle w:val="Tabletext"/>
              <w:spacing w:before="0"/>
              <w:jc w:val="center"/>
            </w:pPr>
            <w:r w:rsidRPr="00490C53">
              <w:t>(</w:t>
            </w:r>
            <w:r w:rsidR="00EF6DD3" w:rsidRPr="00846F78">
              <w:t>0.004</w:t>
            </w:r>
            <w:r w:rsidRPr="00490C53">
              <w:t>)</w:t>
            </w:r>
          </w:p>
        </w:tc>
      </w:tr>
      <w:tr w:rsidR="00F976BD" w:rsidRPr="00490C53" w14:paraId="7586F16D" w14:textId="77777777" w:rsidTr="00846F78">
        <w:tblPrEx>
          <w:tblCellMar>
            <w:left w:w="108" w:type="dxa"/>
            <w:right w:w="108" w:type="dxa"/>
          </w:tblCellMar>
        </w:tblPrEx>
        <w:trPr>
          <w:trHeight w:val="80"/>
        </w:trPr>
        <w:tc>
          <w:tcPr>
            <w:tcW w:w="3383" w:type="pct"/>
            <w:noWrap/>
            <w:vAlign w:val="center"/>
            <w:hideMark/>
          </w:tcPr>
          <w:p w14:paraId="3404A924" w14:textId="77777777" w:rsidR="00F976BD" w:rsidRPr="00490C53" w:rsidRDefault="00F976BD">
            <w:pPr>
              <w:pStyle w:val="Tabletext"/>
            </w:pPr>
            <w:r w:rsidRPr="00490C53">
              <w:t>Borrower, post-intervention</w:t>
            </w:r>
          </w:p>
        </w:tc>
        <w:tc>
          <w:tcPr>
            <w:tcW w:w="662" w:type="pct"/>
            <w:vAlign w:val="center"/>
          </w:tcPr>
          <w:p w14:paraId="31D99442" w14:textId="3F4CFDBA" w:rsidR="00F976BD" w:rsidRPr="00846F78" w:rsidRDefault="00F976BD" w:rsidP="00846F78">
            <w:pPr>
              <w:pStyle w:val="Tabletext"/>
              <w:spacing w:before="0"/>
              <w:jc w:val="center"/>
            </w:pPr>
            <w:r w:rsidRPr="00846F78">
              <w:t>0.062</w:t>
            </w:r>
            <w:r w:rsidRPr="00490C53">
              <w:t>***</w:t>
            </w:r>
          </w:p>
          <w:p w14:paraId="03934C3E" w14:textId="363A4502" w:rsidR="00F976BD" w:rsidRPr="00490C53" w:rsidRDefault="00F976BD" w:rsidP="005E3878">
            <w:pPr>
              <w:pStyle w:val="Tabletext"/>
              <w:spacing w:before="0"/>
              <w:jc w:val="center"/>
            </w:pPr>
            <w:r w:rsidRPr="00846F78">
              <w:t>(0.005)</w:t>
            </w:r>
          </w:p>
        </w:tc>
        <w:tc>
          <w:tcPr>
            <w:tcW w:w="955" w:type="pct"/>
            <w:vAlign w:val="center"/>
          </w:tcPr>
          <w:p w14:paraId="5CE6A07D" w14:textId="7E2CD9BD" w:rsidR="00EF6DD3" w:rsidRPr="00846F78" w:rsidRDefault="00EF6DD3" w:rsidP="00846F78">
            <w:pPr>
              <w:pStyle w:val="Tabletext"/>
              <w:spacing w:before="0"/>
              <w:jc w:val="center"/>
            </w:pPr>
            <w:r w:rsidRPr="00846F78">
              <w:t>0.098</w:t>
            </w:r>
            <w:r w:rsidR="00D91D1B" w:rsidRPr="00490C53">
              <w:t>***</w:t>
            </w:r>
          </w:p>
          <w:p w14:paraId="44E08CD0" w14:textId="715C56AE" w:rsidR="00F976BD" w:rsidRPr="00490C53" w:rsidRDefault="00A06FF4" w:rsidP="00D91D1B">
            <w:pPr>
              <w:pStyle w:val="Tabletext"/>
              <w:spacing w:before="0"/>
              <w:jc w:val="center"/>
            </w:pPr>
            <w:r w:rsidRPr="00490C53">
              <w:t>(</w:t>
            </w:r>
            <w:r w:rsidR="00EF6DD3" w:rsidRPr="00846F78">
              <w:t>0.014</w:t>
            </w:r>
            <w:r w:rsidRPr="00490C53">
              <w:t>)</w:t>
            </w:r>
          </w:p>
        </w:tc>
      </w:tr>
      <w:tr w:rsidR="00F976BD" w:rsidRPr="00490C53" w14:paraId="062D3777"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0"/>
        </w:trPr>
        <w:tc>
          <w:tcPr>
            <w:tcW w:w="3383" w:type="pct"/>
            <w:noWrap/>
            <w:vAlign w:val="center"/>
            <w:hideMark/>
          </w:tcPr>
          <w:p w14:paraId="54E8C667" w14:textId="77777777" w:rsidR="00F976BD" w:rsidRPr="00490C53" w:rsidRDefault="00F976BD">
            <w:pPr>
              <w:pStyle w:val="Tabletext"/>
            </w:pPr>
            <w:r w:rsidRPr="00490C53">
              <w:t>Used CJRS in 2020</w:t>
            </w:r>
          </w:p>
        </w:tc>
        <w:tc>
          <w:tcPr>
            <w:tcW w:w="662" w:type="pct"/>
            <w:vAlign w:val="center"/>
          </w:tcPr>
          <w:p w14:paraId="0110352A" w14:textId="7527299C" w:rsidR="00F976BD" w:rsidRPr="00846F78" w:rsidRDefault="00F976BD" w:rsidP="00846F78">
            <w:pPr>
              <w:pStyle w:val="Tabletext"/>
              <w:spacing w:before="0"/>
              <w:jc w:val="center"/>
            </w:pPr>
            <w:r w:rsidRPr="00846F78">
              <w:t>0.021</w:t>
            </w:r>
            <w:r w:rsidRPr="00490C53">
              <w:t>***</w:t>
            </w:r>
          </w:p>
          <w:p w14:paraId="18E614C2" w14:textId="11D1BC3C" w:rsidR="00F976BD" w:rsidRPr="00490C53" w:rsidRDefault="00F976BD" w:rsidP="005E3878">
            <w:pPr>
              <w:pStyle w:val="Tabletext"/>
              <w:spacing w:before="0"/>
              <w:jc w:val="center"/>
            </w:pPr>
            <w:r w:rsidRPr="00846F78">
              <w:t>(0.004)</w:t>
            </w:r>
          </w:p>
        </w:tc>
        <w:tc>
          <w:tcPr>
            <w:tcW w:w="955" w:type="pct"/>
            <w:vAlign w:val="center"/>
          </w:tcPr>
          <w:p w14:paraId="5A9BFB93" w14:textId="032DB8DF" w:rsidR="00EF6DD3" w:rsidRPr="00846F78" w:rsidRDefault="00EF6DD3" w:rsidP="00846F78">
            <w:pPr>
              <w:pStyle w:val="Tabletext"/>
              <w:spacing w:before="0"/>
              <w:jc w:val="center"/>
            </w:pPr>
            <w:r w:rsidRPr="00846F78">
              <w:t>0.034</w:t>
            </w:r>
            <w:r w:rsidR="00D91D1B" w:rsidRPr="00490C53">
              <w:t>***</w:t>
            </w:r>
          </w:p>
          <w:p w14:paraId="4DB725AD" w14:textId="529B3714" w:rsidR="00F976BD" w:rsidRPr="00490C53" w:rsidRDefault="00A06FF4" w:rsidP="00D91D1B">
            <w:pPr>
              <w:pStyle w:val="Tabletext"/>
              <w:spacing w:before="0"/>
              <w:jc w:val="center"/>
            </w:pPr>
            <w:r w:rsidRPr="00490C53">
              <w:t>(</w:t>
            </w:r>
            <w:r w:rsidR="00EF6DD3" w:rsidRPr="00846F78">
              <w:t>0.006</w:t>
            </w:r>
            <w:r w:rsidRPr="00490C53">
              <w:t>)</w:t>
            </w:r>
          </w:p>
        </w:tc>
      </w:tr>
      <w:tr w:rsidR="00F976BD" w:rsidRPr="00490C53" w14:paraId="40AE37F8" w14:textId="77777777" w:rsidTr="00846F78">
        <w:tblPrEx>
          <w:tblCellMar>
            <w:left w:w="108" w:type="dxa"/>
            <w:right w:w="108" w:type="dxa"/>
          </w:tblCellMar>
        </w:tblPrEx>
        <w:trPr>
          <w:trHeight w:val="757"/>
        </w:trPr>
        <w:tc>
          <w:tcPr>
            <w:tcW w:w="3383" w:type="pct"/>
            <w:noWrap/>
            <w:vAlign w:val="center"/>
            <w:hideMark/>
          </w:tcPr>
          <w:p w14:paraId="0FB58D00" w14:textId="77777777" w:rsidR="00F976BD" w:rsidRPr="00490C53" w:rsidRDefault="00F976BD">
            <w:pPr>
              <w:pStyle w:val="Tabletext"/>
            </w:pPr>
            <w:r w:rsidRPr="00490C53">
              <w:t>Constant</w:t>
            </w:r>
          </w:p>
        </w:tc>
        <w:tc>
          <w:tcPr>
            <w:tcW w:w="662" w:type="pct"/>
            <w:vAlign w:val="center"/>
          </w:tcPr>
          <w:p w14:paraId="42EEF864" w14:textId="18C5C04D" w:rsidR="00F976BD" w:rsidRPr="00846F78" w:rsidRDefault="00F976BD" w:rsidP="00846F78">
            <w:pPr>
              <w:pStyle w:val="Tabletext"/>
              <w:spacing w:before="0"/>
              <w:jc w:val="center"/>
            </w:pPr>
            <w:r w:rsidRPr="00846F78">
              <w:t>1.840</w:t>
            </w:r>
            <w:r w:rsidRPr="00490C53">
              <w:t>***</w:t>
            </w:r>
          </w:p>
          <w:p w14:paraId="16C40F48" w14:textId="02FBC8B9" w:rsidR="00F976BD" w:rsidRPr="00490C53" w:rsidRDefault="00F976BD" w:rsidP="005E3878">
            <w:pPr>
              <w:pStyle w:val="Tabletext"/>
              <w:spacing w:before="0"/>
              <w:jc w:val="center"/>
            </w:pPr>
            <w:r w:rsidRPr="00846F78">
              <w:t>(0.004)</w:t>
            </w:r>
          </w:p>
        </w:tc>
        <w:tc>
          <w:tcPr>
            <w:tcW w:w="955" w:type="pct"/>
            <w:vAlign w:val="center"/>
          </w:tcPr>
          <w:p w14:paraId="1A3CB4C1" w14:textId="01C613EC" w:rsidR="00EF6DD3" w:rsidRPr="00846F78" w:rsidRDefault="00EF6DD3" w:rsidP="00846F78">
            <w:pPr>
              <w:pStyle w:val="Tabletext"/>
              <w:spacing w:before="0"/>
              <w:jc w:val="center"/>
            </w:pPr>
            <w:r w:rsidRPr="00846F78">
              <w:t>2.879</w:t>
            </w:r>
            <w:r w:rsidR="00D91D1B" w:rsidRPr="00490C53">
              <w:t>***</w:t>
            </w:r>
          </w:p>
          <w:p w14:paraId="7A8AFA38" w14:textId="3B150895" w:rsidR="00F976BD" w:rsidRPr="00490C53" w:rsidRDefault="00A06FF4" w:rsidP="00D91D1B">
            <w:pPr>
              <w:pStyle w:val="Tabletext"/>
              <w:spacing w:before="0"/>
              <w:jc w:val="center"/>
            </w:pPr>
            <w:r w:rsidRPr="00490C53">
              <w:t>(</w:t>
            </w:r>
            <w:r w:rsidR="00EF6DD3" w:rsidRPr="00846F78">
              <w:t>0.003</w:t>
            </w:r>
            <w:r w:rsidRPr="00490C53">
              <w:t>)</w:t>
            </w:r>
          </w:p>
        </w:tc>
      </w:tr>
      <w:tr w:rsidR="00F976BD" w:rsidRPr="00490C53" w14:paraId="1740BE5C"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0"/>
        </w:trPr>
        <w:tc>
          <w:tcPr>
            <w:tcW w:w="3383" w:type="pct"/>
            <w:noWrap/>
            <w:vAlign w:val="center"/>
          </w:tcPr>
          <w:p w14:paraId="76A60839" w14:textId="77777777" w:rsidR="00F976BD" w:rsidRPr="00490C53" w:rsidRDefault="00F976BD">
            <w:pPr>
              <w:pStyle w:val="Tabletext"/>
            </w:pPr>
            <w:r w:rsidRPr="00490C53">
              <w:t>Observations</w:t>
            </w:r>
          </w:p>
        </w:tc>
        <w:tc>
          <w:tcPr>
            <w:tcW w:w="662" w:type="pct"/>
            <w:vAlign w:val="center"/>
          </w:tcPr>
          <w:p w14:paraId="54CC741E" w14:textId="4910453C" w:rsidR="00F976BD" w:rsidRPr="00490C53" w:rsidRDefault="00F976BD" w:rsidP="00846F78">
            <w:pPr>
              <w:pStyle w:val="Tabletext"/>
              <w:spacing w:before="0"/>
              <w:jc w:val="center"/>
            </w:pPr>
            <w:r w:rsidRPr="00846F78">
              <w:t>299,872</w:t>
            </w:r>
          </w:p>
        </w:tc>
        <w:tc>
          <w:tcPr>
            <w:tcW w:w="955" w:type="pct"/>
            <w:vAlign w:val="center"/>
          </w:tcPr>
          <w:p w14:paraId="428F8727" w14:textId="34EB0EC3" w:rsidR="00F976BD" w:rsidRPr="00490C53" w:rsidRDefault="00EF6DD3" w:rsidP="00846F78">
            <w:pPr>
              <w:pStyle w:val="Tabletext"/>
              <w:spacing w:before="0"/>
              <w:jc w:val="center"/>
            </w:pPr>
            <w:r w:rsidRPr="00846F78">
              <w:t>165,214</w:t>
            </w:r>
          </w:p>
        </w:tc>
      </w:tr>
      <w:tr w:rsidR="00F976BD" w:rsidRPr="00490C53" w14:paraId="70C98FF8" w14:textId="77777777" w:rsidTr="00846F78">
        <w:tblPrEx>
          <w:tblCellMar>
            <w:left w:w="108" w:type="dxa"/>
            <w:right w:w="108" w:type="dxa"/>
          </w:tblCellMar>
        </w:tblPrEx>
        <w:trPr>
          <w:trHeight w:val="80"/>
        </w:trPr>
        <w:tc>
          <w:tcPr>
            <w:tcW w:w="3383" w:type="pct"/>
            <w:noWrap/>
            <w:vAlign w:val="center"/>
          </w:tcPr>
          <w:p w14:paraId="29D38512" w14:textId="77777777" w:rsidR="00F976BD" w:rsidRPr="00490C53" w:rsidRDefault="00F976BD">
            <w:pPr>
              <w:pStyle w:val="Tabletext"/>
            </w:pPr>
            <w:r w:rsidRPr="00490C53">
              <w:t>R-squared</w:t>
            </w:r>
          </w:p>
        </w:tc>
        <w:tc>
          <w:tcPr>
            <w:tcW w:w="662" w:type="pct"/>
            <w:vAlign w:val="center"/>
          </w:tcPr>
          <w:p w14:paraId="32A4DF7A" w14:textId="77777777" w:rsidR="00F976BD" w:rsidRPr="00490C53" w:rsidRDefault="00F976BD" w:rsidP="00846F78">
            <w:pPr>
              <w:pStyle w:val="Tabletext"/>
              <w:jc w:val="center"/>
              <w:rPr>
                <w:rFonts w:ascii="Calibri" w:hAnsi="Calibri" w:cs="Calibri"/>
                <w:sz w:val="22"/>
              </w:rPr>
            </w:pPr>
            <w:r w:rsidRPr="00846F78">
              <w:t>0.009</w:t>
            </w:r>
          </w:p>
        </w:tc>
        <w:tc>
          <w:tcPr>
            <w:tcW w:w="955" w:type="pct"/>
            <w:vAlign w:val="center"/>
          </w:tcPr>
          <w:p w14:paraId="7A1E2049" w14:textId="497DA76A" w:rsidR="00F976BD" w:rsidRPr="00490C53" w:rsidRDefault="00D91D1B" w:rsidP="00846F78">
            <w:pPr>
              <w:pStyle w:val="Tabletext"/>
              <w:spacing w:before="0"/>
              <w:jc w:val="center"/>
            </w:pPr>
            <w:r w:rsidRPr="00846F78">
              <w:t>0.016</w:t>
            </w:r>
          </w:p>
        </w:tc>
      </w:tr>
      <w:tr w:rsidR="00F976BD" w:rsidRPr="00490C53" w14:paraId="490B1515"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0"/>
        </w:trPr>
        <w:tc>
          <w:tcPr>
            <w:tcW w:w="3383" w:type="pct"/>
            <w:tcBorders>
              <w:bottom w:val="single" w:sz="4" w:space="0" w:color="0054BA" w:themeColor="accent2"/>
            </w:tcBorders>
            <w:noWrap/>
            <w:vAlign w:val="center"/>
          </w:tcPr>
          <w:p w14:paraId="7FA51C3E" w14:textId="77777777" w:rsidR="00F976BD" w:rsidRPr="00490C53" w:rsidRDefault="00F976BD">
            <w:pPr>
              <w:pStyle w:val="Tabletext"/>
            </w:pPr>
            <w:r w:rsidRPr="00490C53">
              <w:lastRenderedPageBreak/>
              <w:t>Fixed effects</w:t>
            </w:r>
          </w:p>
        </w:tc>
        <w:tc>
          <w:tcPr>
            <w:tcW w:w="662" w:type="pct"/>
            <w:tcBorders>
              <w:bottom w:val="single" w:sz="4" w:space="0" w:color="0054BA" w:themeColor="accent2"/>
            </w:tcBorders>
            <w:vAlign w:val="center"/>
          </w:tcPr>
          <w:p w14:paraId="7C39802A" w14:textId="77777777" w:rsidR="00F976BD" w:rsidRPr="00490C53" w:rsidRDefault="00F976BD">
            <w:pPr>
              <w:pStyle w:val="Tabletext"/>
              <w:jc w:val="center"/>
            </w:pPr>
            <w:r w:rsidRPr="00490C53">
              <w:t>Yes</w:t>
            </w:r>
          </w:p>
        </w:tc>
        <w:tc>
          <w:tcPr>
            <w:tcW w:w="955" w:type="pct"/>
            <w:tcBorders>
              <w:bottom w:val="single" w:sz="4" w:space="0" w:color="0054BA" w:themeColor="accent2"/>
            </w:tcBorders>
            <w:vAlign w:val="center"/>
          </w:tcPr>
          <w:p w14:paraId="44F6BF06" w14:textId="0A956FB0" w:rsidR="00F976BD" w:rsidRPr="00490C53" w:rsidRDefault="00D91D1B" w:rsidP="00846F78">
            <w:pPr>
              <w:pStyle w:val="Tabletext"/>
              <w:spacing w:before="0"/>
              <w:jc w:val="center"/>
            </w:pPr>
            <w:r w:rsidRPr="00846F78">
              <w:t>Yes</w:t>
            </w:r>
          </w:p>
        </w:tc>
      </w:tr>
    </w:tbl>
    <w:p w14:paraId="4934A08B" w14:textId="00A32185" w:rsidR="00F976BD" w:rsidRPr="00490C53" w:rsidRDefault="00DA466B" w:rsidP="00F976BD">
      <w:pPr>
        <w:rPr>
          <w:rStyle w:val="Emphasis"/>
          <w:b w:val="0"/>
          <w:iCs w:val="0"/>
          <w:color w:val="555674"/>
        </w:rPr>
      </w:pPr>
      <w:r>
        <w:rPr>
          <w:rStyle w:val="Emphasis"/>
          <w:b w:val="0"/>
          <w:color w:val="555674"/>
        </w:rPr>
        <w:t xml:space="preserve">Note: </w:t>
      </w:r>
      <w:r w:rsidR="00F976BD" w:rsidRPr="00490C53">
        <w:rPr>
          <w:rStyle w:val="Emphasis"/>
          <w:b w:val="0"/>
          <w:color w:val="555674"/>
        </w:rPr>
        <w:t>*** p-value&lt;0.01, ** p-value&lt;0.05, * p-value&lt;0.1. Source: London Economics’ analysis of IDBR data</w:t>
      </w:r>
      <w:r w:rsidR="00E6301D">
        <w:rPr>
          <w:rStyle w:val="Emphasis"/>
          <w:b w:val="0"/>
          <w:bCs/>
          <w:color w:val="555674"/>
        </w:rPr>
        <w:t>, BBB Portal Data and HMRC Coronavirus Job Retention Scheme</w:t>
      </w:r>
      <w:r w:rsidR="00E6301D" w:rsidRPr="00F269C4">
        <w:rPr>
          <w:rStyle w:val="Emphasis"/>
          <w:b w:val="0"/>
          <w:bCs/>
          <w:color w:val="555674"/>
        </w:rPr>
        <w:t xml:space="preserve"> (CJRS) data</w:t>
      </w:r>
      <w:r w:rsidR="00E6301D" w:rsidRPr="006E5CA3">
        <w:rPr>
          <w:rStyle w:val="Emphasis"/>
          <w:b w:val="0"/>
          <w:color w:val="555674"/>
        </w:rPr>
        <w:t>.</w:t>
      </w:r>
    </w:p>
    <w:p w14:paraId="64F783D1" w14:textId="7D6AA1EA" w:rsidR="003B7693" w:rsidRPr="00490C53" w:rsidRDefault="003B7693" w:rsidP="003B7693">
      <w:pPr>
        <w:pStyle w:val="Heading5"/>
      </w:pPr>
      <w:bookmarkStart w:id="309" w:name="_Ref151545687"/>
      <w:bookmarkStart w:id="310" w:name="_Ref123911487"/>
      <w:r w:rsidRPr="00490C53">
        <w:t xml:space="preserve">Table </w:t>
      </w:r>
      <w:r w:rsidRPr="00846F78">
        <w:fldChar w:fldCharType="begin"/>
      </w:r>
      <w:r w:rsidRPr="00490C53">
        <w:instrText xml:space="preserve"> SEQ Table \* ARABIC </w:instrText>
      </w:r>
      <w:r w:rsidRPr="00846F78">
        <w:fldChar w:fldCharType="separate"/>
      </w:r>
      <w:r w:rsidR="00397D49">
        <w:rPr>
          <w:noProof/>
        </w:rPr>
        <w:t>48</w:t>
      </w:r>
      <w:r w:rsidRPr="00846F78">
        <w:fldChar w:fldCharType="end"/>
      </w:r>
      <w:bookmarkEnd w:id="309"/>
      <w:r w:rsidRPr="00490C53">
        <w:t xml:space="preserve">: Estimated impact of the Covid-19 Loan Guarantee Schemes on turnover – by sector – </w:t>
      </w:r>
      <w:r w:rsidR="007B6D96">
        <w:t>Secondary analysis</w:t>
      </w:r>
      <w:r w:rsidR="007B6D96" w:rsidRPr="00490C53">
        <w:t xml:space="preserve"> </w:t>
      </w:r>
      <w:r w:rsidRPr="00490C53">
        <w:t>of Year 1 impacts</w:t>
      </w:r>
      <w:bookmarkEnd w:id="310"/>
    </w:p>
    <w:tbl>
      <w:tblPr>
        <w:tblStyle w:val="TableGrid"/>
        <w:tblW w:w="5000" w:type="pct"/>
        <w:tblLook w:val="04A0" w:firstRow="1" w:lastRow="0" w:firstColumn="1" w:lastColumn="0" w:noHBand="0" w:noVBand="1"/>
      </w:tblPr>
      <w:tblGrid>
        <w:gridCol w:w="5766"/>
        <w:gridCol w:w="2195"/>
        <w:gridCol w:w="2193"/>
      </w:tblGrid>
      <w:tr w:rsidR="003B7693" w:rsidRPr="00490C53" w14:paraId="66D37737"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2839" w:type="pct"/>
            <w:noWrap/>
            <w:vAlign w:val="center"/>
            <w:hideMark/>
          </w:tcPr>
          <w:p w14:paraId="0688C7DD" w14:textId="77777777" w:rsidR="003B7693" w:rsidRPr="00490C53" w:rsidRDefault="003B7693">
            <w:pPr>
              <w:pStyle w:val="Tablecolumnheading-white"/>
            </w:pPr>
            <w:r w:rsidRPr="00490C53">
              <w:t>Variable</w:t>
            </w:r>
          </w:p>
        </w:tc>
        <w:tc>
          <w:tcPr>
            <w:tcW w:w="1081" w:type="pct"/>
            <w:noWrap/>
            <w:vAlign w:val="center"/>
            <w:hideMark/>
          </w:tcPr>
          <w:p w14:paraId="48682215" w14:textId="77777777" w:rsidR="003B7693" w:rsidRPr="00490C53" w:rsidRDefault="003B7693">
            <w:pPr>
              <w:pStyle w:val="Tablecolumnheading-white"/>
              <w:jc w:val="center"/>
              <w:rPr>
                <w:bCs/>
              </w:rPr>
            </w:pPr>
            <w:r w:rsidRPr="00490C53">
              <w:rPr>
                <w:bCs/>
              </w:rPr>
              <w:t>BBLS</w:t>
            </w:r>
          </w:p>
        </w:tc>
        <w:tc>
          <w:tcPr>
            <w:tcW w:w="1080" w:type="pct"/>
            <w:vAlign w:val="center"/>
          </w:tcPr>
          <w:p w14:paraId="5DF04D54" w14:textId="77777777" w:rsidR="003B7693" w:rsidRPr="00490C53" w:rsidRDefault="003B7693">
            <w:pPr>
              <w:pStyle w:val="Tablecolumnheading-white"/>
              <w:jc w:val="center"/>
              <w:rPr>
                <w:bCs/>
              </w:rPr>
            </w:pPr>
            <w:r w:rsidRPr="00490C53">
              <w:rPr>
                <w:bCs/>
              </w:rPr>
              <w:t>CBILS / CLBILS</w:t>
            </w:r>
          </w:p>
        </w:tc>
      </w:tr>
      <w:tr w:rsidR="003B7693" w:rsidRPr="00490C53" w14:paraId="4D6C924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tcPr>
          <w:p w14:paraId="599161CE" w14:textId="77777777" w:rsidR="003B7693" w:rsidRPr="00490C53" w:rsidRDefault="003B7693">
            <w:pPr>
              <w:pStyle w:val="Tabletext"/>
            </w:pPr>
            <w:r w:rsidRPr="00490C53">
              <w:t>Business services, post intervention</w:t>
            </w:r>
          </w:p>
        </w:tc>
        <w:tc>
          <w:tcPr>
            <w:tcW w:w="1081" w:type="pct"/>
            <w:vAlign w:val="center"/>
          </w:tcPr>
          <w:p w14:paraId="3961FA19" w14:textId="77777777" w:rsidR="003B7693" w:rsidRPr="00490C53" w:rsidRDefault="003B7693">
            <w:pPr>
              <w:pStyle w:val="Tabletext"/>
              <w:spacing w:before="0"/>
              <w:jc w:val="center"/>
            </w:pPr>
            <w:r w:rsidRPr="00490C53">
              <w:t>-0.087***</w:t>
            </w:r>
            <w:r w:rsidRPr="00490C53">
              <w:br/>
              <w:t>(0.013)</w:t>
            </w:r>
          </w:p>
        </w:tc>
        <w:tc>
          <w:tcPr>
            <w:tcW w:w="1080" w:type="pct"/>
            <w:vAlign w:val="center"/>
          </w:tcPr>
          <w:p w14:paraId="7EC457E3" w14:textId="77777777" w:rsidR="003B7693" w:rsidRPr="00490C53" w:rsidRDefault="003B7693">
            <w:pPr>
              <w:pStyle w:val="Tabletext"/>
              <w:spacing w:before="0"/>
              <w:jc w:val="center"/>
            </w:pPr>
            <w:r w:rsidRPr="00490C53">
              <w:t>-0.125***</w:t>
            </w:r>
            <w:r w:rsidRPr="00490C53">
              <w:br/>
              <w:t>(0.015)</w:t>
            </w:r>
          </w:p>
        </w:tc>
      </w:tr>
      <w:tr w:rsidR="003B7693" w:rsidRPr="00490C53" w14:paraId="3AA9DF41" w14:textId="77777777">
        <w:tblPrEx>
          <w:tblCellMar>
            <w:left w:w="108" w:type="dxa"/>
            <w:right w:w="108" w:type="dxa"/>
          </w:tblCellMar>
        </w:tblPrEx>
        <w:trPr>
          <w:trHeight w:val="870"/>
        </w:trPr>
        <w:tc>
          <w:tcPr>
            <w:tcW w:w="2839" w:type="pct"/>
            <w:noWrap/>
            <w:vAlign w:val="center"/>
          </w:tcPr>
          <w:p w14:paraId="5933ABF1" w14:textId="77777777" w:rsidR="003B7693" w:rsidRPr="00490C53" w:rsidRDefault="003B7693">
            <w:pPr>
              <w:pStyle w:val="Tabletext"/>
            </w:pPr>
            <w:r w:rsidRPr="00490C53">
              <w:t>Construction, post intervention</w:t>
            </w:r>
          </w:p>
        </w:tc>
        <w:tc>
          <w:tcPr>
            <w:tcW w:w="1081" w:type="pct"/>
            <w:vAlign w:val="center"/>
          </w:tcPr>
          <w:p w14:paraId="2E581EB5" w14:textId="77777777" w:rsidR="003B7693" w:rsidRPr="00490C53" w:rsidRDefault="003B7693">
            <w:pPr>
              <w:pStyle w:val="Tabletext"/>
              <w:spacing w:before="0"/>
              <w:jc w:val="center"/>
            </w:pPr>
            <w:r w:rsidRPr="00490C53">
              <w:t>-0.154***</w:t>
            </w:r>
            <w:r w:rsidRPr="00490C53">
              <w:br/>
              <w:t>(0.016)</w:t>
            </w:r>
          </w:p>
        </w:tc>
        <w:tc>
          <w:tcPr>
            <w:tcW w:w="1080" w:type="pct"/>
            <w:vAlign w:val="center"/>
          </w:tcPr>
          <w:p w14:paraId="059EDDA6" w14:textId="77777777" w:rsidR="003B7693" w:rsidRPr="00490C53" w:rsidRDefault="003B7693">
            <w:pPr>
              <w:pStyle w:val="Tabletext"/>
              <w:spacing w:before="0"/>
              <w:jc w:val="center"/>
            </w:pPr>
            <w:r w:rsidRPr="00490C53">
              <w:t>-0.155***</w:t>
            </w:r>
            <w:r w:rsidRPr="00490C53">
              <w:br/>
              <w:t>(0.021)</w:t>
            </w:r>
          </w:p>
        </w:tc>
      </w:tr>
      <w:tr w:rsidR="003B7693" w:rsidRPr="00490C53" w14:paraId="7491C92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tcPr>
          <w:p w14:paraId="21E69210" w14:textId="77777777" w:rsidR="003B7693" w:rsidRPr="00490C53" w:rsidRDefault="003B7693">
            <w:pPr>
              <w:pStyle w:val="Tabletext"/>
            </w:pPr>
            <w:r w:rsidRPr="00490C53">
              <w:t>Distribution, post intervention</w:t>
            </w:r>
          </w:p>
        </w:tc>
        <w:tc>
          <w:tcPr>
            <w:tcW w:w="1081" w:type="pct"/>
            <w:vAlign w:val="center"/>
          </w:tcPr>
          <w:p w14:paraId="257E344D" w14:textId="77777777" w:rsidR="003B7693" w:rsidRPr="00490C53" w:rsidRDefault="003B7693">
            <w:pPr>
              <w:pStyle w:val="Tabletext"/>
              <w:spacing w:before="0"/>
              <w:jc w:val="center"/>
            </w:pPr>
            <w:r w:rsidRPr="00490C53">
              <w:t>-0.058***</w:t>
            </w:r>
            <w:r w:rsidRPr="00490C53">
              <w:br/>
              <w:t>(0.009)</w:t>
            </w:r>
          </w:p>
        </w:tc>
        <w:tc>
          <w:tcPr>
            <w:tcW w:w="1080" w:type="pct"/>
            <w:vAlign w:val="center"/>
          </w:tcPr>
          <w:p w14:paraId="75A92232" w14:textId="77777777" w:rsidR="003B7693" w:rsidRPr="00490C53" w:rsidRDefault="003B7693">
            <w:pPr>
              <w:pStyle w:val="Tabletext"/>
              <w:spacing w:before="0"/>
              <w:jc w:val="center"/>
            </w:pPr>
            <w:r w:rsidRPr="00490C53">
              <w:t>-0.099***</w:t>
            </w:r>
            <w:r w:rsidRPr="00490C53">
              <w:br/>
              <w:t>(0.013)</w:t>
            </w:r>
          </w:p>
        </w:tc>
      </w:tr>
      <w:tr w:rsidR="003B7693" w:rsidRPr="00490C53" w14:paraId="30EF676D" w14:textId="77777777">
        <w:tblPrEx>
          <w:tblCellMar>
            <w:left w:w="108" w:type="dxa"/>
            <w:right w:w="108" w:type="dxa"/>
          </w:tblCellMar>
        </w:tblPrEx>
        <w:trPr>
          <w:trHeight w:val="870"/>
        </w:trPr>
        <w:tc>
          <w:tcPr>
            <w:tcW w:w="2839" w:type="pct"/>
            <w:noWrap/>
            <w:vAlign w:val="center"/>
          </w:tcPr>
          <w:p w14:paraId="17DEDA14" w14:textId="77777777" w:rsidR="003B7693" w:rsidRPr="00490C53" w:rsidRDefault="003B7693">
            <w:pPr>
              <w:pStyle w:val="Tabletext"/>
            </w:pPr>
            <w:r w:rsidRPr="00490C53">
              <w:t>Other Services, post intervention</w:t>
            </w:r>
          </w:p>
        </w:tc>
        <w:tc>
          <w:tcPr>
            <w:tcW w:w="1081" w:type="pct"/>
            <w:vAlign w:val="center"/>
          </w:tcPr>
          <w:p w14:paraId="5B60DCF3" w14:textId="77777777" w:rsidR="003B7693" w:rsidRPr="00490C53" w:rsidRDefault="003B7693">
            <w:pPr>
              <w:pStyle w:val="Tabletext"/>
              <w:spacing w:before="0"/>
              <w:jc w:val="center"/>
            </w:pPr>
            <w:r w:rsidRPr="00490C53">
              <w:t>-0.075***</w:t>
            </w:r>
            <w:r w:rsidRPr="00490C53">
              <w:br/>
              <w:t>(0.016)</w:t>
            </w:r>
          </w:p>
        </w:tc>
        <w:tc>
          <w:tcPr>
            <w:tcW w:w="1080" w:type="pct"/>
            <w:vAlign w:val="center"/>
          </w:tcPr>
          <w:p w14:paraId="2E092C26" w14:textId="77777777" w:rsidR="003B7693" w:rsidRPr="00490C53" w:rsidRDefault="003B7693">
            <w:pPr>
              <w:pStyle w:val="Tabletext"/>
              <w:spacing w:before="0"/>
              <w:jc w:val="center"/>
            </w:pPr>
            <w:r w:rsidRPr="00490C53">
              <w:t>-0.121***</w:t>
            </w:r>
            <w:r w:rsidRPr="00490C53">
              <w:br/>
              <w:t>(0.025)</w:t>
            </w:r>
          </w:p>
        </w:tc>
      </w:tr>
      <w:tr w:rsidR="003B7693" w:rsidRPr="00490C53" w14:paraId="106E8E9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tcPr>
          <w:p w14:paraId="6B5F8E39" w14:textId="77777777" w:rsidR="003B7693" w:rsidRPr="00490C53" w:rsidRDefault="003B7693">
            <w:pPr>
              <w:pStyle w:val="Tabletext"/>
            </w:pPr>
            <w:r w:rsidRPr="00490C53">
              <w:rPr>
                <w:lang w:eastAsia="en-GB"/>
              </w:rPr>
              <w:t>Primary / Manufacturing</w:t>
            </w:r>
            <w:r w:rsidRPr="00490C53">
              <w:t>, post intervention</w:t>
            </w:r>
          </w:p>
        </w:tc>
        <w:tc>
          <w:tcPr>
            <w:tcW w:w="1081" w:type="pct"/>
            <w:vAlign w:val="center"/>
          </w:tcPr>
          <w:p w14:paraId="4BE00170" w14:textId="77777777" w:rsidR="003B7693" w:rsidRPr="00490C53" w:rsidRDefault="003B7693">
            <w:pPr>
              <w:pStyle w:val="Tabletext"/>
              <w:spacing w:before="0"/>
              <w:jc w:val="center"/>
            </w:pPr>
            <w:r w:rsidRPr="00490C53">
              <w:t>-0.076***</w:t>
            </w:r>
            <w:r w:rsidRPr="00490C53">
              <w:br/>
              <w:t>(0.020)</w:t>
            </w:r>
          </w:p>
        </w:tc>
        <w:tc>
          <w:tcPr>
            <w:tcW w:w="1080" w:type="pct"/>
            <w:vAlign w:val="center"/>
          </w:tcPr>
          <w:p w14:paraId="6BA412B5" w14:textId="77777777" w:rsidR="003B7693" w:rsidRPr="00490C53" w:rsidRDefault="003B7693">
            <w:pPr>
              <w:pStyle w:val="Tabletext"/>
              <w:spacing w:before="0"/>
              <w:jc w:val="center"/>
            </w:pPr>
            <w:r w:rsidRPr="00490C53">
              <w:t>-0.086***</w:t>
            </w:r>
            <w:r w:rsidRPr="00490C53">
              <w:br/>
              <w:t>(0.015)</w:t>
            </w:r>
          </w:p>
        </w:tc>
      </w:tr>
      <w:tr w:rsidR="003B7693" w:rsidRPr="00490C53" w14:paraId="5579F12E" w14:textId="77777777">
        <w:tblPrEx>
          <w:tblCellMar>
            <w:left w:w="108" w:type="dxa"/>
            <w:right w:w="108" w:type="dxa"/>
          </w:tblCellMar>
        </w:tblPrEx>
        <w:trPr>
          <w:trHeight w:val="870"/>
        </w:trPr>
        <w:tc>
          <w:tcPr>
            <w:tcW w:w="2839" w:type="pct"/>
            <w:noWrap/>
            <w:vAlign w:val="center"/>
          </w:tcPr>
          <w:p w14:paraId="7C61BD07" w14:textId="77777777" w:rsidR="003B7693" w:rsidRPr="00490C53" w:rsidRDefault="003B7693">
            <w:pPr>
              <w:pStyle w:val="Tabletext"/>
            </w:pPr>
            <w:r w:rsidRPr="00490C53">
              <w:t>Business services, Borrower, post intervention</w:t>
            </w:r>
          </w:p>
        </w:tc>
        <w:tc>
          <w:tcPr>
            <w:tcW w:w="1081" w:type="pct"/>
            <w:vAlign w:val="center"/>
          </w:tcPr>
          <w:p w14:paraId="4C9DA4E3" w14:textId="77777777" w:rsidR="003B7693" w:rsidRPr="00490C53" w:rsidRDefault="003B7693">
            <w:pPr>
              <w:pStyle w:val="Tabletext"/>
              <w:spacing w:before="0"/>
              <w:jc w:val="center"/>
            </w:pPr>
            <w:r w:rsidRPr="00490C53">
              <w:t>0.101***</w:t>
            </w:r>
            <w:r w:rsidRPr="00490C53">
              <w:br/>
              <w:t>(0.015)</w:t>
            </w:r>
          </w:p>
        </w:tc>
        <w:tc>
          <w:tcPr>
            <w:tcW w:w="1080" w:type="pct"/>
            <w:vAlign w:val="center"/>
          </w:tcPr>
          <w:p w14:paraId="56CB6F4E" w14:textId="77777777" w:rsidR="003B7693" w:rsidRPr="00490C53" w:rsidRDefault="003B7693">
            <w:pPr>
              <w:pStyle w:val="Tabletext"/>
              <w:spacing w:before="0"/>
              <w:jc w:val="center"/>
            </w:pPr>
            <w:r w:rsidRPr="00490C53">
              <w:t>0.139***</w:t>
            </w:r>
            <w:r w:rsidRPr="00490C53">
              <w:br/>
              <w:t>(0.016)</w:t>
            </w:r>
          </w:p>
        </w:tc>
      </w:tr>
      <w:tr w:rsidR="003B7693" w:rsidRPr="00490C53" w14:paraId="4EAF9AF5"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tcPr>
          <w:p w14:paraId="4226567D" w14:textId="77777777" w:rsidR="003B7693" w:rsidRPr="00490C53" w:rsidRDefault="003B7693">
            <w:pPr>
              <w:pStyle w:val="Tabletext"/>
            </w:pPr>
            <w:r w:rsidRPr="00490C53">
              <w:t>Construction, Borrower, post intervention</w:t>
            </w:r>
          </w:p>
        </w:tc>
        <w:tc>
          <w:tcPr>
            <w:tcW w:w="1081" w:type="pct"/>
            <w:vAlign w:val="center"/>
          </w:tcPr>
          <w:p w14:paraId="53D0DF03" w14:textId="77777777" w:rsidR="003B7693" w:rsidRPr="00490C53" w:rsidRDefault="003B7693">
            <w:pPr>
              <w:pStyle w:val="Tabletext"/>
              <w:spacing w:before="0"/>
              <w:jc w:val="center"/>
            </w:pPr>
            <w:r w:rsidRPr="00490C53">
              <w:t>0.148***</w:t>
            </w:r>
            <w:r w:rsidRPr="00490C53">
              <w:br/>
              <w:t>(0.021)</w:t>
            </w:r>
          </w:p>
        </w:tc>
        <w:tc>
          <w:tcPr>
            <w:tcW w:w="1080" w:type="pct"/>
            <w:vAlign w:val="center"/>
          </w:tcPr>
          <w:p w14:paraId="0F085B9F" w14:textId="77777777" w:rsidR="003B7693" w:rsidRPr="00490C53" w:rsidRDefault="003B7693">
            <w:pPr>
              <w:pStyle w:val="Tabletext"/>
              <w:spacing w:before="0"/>
              <w:jc w:val="center"/>
            </w:pPr>
            <w:r w:rsidRPr="00490C53">
              <w:t>0.169***</w:t>
            </w:r>
            <w:r w:rsidRPr="00490C53">
              <w:br/>
              <w:t>(0.023)</w:t>
            </w:r>
          </w:p>
        </w:tc>
      </w:tr>
      <w:tr w:rsidR="003B7693" w:rsidRPr="00490C53" w14:paraId="42D581BF" w14:textId="77777777">
        <w:tblPrEx>
          <w:tblCellMar>
            <w:left w:w="108" w:type="dxa"/>
            <w:right w:w="108" w:type="dxa"/>
          </w:tblCellMar>
        </w:tblPrEx>
        <w:trPr>
          <w:trHeight w:val="870"/>
        </w:trPr>
        <w:tc>
          <w:tcPr>
            <w:tcW w:w="2839" w:type="pct"/>
            <w:noWrap/>
            <w:vAlign w:val="center"/>
          </w:tcPr>
          <w:p w14:paraId="41D88BAF" w14:textId="77777777" w:rsidR="003B7693" w:rsidRPr="00490C53" w:rsidRDefault="003B7693">
            <w:pPr>
              <w:pStyle w:val="Tabletext"/>
            </w:pPr>
            <w:r w:rsidRPr="00490C53">
              <w:t>Distribution, Borrower, post intervention</w:t>
            </w:r>
          </w:p>
        </w:tc>
        <w:tc>
          <w:tcPr>
            <w:tcW w:w="1081" w:type="pct"/>
            <w:vAlign w:val="center"/>
          </w:tcPr>
          <w:p w14:paraId="2B739AE2" w14:textId="77777777" w:rsidR="003B7693" w:rsidRPr="00490C53" w:rsidRDefault="003B7693">
            <w:pPr>
              <w:pStyle w:val="Tabletext"/>
              <w:spacing w:before="0"/>
              <w:jc w:val="center"/>
            </w:pPr>
            <w:r w:rsidRPr="00490C53">
              <w:t>0.057***</w:t>
            </w:r>
            <w:r w:rsidRPr="00490C53">
              <w:br/>
              <w:t>(0.011)</w:t>
            </w:r>
          </w:p>
        </w:tc>
        <w:tc>
          <w:tcPr>
            <w:tcW w:w="1080" w:type="pct"/>
            <w:vAlign w:val="center"/>
          </w:tcPr>
          <w:p w14:paraId="0D098F92" w14:textId="77777777" w:rsidR="003B7693" w:rsidRPr="00490C53" w:rsidRDefault="003B7693">
            <w:pPr>
              <w:pStyle w:val="Tabletext"/>
              <w:spacing w:before="0"/>
              <w:jc w:val="center"/>
            </w:pPr>
            <w:r w:rsidRPr="00490C53">
              <w:t>0.084***</w:t>
            </w:r>
            <w:r w:rsidRPr="00490C53">
              <w:br/>
              <w:t>(0.013)</w:t>
            </w:r>
          </w:p>
        </w:tc>
      </w:tr>
      <w:tr w:rsidR="003B7693" w:rsidRPr="00490C53" w14:paraId="2E4D462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hideMark/>
          </w:tcPr>
          <w:p w14:paraId="13DF4E96" w14:textId="77777777" w:rsidR="003B7693" w:rsidRPr="00490C53" w:rsidRDefault="003B7693">
            <w:pPr>
              <w:pStyle w:val="Tabletext"/>
            </w:pPr>
            <w:r w:rsidRPr="00490C53">
              <w:t>Other Services, Borrower, post intervention</w:t>
            </w:r>
          </w:p>
        </w:tc>
        <w:tc>
          <w:tcPr>
            <w:tcW w:w="1081" w:type="pct"/>
            <w:vAlign w:val="center"/>
          </w:tcPr>
          <w:p w14:paraId="78D68DEE" w14:textId="77777777" w:rsidR="003B7693" w:rsidRPr="00490C53" w:rsidRDefault="003B7693">
            <w:pPr>
              <w:pStyle w:val="Tabletext"/>
              <w:spacing w:before="0"/>
              <w:jc w:val="center"/>
            </w:pPr>
            <w:r w:rsidRPr="00490C53">
              <w:t>0.081***</w:t>
            </w:r>
            <w:r w:rsidRPr="00490C53">
              <w:br/>
              <w:t>(0.020)</w:t>
            </w:r>
          </w:p>
        </w:tc>
        <w:tc>
          <w:tcPr>
            <w:tcW w:w="1080" w:type="pct"/>
            <w:vAlign w:val="center"/>
          </w:tcPr>
          <w:p w14:paraId="5A0FE190" w14:textId="77777777" w:rsidR="003B7693" w:rsidRPr="00490C53" w:rsidRDefault="003B7693">
            <w:pPr>
              <w:pStyle w:val="Tabletext"/>
              <w:spacing w:before="0"/>
              <w:jc w:val="center"/>
            </w:pPr>
            <w:r w:rsidRPr="00490C53">
              <w:t>0.071**</w:t>
            </w:r>
            <w:r w:rsidRPr="00490C53">
              <w:br/>
              <w:t>(0.031)</w:t>
            </w:r>
          </w:p>
        </w:tc>
      </w:tr>
      <w:tr w:rsidR="003B7693" w:rsidRPr="00490C53" w14:paraId="6C401760" w14:textId="77777777">
        <w:tblPrEx>
          <w:tblCellMar>
            <w:left w:w="108" w:type="dxa"/>
            <w:right w:w="108" w:type="dxa"/>
          </w:tblCellMar>
        </w:tblPrEx>
        <w:trPr>
          <w:trHeight w:val="870"/>
        </w:trPr>
        <w:tc>
          <w:tcPr>
            <w:tcW w:w="2839" w:type="pct"/>
            <w:noWrap/>
            <w:vAlign w:val="center"/>
            <w:hideMark/>
          </w:tcPr>
          <w:p w14:paraId="65881A48" w14:textId="77777777" w:rsidR="003B7693" w:rsidRPr="00490C53" w:rsidRDefault="003B7693">
            <w:pPr>
              <w:pStyle w:val="Tabletext"/>
            </w:pPr>
            <w:r w:rsidRPr="00490C53">
              <w:rPr>
                <w:lang w:eastAsia="en-GB"/>
              </w:rPr>
              <w:t>Primary / Manufacturing</w:t>
            </w:r>
            <w:r w:rsidRPr="00490C53">
              <w:t>, Borrower, post intervention</w:t>
            </w:r>
          </w:p>
        </w:tc>
        <w:tc>
          <w:tcPr>
            <w:tcW w:w="1081" w:type="pct"/>
            <w:vAlign w:val="center"/>
          </w:tcPr>
          <w:p w14:paraId="31652223" w14:textId="77777777" w:rsidR="003B7693" w:rsidRPr="00490C53" w:rsidRDefault="003B7693">
            <w:pPr>
              <w:pStyle w:val="Tabletext"/>
              <w:spacing w:before="0"/>
              <w:jc w:val="center"/>
            </w:pPr>
            <w:r w:rsidRPr="00490C53">
              <w:t>0.097***</w:t>
            </w:r>
            <w:r w:rsidRPr="00490C53">
              <w:br/>
              <w:t>(0.022)</w:t>
            </w:r>
          </w:p>
        </w:tc>
        <w:tc>
          <w:tcPr>
            <w:tcW w:w="1080" w:type="pct"/>
            <w:vAlign w:val="center"/>
          </w:tcPr>
          <w:p w14:paraId="0FDB545C" w14:textId="77777777" w:rsidR="003B7693" w:rsidRPr="00490C53" w:rsidRDefault="003B7693">
            <w:pPr>
              <w:pStyle w:val="Tabletext"/>
              <w:spacing w:before="0"/>
              <w:jc w:val="center"/>
            </w:pPr>
            <w:r w:rsidRPr="00490C53">
              <w:t>0.076***</w:t>
            </w:r>
            <w:r w:rsidRPr="00490C53">
              <w:br/>
              <w:t>(0.016)</w:t>
            </w:r>
          </w:p>
        </w:tc>
      </w:tr>
      <w:tr w:rsidR="003B7693" w:rsidRPr="00490C53" w14:paraId="01BDAAE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hideMark/>
          </w:tcPr>
          <w:p w14:paraId="71CDA26D" w14:textId="77777777" w:rsidR="003B7693" w:rsidRPr="00490C53" w:rsidRDefault="003B7693">
            <w:pPr>
              <w:pStyle w:val="Tabletext"/>
            </w:pPr>
            <w:r w:rsidRPr="00490C53">
              <w:t>Used CJRS in 2020</w:t>
            </w:r>
          </w:p>
        </w:tc>
        <w:tc>
          <w:tcPr>
            <w:tcW w:w="1081" w:type="pct"/>
            <w:vAlign w:val="center"/>
          </w:tcPr>
          <w:p w14:paraId="78DD26CE" w14:textId="77777777" w:rsidR="003B7693" w:rsidRPr="00490C53" w:rsidRDefault="003B7693">
            <w:pPr>
              <w:pStyle w:val="Tabletext"/>
              <w:spacing w:before="0"/>
              <w:jc w:val="center"/>
            </w:pPr>
            <w:r w:rsidRPr="00490C53">
              <w:t>0.020***</w:t>
            </w:r>
            <w:r w:rsidRPr="00490C53">
              <w:br/>
              <w:t>(0.007)</w:t>
            </w:r>
          </w:p>
        </w:tc>
        <w:tc>
          <w:tcPr>
            <w:tcW w:w="1080" w:type="pct"/>
            <w:vAlign w:val="center"/>
          </w:tcPr>
          <w:p w14:paraId="5726ACBD" w14:textId="77777777" w:rsidR="003B7693" w:rsidRPr="00490C53" w:rsidRDefault="003B7693">
            <w:pPr>
              <w:pStyle w:val="Tabletext"/>
              <w:spacing w:before="0"/>
              <w:jc w:val="center"/>
            </w:pPr>
            <w:r w:rsidRPr="00490C53">
              <w:t>0.053***</w:t>
            </w:r>
            <w:r w:rsidRPr="00490C53">
              <w:br/>
              <w:t>(0.008)</w:t>
            </w:r>
          </w:p>
        </w:tc>
      </w:tr>
      <w:tr w:rsidR="003B7693" w:rsidRPr="00490C53" w14:paraId="0283C34F" w14:textId="77777777">
        <w:tblPrEx>
          <w:tblCellMar>
            <w:left w:w="108" w:type="dxa"/>
            <w:right w:w="108" w:type="dxa"/>
          </w:tblCellMar>
        </w:tblPrEx>
        <w:trPr>
          <w:trHeight w:val="443"/>
        </w:trPr>
        <w:tc>
          <w:tcPr>
            <w:tcW w:w="2839" w:type="pct"/>
            <w:noWrap/>
            <w:vAlign w:val="center"/>
            <w:hideMark/>
          </w:tcPr>
          <w:p w14:paraId="64520408" w14:textId="77777777" w:rsidR="003B7693" w:rsidRPr="00490C53" w:rsidRDefault="003B7693">
            <w:pPr>
              <w:pStyle w:val="Tabletext"/>
            </w:pPr>
            <w:r w:rsidRPr="00490C53">
              <w:lastRenderedPageBreak/>
              <w:t>Constant</w:t>
            </w:r>
          </w:p>
        </w:tc>
        <w:tc>
          <w:tcPr>
            <w:tcW w:w="1081" w:type="pct"/>
            <w:vAlign w:val="center"/>
          </w:tcPr>
          <w:p w14:paraId="397195E1" w14:textId="77777777" w:rsidR="003B7693" w:rsidRPr="00490C53" w:rsidRDefault="003B7693">
            <w:pPr>
              <w:pStyle w:val="Tabletext"/>
              <w:spacing w:before="0"/>
              <w:jc w:val="center"/>
            </w:pPr>
            <w:r w:rsidRPr="00490C53">
              <w:t>13.060***</w:t>
            </w:r>
            <w:r w:rsidRPr="00490C53">
              <w:br/>
              <w:t>(0.002)</w:t>
            </w:r>
          </w:p>
        </w:tc>
        <w:tc>
          <w:tcPr>
            <w:tcW w:w="1080" w:type="pct"/>
            <w:vAlign w:val="center"/>
          </w:tcPr>
          <w:p w14:paraId="558FA397" w14:textId="77777777" w:rsidR="003B7693" w:rsidRPr="00490C53" w:rsidRDefault="003B7693">
            <w:pPr>
              <w:pStyle w:val="Tabletext"/>
              <w:spacing w:before="0"/>
              <w:jc w:val="center"/>
            </w:pPr>
            <w:r w:rsidRPr="00490C53">
              <w:t>14.464***</w:t>
            </w:r>
            <w:r w:rsidRPr="00490C53">
              <w:br/>
              <w:t>(0.002)</w:t>
            </w:r>
          </w:p>
        </w:tc>
      </w:tr>
      <w:tr w:rsidR="003B7693" w:rsidRPr="00490C53" w14:paraId="02AF2B0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70"/>
        </w:trPr>
        <w:tc>
          <w:tcPr>
            <w:tcW w:w="2839" w:type="pct"/>
            <w:noWrap/>
            <w:vAlign w:val="center"/>
          </w:tcPr>
          <w:p w14:paraId="13E84CF3" w14:textId="77777777" w:rsidR="003B7693" w:rsidRPr="00490C53" w:rsidRDefault="003B7693">
            <w:pPr>
              <w:pStyle w:val="Tabletext"/>
            </w:pPr>
            <w:r w:rsidRPr="00490C53">
              <w:t>Observations</w:t>
            </w:r>
          </w:p>
        </w:tc>
        <w:tc>
          <w:tcPr>
            <w:tcW w:w="1081" w:type="pct"/>
            <w:vAlign w:val="center"/>
          </w:tcPr>
          <w:p w14:paraId="51DCAFF0" w14:textId="77777777" w:rsidR="003B7693" w:rsidRPr="00490C53" w:rsidRDefault="003B7693">
            <w:pPr>
              <w:pStyle w:val="Tabletext"/>
              <w:jc w:val="center"/>
            </w:pPr>
            <w:r w:rsidRPr="00490C53">
              <w:t>268,738</w:t>
            </w:r>
          </w:p>
        </w:tc>
        <w:tc>
          <w:tcPr>
            <w:tcW w:w="1080" w:type="pct"/>
            <w:vAlign w:val="center"/>
          </w:tcPr>
          <w:p w14:paraId="1A567ABB" w14:textId="77777777" w:rsidR="003B7693" w:rsidRPr="00490C53" w:rsidRDefault="003B7693">
            <w:pPr>
              <w:pStyle w:val="Tabletext"/>
              <w:jc w:val="center"/>
            </w:pPr>
            <w:r w:rsidRPr="00490C53">
              <w:t>157,576</w:t>
            </w:r>
          </w:p>
        </w:tc>
      </w:tr>
      <w:tr w:rsidR="003B7693" w:rsidRPr="00490C53" w14:paraId="29095C6F" w14:textId="77777777">
        <w:tblPrEx>
          <w:tblCellMar>
            <w:left w:w="108" w:type="dxa"/>
            <w:right w:w="108" w:type="dxa"/>
          </w:tblCellMar>
        </w:tblPrEx>
        <w:trPr>
          <w:trHeight w:val="564"/>
        </w:trPr>
        <w:tc>
          <w:tcPr>
            <w:tcW w:w="2839" w:type="pct"/>
            <w:noWrap/>
            <w:vAlign w:val="center"/>
          </w:tcPr>
          <w:p w14:paraId="1512963E" w14:textId="77777777" w:rsidR="003B7693" w:rsidRPr="00490C53" w:rsidRDefault="003B7693">
            <w:pPr>
              <w:pStyle w:val="Tabletext"/>
            </w:pPr>
            <w:r w:rsidRPr="00490C53">
              <w:t>R-squared</w:t>
            </w:r>
          </w:p>
        </w:tc>
        <w:tc>
          <w:tcPr>
            <w:tcW w:w="1081" w:type="pct"/>
            <w:vAlign w:val="center"/>
          </w:tcPr>
          <w:p w14:paraId="051A952E" w14:textId="77777777" w:rsidR="003B7693" w:rsidRPr="00490C53" w:rsidRDefault="003B7693">
            <w:pPr>
              <w:pStyle w:val="Tabletext"/>
              <w:jc w:val="center"/>
            </w:pPr>
            <w:r w:rsidRPr="00490C53">
              <w:t>0.009</w:t>
            </w:r>
          </w:p>
        </w:tc>
        <w:tc>
          <w:tcPr>
            <w:tcW w:w="1080" w:type="pct"/>
            <w:vAlign w:val="center"/>
          </w:tcPr>
          <w:p w14:paraId="67D9C938" w14:textId="77777777" w:rsidR="003B7693" w:rsidRPr="00490C53" w:rsidRDefault="003B7693">
            <w:pPr>
              <w:pStyle w:val="Tabletext"/>
              <w:jc w:val="center"/>
            </w:pPr>
            <w:r w:rsidRPr="00490C53">
              <w:t>0.011</w:t>
            </w:r>
          </w:p>
        </w:tc>
      </w:tr>
      <w:tr w:rsidR="003B7693" w:rsidRPr="00490C53" w14:paraId="7A07946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64"/>
        </w:trPr>
        <w:tc>
          <w:tcPr>
            <w:tcW w:w="2839" w:type="pct"/>
            <w:tcBorders>
              <w:bottom w:val="single" w:sz="4" w:space="0" w:color="0054BA" w:themeColor="accent2"/>
            </w:tcBorders>
            <w:noWrap/>
            <w:vAlign w:val="center"/>
          </w:tcPr>
          <w:p w14:paraId="672BE829" w14:textId="77777777" w:rsidR="003B7693" w:rsidRPr="00490C53" w:rsidRDefault="003B7693">
            <w:pPr>
              <w:pStyle w:val="Tabletext"/>
            </w:pPr>
            <w:r w:rsidRPr="00490C53">
              <w:t>Business fixed effects</w:t>
            </w:r>
          </w:p>
        </w:tc>
        <w:tc>
          <w:tcPr>
            <w:tcW w:w="1081" w:type="pct"/>
            <w:tcBorders>
              <w:bottom w:val="single" w:sz="4" w:space="0" w:color="0054BA" w:themeColor="accent2"/>
            </w:tcBorders>
            <w:vAlign w:val="center"/>
          </w:tcPr>
          <w:p w14:paraId="1A7664EF" w14:textId="77777777" w:rsidR="003B7693" w:rsidRPr="00490C53" w:rsidRDefault="003B7693">
            <w:pPr>
              <w:pStyle w:val="Tabletext"/>
              <w:jc w:val="center"/>
            </w:pPr>
            <w:r w:rsidRPr="00490C53">
              <w:t>Yes</w:t>
            </w:r>
          </w:p>
        </w:tc>
        <w:tc>
          <w:tcPr>
            <w:tcW w:w="1080" w:type="pct"/>
            <w:tcBorders>
              <w:bottom w:val="single" w:sz="4" w:space="0" w:color="0054BA" w:themeColor="accent2"/>
            </w:tcBorders>
            <w:vAlign w:val="center"/>
          </w:tcPr>
          <w:p w14:paraId="4B0AD7DA" w14:textId="77777777" w:rsidR="003B7693" w:rsidRPr="00490C53" w:rsidRDefault="003B7693">
            <w:pPr>
              <w:pStyle w:val="Tabletext"/>
              <w:jc w:val="center"/>
            </w:pPr>
            <w:r w:rsidRPr="00490C53">
              <w:t>Yes</w:t>
            </w:r>
          </w:p>
        </w:tc>
      </w:tr>
    </w:tbl>
    <w:p w14:paraId="0FD5BEFD" w14:textId="1A9935BF" w:rsidR="003B7693" w:rsidRPr="00490C53" w:rsidRDefault="00DA466B" w:rsidP="003B7693">
      <w:r>
        <w:rPr>
          <w:rStyle w:val="Emphasis"/>
          <w:b w:val="0"/>
          <w:color w:val="555674"/>
        </w:rPr>
        <w:t xml:space="preserve">Note: </w:t>
      </w:r>
      <w:r w:rsidR="003B7693" w:rsidRPr="00490C53">
        <w:rPr>
          <w:rStyle w:val="Emphasis"/>
          <w:b w:val="0"/>
          <w:color w:val="555674"/>
        </w:rPr>
        <w:t>*** p-value&lt;0.01, ** p-value&lt;0.05, * p-value&lt;0.1. Source: London Economics’ analysis of IDBR data</w:t>
      </w:r>
      <w:r w:rsidR="00E6301D">
        <w:rPr>
          <w:rStyle w:val="Emphasis"/>
          <w:b w:val="0"/>
          <w:bCs/>
          <w:color w:val="555674"/>
        </w:rPr>
        <w:t>, BBB Portal Data and HMRC Coronavirus Job Retention Scheme</w:t>
      </w:r>
      <w:r w:rsidR="00E6301D" w:rsidRPr="00F269C4">
        <w:rPr>
          <w:rStyle w:val="Emphasis"/>
          <w:b w:val="0"/>
          <w:bCs/>
          <w:color w:val="555674"/>
        </w:rPr>
        <w:t xml:space="preserve"> (CJRS) data</w:t>
      </w:r>
      <w:r w:rsidR="00E6301D" w:rsidRPr="006E5CA3">
        <w:rPr>
          <w:rStyle w:val="Emphasis"/>
          <w:b w:val="0"/>
          <w:color w:val="555674"/>
        </w:rPr>
        <w:t>.</w:t>
      </w:r>
    </w:p>
    <w:p w14:paraId="160CBBF7" w14:textId="4770698E" w:rsidR="003B7693" w:rsidRPr="00490C53" w:rsidRDefault="003B7693" w:rsidP="003B7693">
      <w:pPr>
        <w:pStyle w:val="Heading5"/>
      </w:pPr>
      <w:bookmarkStart w:id="311" w:name="_Ref146215318"/>
      <w:bookmarkStart w:id="312" w:name="_Ref123911513"/>
      <w:r w:rsidRPr="00490C53">
        <w:t xml:space="preserve">Table </w:t>
      </w:r>
      <w:r w:rsidRPr="00846F78">
        <w:fldChar w:fldCharType="begin"/>
      </w:r>
      <w:r w:rsidRPr="00490C53">
        <w:instrText xml:space="preserve"> SEQ Table \* ARABIC </w:instrText>
      </w:r>
      <w:r w:rsidRPr="00846F78">
        <w:fldChar w:fldCharType="separate"/>
      </w:r>
      <w:r w:rsidR="00397D49">
        <w:rPr>
          <w:noProof/>
        </w:rPr>
        <w:t>49</w:t>
      </w:r>
      <w:r w:rsidRPr="00846F78">
        <w:fldChar w:fldCharType="end"/>
      </w:r>
      <w:bookmarkEnd w:id="311"/>
      <w:r w:rsidRPr="00490C53">
        <w:t xml:space="preserve">: Estimated impact of the Covid-19 Loan Guarantee Schemes on employment – by sector – </w:t>
      </w:r>
      <w:r w:rsidR="007B6D96">
        <w:t>Secondary analysis</w:t>
      </w:r>
      <w:r w:rsidR="007B6D96" w:rsidRPr="00490C53">
        <w:t xml:space="preserve"> </w:t>
      </w:r>
      <w:r w:rsidRPr="00490C53">
        <w:t>of Year 1 impacts</w:t>
      </w:r>
      <w:bookmarkEnd w:id="312"/>
    </w:p>
    <w:tbl>
      <w:tblPr>
        <w:tblStyle w:val="TableGrid"/>
        <w:tblW w:w="5000" w:type="pct"/>
        <w:tblLook w:val="04A0" w:firstRow="1" w:lastRow="0" w:firstColumn="1" w:lastColumn="0" w:noHBand="0" w:noVBand="1"/>
      </w:tblPr>
      <w:tblGrid>
        <w:gridCol w:w="5765"/>
        <w:gridCol w:w="1950"/>
        <w:gridCol w:w="2439"/>
      </w:tblGrid>
      <w:tr w:rsidR="003B7693" w:rsidRPr="00490C53" w14:paraId="1A56840F"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2839" w:type="pct"/>
            <w:noWrap/>
            <w:hideMark/>
          </w:tcPr>
          <w:p w14:paraId="0193B439" w14:textId="77777777" w:rsidR="003B7693" w:rsidRPr="00490C53" w:rsidRDefault="003B7693">
            <w:pPr>
              <w:pStyle w:val="Tablecolumnheading-white"/>
            </w:pPr>
            <w:r w:rsidRPr="00490C53">
              <w:t>Variable</w:t>
            </w:r>
          </w:p>
        </w:tc>
        <w:tc>
          <w:tcPr>
            <w:tcW w:w="960" w:type="pct"/>
            <w:noWrap/>
            <w:vAlign w:val="center"/>
            <w:hideMark/>
          </w:tcPr>
          <w:p w14:paraId="1A7598BF" w14:textId="77777777" w:rsidR="003B7693" w:rsidRPr="00490C53" w:rsidRDefault="003B7693">
            <w:pPr>
              <w:pStyle w:val="Tablecolumnheading-white"/>
              <w:jc w:val="center"/>
              <w:rPr>
                <w:bCs/>
              </w:rPr>
            </w:pPr>
            <w:r w:rsidRPr="00490C53">
              <w:rPr>
                <w:bCs/>
              </w:rPr>
              <w:t>BBLS</w:t>
            </w:r>
          </w:p>
        </w:tc>
        <w:tc>
          <w:tcPr>
            <w:tcW w:w="1201" w:type="pct"/>
            <w:vAlign w:val="center"/>
          </w:tcPr>
          <w:p w14:paraId="2C71870B" w14:textId="77777777" w:rsidR="003B7693" w:rsidRPr="00490C53" w:rsidRDefault="003B7693">
            <w:pPr>
              <w:pStyle w:val="Tablecolumnheading-white"/>
              <w:jc w:val="center"/>
              <w:rPr>
                <w:bCs/>
              </w:rPr>
            </w:pPr>
            <w:r w:rsidRPr="00490C53">
              <w:rPr>
                <w:bCs/>
              </w:rPr>
              <w:t>CBILS/CLBILS</w:t>
            </w:r>
          </w:p>
        </w:tc>
      </w:tr>
      <w:tr w:rsidR="003B7693" w:rsidRPr="00490C53" w14:paraId="70BB9E8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tcPr>
          <w:p w14:paraId="0414E11F" w14:textId="77777777" w:rsidR="003B7693" w:rsidRPr="00490C53" w:rsidRDefault="003B7693">
            <w:pPr>
              <w:pStyle w:val="Tabletext"/>
            </w:pPr>
            <w:r w:rsidRPr="00490C53">
              <w:t>Business services, post intervention</w:t>
            </w:r>
          </w:p>
        </w:tc>
        <w:tc>
          <w:tcPr>
            <w:tcW w:w="960" w:type="pct"/>
            <w:vAlign w:val="center"/>
          </w:tcPr>
          <w:p w14:paraId="300D1DCB" w14:textId="77777777" w:rsidR="003B7693" w:rsidRPr="00490C53" w:rsidRDefault="003B7693">
            <w:pPr>
              <w:pStyle w:val="Tabletext"/>
              <w:spacing w:before="0"/>
              <w:jc w:val="center"/>
            </w:pPr>
            <w:r w:rsidRPr="00490C53">
              <w:t>-0.039***</w:t>
            </w:r>
            <w:r w:rsidRPr="00490C53">
              <w:br/>
              <w:t>(0.007)</w:t>
            </w:r>
          </w:p>
        </w:tc>
        <w:tc>
          <w:tcPr>
            <w:tcW w:w="1201" w:type="pct"/>
            <w:vAlign w:val="center"/>
          </w:tcPr>
          <w:p w14:paraId="023CC76F" w14:textId="77777777" w:rsidR="003B7693" w:rsidRPr="00490C53" w:rsidRDefault="003B7693">
            <w:pPr>
              <w:pStyle w:val="Tabletext"/>
              <w:spacing w:before="0"/>
              <w:jc w:val="center"/>
            </w:pPr>
            <w:r w:rsidRPr="00490C53">
              <w:t>-0.058***</w:t>
            </w:r>
            <w:r w:rsidRPr="00490C53">
              <w:br/>
              <w:t>(0.008)</w:t>
            </w:r>
          </w:p>
        </w:tc>
      </w:tr>
      <w:tr w:rsidR="003B7693" w:rsidRPr="00490C53" w14:paraId="79060393" w14:textId="77777777">
        <w:tblPrEx>
          <w:tblCellMar>
            <w:left w:w="108" w:type="dxa"/>
            <w:right w:w="108" w:type="dxa"/>
          </w:tblCellMar>
        </w:tblPrEx>
        <w:trPr>
          <w:trHeight w:val="870"/>
        </w:trPr>
        <w:tc>
          <w:tcPr>
            <w:tcW w:w="2839" w:type="pct"/>
            <w:noWrap/>
            <w:vAlign w:val="center"/>
          </w:tcPr>
          <w:p w14:paraId="68BCFE17" w14:textId="77777777" w:rsidR="003B7693" w:rsidRPr="00490C53" w:rsidRDefault="003B7693">
            <w:pPr>
              <w:pStyle w:val="Tabletext"/>
            </w:pPr>
            <w:r w:rsidRPr="00490C53">
              <w:t>Construction, post intervention</w:t>
            </w:r>
          </w:p>
        </w:tc>
        <w:tc>
          <w:tcPr>
            <w:tcW w:w="960" w:type="pct"/>
            <w:vAlign w:val="center"/>
          </w:tcPr>
          <w:p w14:paraId="356CA048" w14:textId="77777777" w:rsidR="003B7693" w:rsidRPr="00490C53" w:rsidRDefault="003B7693">
            <w:pPr>
              <w:pStyle w:val="Tabletext"/>
              <w:spacing w:before="0"/>
              <w:jc w:val="center"/>
            </w:pPr>
            <w:r w:rsidRPr="00490C53">
              <w:t>-0.031***</w:t>
            </w:r>
            <w:r w:rsidRPr="00490C53">
              <w:br/>
              <w:t>(0.008)</w:t>
            </w:r>
          </w:p>
        </w:tc>
        <w:tc>
          <w:tcPr>
            <w:tcW w:w="1201" w:type="pct"/>
            <w:vAlign w:val="center"/>
          </w:tcPr>
          <w:p w14:paraId="234DC186" w14:textId="77777777" w:rsidR="003B7693" w:rsidRPr="00490C53" w:rsidRDefault="003B7693">
            <w:pPr>
              <w:pStyle w:val="Tabletext"/>
              <w:spacing w:before="0"/>
              <w:jc w:val="center"/>
            </w:pPr>
            <w:r w:rsidRPr="00490C53">
              <w:t>-0.064***</w:t>
            </w:r>
            <w:r w:rsidRPr="00490C53">
              <w:br/>
              <w:t>(0.012)</w:t>
            </w:r>
          </w:p>
        </w:tc>
      </w:tr>
      <w:tr w:rsidR="003B7693" w:rsidRPr="00490C53" w14:paraId="496FEC0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tcPr>
          <w:p w14:paraId="76C40CB2" w14:textId="77777777" w:rsidR="003B7693" w:rsidRPr="00490C53" w:rsidRDefault="003B7693">
            <w:pPr>
              <w:pStyle w:val="Tabletext"/>
            </w:pPr>
            <w:r w:rsidRPr="00490C53">
              <w:t>Distribution, post intervention</w:t>
            </w:r>
          </w:p>
        </w:tc>
        <w:tc>
          <w:tcPr>
            <w:tcW w:w="960" w:type="pct"/>
            <w:vAlign w:val="center"/>
          </w:tcPr>
          <w:p w14:paraId="5A27F0E3" w14:textId="77777777" w:rsidR="003B7693" w:rsidRPr="00490C53" w:rsidRDefault="003B7693">
            <w:pPr>
              <w:pStyle w:val="Tabletext"/>
              <w:spacing w:before="0"/>
              <w:jc w:val="center"/>
            </w:pPr>
            <w:r w:rsidRPr="00490C53">
              <w:t>-0.052***</w:t>
            </w:r>
            <w:r w:rsidRPr="00490C53">
              <w:br/>
              <w:t>(0.006)</w:t>
            </w:r>
          </w:p>
        </w:tc>
        <w:tc>
          <w:tcPr>
            <w:tcW w:w="1201" w:type="pct"/>
            <w:vAlign w:val="center"/>
          </w:tcPr>
          <w:p w14:paraId="495127C7" w14:textId="77777777" w:rsidR="003B7693" w:rsidRPr="00490C53" w:rsidRDefault="003B7693">
            <w:pPr>
              <w:pStyle w:val="Tabletext"/>
              <w:spacing w:before="0"/>
              <w:jc w:val="center"/>
            </w:pPr>
            <w:r w:rsidRPr="00490C53">
              <w:t>-0.073***</w:t>
            </w:r>
            <w:r w:rsidRPr="00490C53">
              <w:br/>
              <w:t>(0.008)</w:t>
            </w:r>
          </w:p>
        </w:tc>
      </w:tr>
      <w:tr w:rsidR="003B7693" w:rsidRPr="00490C53" w14:paraId="72BC577A" w14:textId="77777777">
        <w:tblPrEx>
          <w:tblCellMar>
            <w:left w:w="108" w:type="dxa"/>
            <w:right w:w="108" w:type="dxa"/>
          </w:tblCellMar>
        </w:tblPrEx>
        <w:trPr>
          <w:trHeight w:val="870"/>
        </w:trPr>
        <w:tc>
          <w:tcPr>
            <w:tcW w:w="2839" w:type="pct"/>
            <w:noWrap/>
            <w:vAlign w:val="center"/>
          </w:tcPr>
          <w:p w14:paraId="65BF00F1" w14:textId="77777777" w:rsidR="003B7693" w:rsidRPr="00490C53" w:rsidRDefault="003B7693">
            <w:pPr>
              <w:pStyle w:val="Tabletext"/>
            </w:pPr>
            <w:r w:rsidRPr="00490C53">
              <w:t>Other Services, post intervention</w:t>
            </w:r>
          </w:p>
        </w:tc>
        <w:tc>
          <w:tcPr>
            <w:tcW w:w="960" w:type="pct"/>
            <w:vAlign w:val="center"/>
          </w:tcPr>
          <w:p w14:paraId="6B93F810" w14:textId="77777777" w:rsidR="003B7693" w:rsidRPr="00490C53" w:rsidRDefault="003B7693">
            <w:pPr>
              <w:pStyle w:val="Tabletext"/>
              <w:spacing w:before="0"/>
              <w:jc w:val="center"/>
            </w:pPr>
            <w:r w:rsidRPr="00490C53">
              <w:t>-0.037***</w:t>
            </w:r>
            <w:r w:rsidRPr="00490C53">
              <w:br/>
              <w:t>(0.011)</w:t>
            </w:r>
          </w:p>
        </w:tc>
        <w:tc>
          <w:tcPr>
            <w:tcW w:w="1201" w:type="pct"/>
            <w:vAlign w:val="center"/>
          </w:tcPr>
          <w:p w14:paraId="26A067D7" w14:textId="77777777" w:rsidR="003B7693" w:rsidRPr="00490C53" w:rsidRDefault="003B7693">
            <w:pPr>
              <w:pStyle w:val="Tabletext"/>
              <w:spacing w:before="0"/>
              <w:jc w:val="center"/>
            </w:pPr>
            <w:r w:rsidRPr="00490C53">
              <w:t>-0.057***</w:t>
            </w:r>
            <w:r w:rsidRPr="00490C53">
              <w:br/>
              <w:t>(0.013)</w:t>
            </w:r>
          </w:p>
        </w:tc>
      </w:tr>
      <w:tr w:rsidR="003B7693" w:rsidRPr="00490C53" w14:paraId="5423DD8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tcPr>
          <w:p w14:paraId="3E74E240" w14:textId="77777777" w:rsidR="003B7693" w:rsidRPr="00490C53" w:rsidRDefault="003B7693">
            <w:pPr>
              <w:pStyle w:val="Tabletext"/>
            </w:pPr>
            <w:r w:rsidRPr="00490C53">
              <w:rPr>
                <w:lang w:eastAsia="en-GB"/>
              </w:rPr>
              <w:t>Primary / Manufacturing</w:t>
            </w:r>
            <w:r w:rsidRPr="00490C53">
              <w:t>, post intervention</w:t>
            </w:r>
          </w:p>
        </w:tc>
        <w:tc>
          <w:tcPr>
            <w:tcW w:w="960" w:type="pct"/>
            <w:vAlign w:val="center"/>
          </w:tcPr>
          <w:p w14:paraId="25187FB4" w14:textId="77777777" w:rsidR="003B7693" w:rsidRPr="00490C53" w:rsidRDefault="003B7693">
            <w:pPr>
              <w:pStyle w:val="Tabletext"/>
              <w:spacing w:before="0"/>
              <w:jc w:val="center"/>
            </w:pPr>
            <w:r w:rsidRPr="00490C53">
              <w:t>-0.019**</w:t>
            </w:r>
            <w:r w:rsidRPr="00490C53">
              <w:br/>
              <w:t>(0.009)</w:t>
            </w:r>
          </w:p>
        </w:tc>
        <w:tc>
          <w:tcPr>
            <w:tcW w:w="1201" w:type="pct"/>
            <w:vAlign w:val="center"/>
          </w:tcPr>
          <w:p w14:paraId="37E7D6B0" w14:textId="77777777" w:rsidR="003B7693" w:rsidRPr="00490C53" w:rsidRDefault="003B7693">
            <w:pPr>
              <w:pStyle w:val="Tabletext"/>
              <w:spacing w:before="0"/>
              <w:jc w:val="center"/>
            </w:pPr>
            <w:r w:rsidRPr="00490C53">
              <w:t>-0.046***</w:t>
            </w:r>
            <w:r w:rsidRPr="00490C53">
              <w:br/>
              <w:t>(0.010)</w:t>
            </w:r>
          </w:p>
        </w:tc>
      </w:tr>
      <w:tr w:rsidR="003B7693" w:rsidRPr="00490C53" w14:paraId="3EDF15F6" w14:textId="77777777">
        <w:tblPrEx>
          <w:tblCellMar>
            <w:left w:w="108" w:type="dxa"/>
            <w:right w:w="108" w:type="dxa"/>
          </w:tblCellMar>
        </w:tblPrEx>
        <w:trPr>
          <w:trHeight w:val="870"/>
        </w:trPr>
        <w:tc>
          <w:tcPr>
            <w:tcW w:w="2839" w:type="pct"/>
            <w:noWrap/>
            <w:vAlign w:val="center"/>
          </w:tcPr>
          <w:p w14:paraId="7EF74C3A" w14:textId="77777777" w:rsidR="003B7693" w:rsidRPr="00490C53" w:rsidRDefault="003B7693">
            <w:pPr>
              <w:pStyle w:val="Tabletext"/>
            </w:pPr>
            <w:r w:rsidRPr="00490C53">
              <w:t>Business services, Borrower, post intervention</w:t>
            </w:r>
          </w:p>
        </w:tc>
        <w:tc>
          <w:tcPr>
            <w:tcW w:w="960" w:type="pct"/>
            <w:vAlign w:val="center"/>
          </w:tcPr>
          <w:p w14:paraId="70343D63" w14:textId="77777777" w:rsidR="003B7693" w:rsidRPr="00490C53" w:rsidRDefault="003B7693">
            <w:pPr>
              <w:pStyle w:val="Tabletext"/>
              <w:spacing w:before="0"/>
              <w:jc w:val="center"/>
            </w:pPr>
            <w:r w:rsidRPr="00490C53">
              <w:t>0.062***</w:t>
            </w:r>
            <w:r w:rsidRPr="00490C53">
              <w:br/>
              <w:t>(0.009)</w:t>
            </w:r>
          </w:p>
        </w:tc>
        <w:tc>
          <w:tcPr>
            <w:tcW w:w="1201" w:type="pct"/>
            <w:vAlign w:val="center"/>
          </w:tcPr>
          <w:p w14:paraId="1F23E399" w14:textId="77777777" w:rsidR="003B7693" w:rsidRPr="00490C53" w:rsidRDefault="003B7693">
            <w:pPr>
              <w:pStyle w:val="Tabletext"/>
              <w:spacing w:before="0"/>
              <w:jc w:val="center"/>
            </w:pPr>
            <w:r w:rsidRPr="00490C53">
              <w:t>0.098***</w:t>
            </w:r>
            <w:r w:rsidRPr="00490C53">
              <w:br/>
              <w:t>(0.010)</w:t>
            </w:r>
          </w:p>
        </w:tc>
      </w:tr>
      <w:tr w:rsidR="003B7693" w:rsidRPr="00490C53" w14:paraId="6EED6D9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tcPr>
          <w:p w14:paraId="0F5A4CBF" w14:textId="77777777" w:rsidR="003B7693" w:rsidRPr="00490C53" w:rsidRDefault="003B7693">
            <w:pPr>
              <w:pStyle w:val="Tabletext"/>
            </w:pPr>
            <w:r w:rsidRPr="00490C53">
              <w:t>Construction, Borrower, post intervention</w:t>
            </w:r>
          </w:p>
        </w:tc>
        <w:tc>
          <w:tcPr>
            <w:tcW w:w="960" w:type="pct"/>
            <w:vAlign w:val="center"/>
          </w:tcPr>
          <w:p w14:paraId="163EEEB7" w14:textId="77777777" w:rsidR="003B7693" w:rsidRPr="00490C53" w:rsidRDefault="003B7693">
            <w:pPr>
              <w:pStyle w:val="Tabletext"/>
              <w:spacing w:before="0"/>
              <w:jc w:val="center"/>
            </w:pPr>
            <w:r w:rsidRPr="00490C53">
              <w:t>0.067***</w:t>
            </w:r>
            <w:r w:rsidRPr="00490C53">
              <w:br/>
              <w:t>(0.010)</w:t>
            </w:r>
          </w:p>
        </w:tc>
        <w:tc>
          <w:tcPr>
            <w:tcW w:w="1201" w:type="pct"/>
            <w:vAlign w:val="center"/>
          </w:tcPr>
          <w:p w14:paraId="0758A638" w14:textId="77777777" w:rsidR="003B7693" w:rsidRPr="00490C53" w:rsidRDefault="003B7693">
            <w:pPr>
              <w:pStyle w:val="Tabletext"/>
              <w:spacing w:before="0"/>
              <w:jc w:val="center"/>
            </w:pPr>
            <w:r w:rsidRPr="00490C53">
              <w:t>0.120***</w:t>
            </w:r>
            <w:r w:rsidRPr="00490C53">
              <w:br/>
              <w:t>(0.014)</w:t>
            </w:r>
          </w:p>
        </w:tc>
      </w:tr>
      <w:tr w:rsidR="003B7693" w:rsidRPr="00490C53" w14:paraId="15403F4E" w14:textId="77777777">
        <w:tblPrEx>
          <w:tblCellMar>
            <w:left w:w="108" w:type="dxa"/>
            <w:right w:w="108" w:type="dxa"/>
          </w:tblCellMar>
        </w:tblPrEx>
        <w:trPr>
          <w:trHeight w:val="870"/>
        </w:trPr>
        <w:tc>
          <w:tcPr>
            <w:tcW w:w="2839" w:type="pct"/>
            <w:noWrap/>
            <w:vAlign w:val="center"/>
          </w:tcPr>
          <w:p w14:paraId="2592ED83" w14:textId="77777777" w:rsidR="003B7693" w:rsidRPr="00490C53" w:rsidRDefault="003B7693">
            <w:pPr>
              <w:pStyle w:val="Tabletext"/>
            </w:pPr>
            <w:r w:rsidRPr="00490C53">
              <w:t>Distribution, Borrower, post intervention</w:t>
            </w:r>
          </w:p>
        </w:tc>
        <w:tc>
          <w:tcPr>
            <w:tcW w:w="960" w:type="pct"/>
            <w:vAlign w:val="center"/>
          </w:tcPr>
          <w:p w14:paraId="10AE8D8A" w14:textId="77777777" w:rsidR="003B7693" w:rsidRPr="00490C53" w:rsidRDefault="003B7693">
            <w:pPr>
              <w:pStyle w:val="Tabletext"/>
              <w:spacing w:before="0"/>
              <w:jc w:val="center"/>
            </w:pPr>
            <w:r w:rsidRPr="00490C53">
              <w:t>0.055***</w:t>
            </w:r>
            <w:r w:rsidRPr="00490C53">
              <w:br/>
              <w:t>(0.008)</w:t>
            </w:r>
          </w:p>
        </w:tc>
        <w:tc>
          <w:tcPr>
            <w:tcW w:w="1201" w:type="pct"/>
            <w:vAlign w:val="center"/>
          </w:tcPr>
          <w:p w14:paraId="13789D89" w14:textId="77777777" w:rsidR="003B7693" w:rsidRPr="00490C53" w:rsidRDefault="003B7693">
            <w:pPr>
              <w:pStyle w:val="Tabletext"/>
              <w:spacing w:before="0"/>
              <w:jc w:val="center"/>
            </w:pPr>
            <w:r w:rsidRPr="00490C53">
              <w:t>0.075***</w:t>
            </w:r>
            <w:r w:rsidRPr="00490C53">
              <w:br/>
              <w:t>(0.009)</w:t>
            </w:r>
          </w:p>
        </w:tc>
      </w:tr>
      <w:tr w:rsidR="003B7693" w:rsidRPr="00490C53" w14:paraId="2F29D8C7"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hideMark/>
          </w:tcPr>
          <w:p w14:paraId="5CC93F18" w14:textId="77777777" w:rsidR="003B7693" w:rsidRPr="00490C53" w:rsidRDefault="003B7693">
            <w:pPr>
              <w:pStyle w:val="Tabletext"/>
            </w:pPr>
            <w:r w:rsidRPr="00490C53">
              <w:t>Other Services, Borrower, post intervention</w:t>
            </w:r>
          </w:p>
        </w:tc>
        <w:tc>
          <w:tcPr>
            <w:tcW w:w="960" w:type="pct"/>
            <w:vAlign w:val="center"/>
          </w:tcPr>
          <w:p w14:paraId="2F86588E" w14:textId="77777777" w:rsidR="003B7693" w:rsidRPr="00490C53" w:rsidRDefault="003B7693">
            <w:pPr>
              <w:pStyle w:val="Tabletext"/>
              <w:spacing w:before="0"/>
              <w:jc w:val="center"/>
            </w:pPr>
            <w:r w:rsidRPr="00490C53">
              <w:t>0.021</w:t>
            </w:r>
            <w:r w:rsidRPr="00490C53">
              <w:br/>
              <w:t>(0.013)</w:t>
            </w:r>
          </w:p>
        </w:tc>
        <w:tc>
          <w:tcPr>
            <w:tcW w:w="1201" w:type="pct"/>
            <w:vAlign w:val="center"/>
          </w:tcPr>
          <w:p w14:paraId="50001B73" w14:textId="77777777" w:rsidR="003B7693" w:rsidRPr="00490C53" w:rsidRDefault="003B7693">
            <w:pPr>
              <w:pStyle w:val="Tabletext"/>
              <w:spacing w:before="0"/>
              <w:jc w:val="center"/>
            </w:pPr>
            <w:r w:rsidRPr="00490C53">
              <w:t>0.052***</w:t>
            </w:r>
            <w:r w:rsidRPr="00490C53">
              <w:br/>
              <w:t>(0.016)</w:t>
            </w:r>
          </w:p>
        </w:tc>
      </w:tr>
      <w:tr w:rsidR="003B7693" w:rsidRPr="00490C53" w14:paraId="18017943" w14:textId="77777777">
        <w:tblPrEx>
          <w:tblCellMar>
            <w:left w:w="108" w:type="dxa"/>
            <w:right w:w="108" w:type="dxa"/>
          </w:tblCellMar>
        </w:tblPrEx>
        <w:trPr>
          <w:trHeight w:val="870"/>
        </w:trPr>
        <w:tc>
          <w:tcPr>
            <w:tcW w:w="2839" w:type="pct"/>
            <w:noWrap/>
            <w:vAlign w:val="center"/>
            <w:hideMark/>
          </w:tcPr>
          <w:p w14:paraId="736E2780" w14:textId="77777777" w:rsidR="003B7693" w:rsidRPr="00490C53" w:rsidRDefault="003B7693">
            <w:pPr>
              <w:pStyle w:val="Tabletext"/>
            </w:pPr>
            <w:r w:rsidRPr="00490C53">
              <w:rPr>
                <w:lang w:eastAsia="en-GB"/>
              </w:rPr>
              <w:lastRenderedPageBreak/>
              <w:t>Primary / Manufacturing</w:t>
            </w:r>
            <w:r w:rsidRPr="00490C53">
              <w:t>, Borrower, post intervention</w:t>
            </w:r>
          </w:p>
        </w:tc>
        <w:tc>
          <w:tcPr>
            <w:tcW w:w="960" w:type="pct"/>
            <w:vAlign w:val="center"/>
          </w:tcPr>
          <w:p w14:paraId="63EE5834" w14:textId="77777777" w:rsidR="003B7693" w:rsidRPr="00490C53" w:rsidRDefault="003B7693">
            <w:pPr>
              <w:pStyle w:val="Tabletext"/>
              <w:spacing w:before="0"/>
              <w:jc w:val="center"/>
            </w:pPr>
            <w:r w:rsidRPr="00490C53">
              <w:t>0.040***</w:t>
            </w:r>
            <w:r w:rsidRPr="00490C53">
              <w:br/>
              <w:t>(0.012)</w:t>
            </w:r>
          </w:p>
        </w:tc>
        <w:tc>
          <w:tcPr>
            <w:tcW w:w="1201" w:type="pct"/>
            <w:vAlign w:val="center"/>
          </w:tcPr>
          <w:p w14:paraId="49BAA2B9" w14:textId="77777777" w:rsidR="003B7693" w:rsidRPr="00490C53" w:rsidRDefault="003B7693">
            <w:pPr>
              <w:pStyle w:val="Tabletext"/>
              <w:spacing w:before="0"/>
              <w:jc w:val="center"/>
            </w:pPr>
            <w:r w:rsidRPr="00490C53">
              <w:t>0.068***</w:t>
            </w:r>
            <w:r w:rsidRPr="00490C53">
              <w:br/>
              <w:t>(0.011)</w:t>
            </w:r>
          </w:p>
        </w:tc>
      </w:tr>
      <w:tr w:rsidR="003B7693" w:rsidRPr="00490C53" w14:paraId="4C474AA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70"/>
        </w:trPr>
        <w:tc>
          <w:tcPr>
            <w:tcW w:w="2839" w:type="pct"/>
            <w:noWrap/>
            <w:vAlign w:val="center"/>
            <w:hideMark/>
          </w:tcPr>
          <w:p w14:paraId="0B95C1F4" w14:textId="77777777" w:rsidR="003B7693" w:rsidRPr="00490C53" w:rsidRDefault="003B7693">
            <w:pPr>
              <w:pStyle w:val="Tabletext"/>
            </w:pPr>
            <w:r w:rsidRPr="00490C53">
              <w:t>Used CJRS in 2020</w:t>
            </w:r>
          </w:p>
        </w:tc>
        <w:tc>
          <w:tcPr>
            <w:tcW w:w="960" w:type="pct"/>
            <w:vAlign w:val="center"/>
          </w:tcPr>
          <w:p w14:paraId="0B3E737A" w14:textId="77777777" w:rsidR="003B7693" w:rsidRPr="00490C53" w:rsidRDefault="003B7693">
            <w:pPr>
              <w:pStyle w:val="Tabletext"/>
              <w:spacing w:before="0"/>
              <w:jc w:val="center"/>
            </w:pPr>
            <w:r w:rsidRPr="00490C53">
              <w:t>0.016***</w:t>
            </w:r>
            <w:r w:rsidRPr="00490C53">
              <w:br/>
              <w:t>(0.004)</w:t>
            </w:r>
          </w:p>
        </w:tc>
        <w:tc>
          <w:tcPr>
            <w:tcW w:w="1201" w:type="pct"/>
            <w:vAlign w:val="center"/>
          </w:tcPr>
          <w:p w14:paraId="75E0CDE2" w14:textId="77777777" w:rsidR="003B7693" w:rsidRPr="00490C53" w:rsidRDefault="003B7693">
            <w:pPr>
              <w:pStyle w:val="Tabletext"/>
              <w:spacing w:before="0"/>
              <w:jc w:val="center"/>
            </w:pPr>
            <w:r w:rsidRPr="00490C53">
              <w:t>0.021***</w:t>
            </w:r>
            <w:r w:rsidRPr="00490C53">
              <w:br/>
              <w:t>(0.005)</w:t>
            </w:r>
          </w:p>
        </w:tc>
      </w:tr>
      <w:tr w:rsidR="003B7693" w:rsidRPr="00490C53" w14:paraId="21DD6A6D" w14:textId="77777777">
        <w:tblPrEx>
          <w:tblCellMar>
            <w:left w:w="108" w:type="dxa"/>
            <w:right w:w="108" w:type="dxa"/>
          </w:tblCellMar>
        </w:tblPrEx>
        <w:trPr>
          <w:trHeight w:val="443"/>
        </w:trPr>
        <w:tc>
          <w:tcPr>
            <w:tcW w:w="2839" w:type="pct"/>
            <w:noWrap/>
            <w:vAlign w:val="center"/>
            <w:hideMark/>
          </w:tcPr>
          <w:p w14:paraId="66075303" w14:textId="77777777" w:rsidR="003B7693" w:rsidRPr="00490C53" w:rsidRDefault="003B7693">
            <w:pPr>
              <w:pStyle w:val="Tabletext"/>
            </w:pPr>
            <w:r w:rsidRPr="00490C53">
              <w:t>Constant</w:t>
            </w:r>
          </w:p>
        </w:tc>
        <w:tc>
          <w:tcPr>
            <w:tcW w:w="960" w:type="pct"/>
            <w:vAlign w:val="center"/>
          </w:tcPr>
          <w:p w14:paraId="42088756" w14:textId="77777777" w:rsidR="003B7693" w:rsidRPr="00490C53" w:rsidRDefault="003B7693">
            <w:pPr>
              <w:pStyle w:val="Tabletext"/>
              <w:spacing w:before="0"/>
              <w:jc w:val="center"/>
            </w:pPr>
            <w:r w:rsidRPr="00490C53">
              <w:t>1.853***</w:t>
            </w:r>
            <w:r w:rsidRPr="00490C53">
              <w:br/>
              <w:t>(0.001)</w:t>
            </w:r>
          </w:p>
        </w:tc>
        <w:tc>
          <w:tcPr>
            <w:tcW w:w="1201" w:type="pct"/>
            <w:vAlign w:val="center"/>
          </w:tcPr>
          <w:p w14:paraId="5C3CC1A3" w14:textId="77777777" w:rsidR="003B7693" w:rsidRPr="00490C53" w:rsidRDefault="003B7693">
            <w:pPr>
              <w:pStyle w:val="Tabletext"/>
              <w:spacing w:before="0"/>
              <w:jc w:val="center"/>
            </w:pPr>
            <w:r w:rsidRPr="00490C53">
              <w:t>2.875***</w:t>
            </w:r>
            <w:r w:rsidRPr="00490C53">
              <w:br/>
              <w:t>(0.001)</w:t>
            </w:r>
          </w:p>
        </w:tc>
      </w:tr>
      <w:tr w:rsidR="003B7693" w:rsidRPr="00490C53" w14:paraId="657C227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70"/>
        </w:trPr>
        <w:tc>
          <w:tcPr>
            <w:tcW w:w="2839" w:type="pct"/>
            <w:noWrap/>
            <w:vAlign w:val="center"/>
          </w:tcPr>
          <w:p w14:paraId="464893C4" w14:textId="77777777" w:rsidR="003B7693" w:rsidRPr="00490C53" w:rsidRDefault="003B7693">
            <w:pPr>
              <w:pStyle w:val="Tabletext"/>
            </w:pPr>
            <w:r w:rsidRPr="00490C53">
              <w:t>Observations</w:t>
            </w:r>
          </w:p>
        </w:tc>
        <w:tc>
          <w:tcPr>
            <w:tcW w:w="960" w:type="pct"/>
            <w:vAlign w:val="center"/>
          </w:tcPr>
          <w:p w14:paraId="69599A92" w14:textId="77777777" w:rsidR="003B7693" w:rsidRPr="00490C53" w:rsidRDefault="003B7693">
            <w:pPr>
              <w:pStyle w:val="Tabletext"/>
              <w:jc w:val="center"/>
            </w:pPr>
            <w:r w:rsidRPr="00490C53">
              <w:t>268,738</w:t>
            </w:r>
          </w:p>
        </w:tc>
        <w:tc>
          <w:tcPr>
            <w:tcW w:w="1201" w:type="pct"/>
            <w:vAlign w:val="center"/>
          </w:tcPr>
          <w:p w14:paraId="2D8BC11C" w14:textId="77777777" w:rsidR="003B7693" w:rsidRPr="00490C53" w:rsidRDefault="003B7693">
            <w:pPr>
              <w:pStyle w:val="Tabletext"/>
              <w:jc w:val="center"/>
            </w:pPr>
            <w:r w:rsidRPr="00490C53">
              <w:t>157,576</w:t>
            </w:r>
          </w:p>
        </w:tc>
      </w:tr>
      <w:tr w:rsidR="003B7693" w:rsidRPr="00490C53" w14:paraId="1868CE0C" w14:textId="77777777">
        <w:tblPrEx>
          <w:tblCellMar>
            <w:left w:w="108" w:type="dxa"/>
            <w:right w:w="108" w:type="dxa"/>
          </w:tblCellMar>
        </w:tblPrEx>
        <w:trPr>
          <w:trHeight w:val="564"/>
        </w:trPr>
        <w:tc>
          <w:tcPr>
            <w:tcW w:w="2839" w:type="pct"/>
            <w:noWrap/>
            <w:vAlign w:val="center"/>
          </w:tcPr>
          <w:p w14:paraId="66441503" w14:textId="77777777" w:rsidR="003B7693" w:rsidRPr="00490C53" w:rsidRDefault="003B7693">
            <w:pPr>
              <w:pStyle w:val="Tabletext"/>
            </w:pPr>
            <w:r w:rsidRPr="00490C53">
              <w:t>R-squared</w:t>
            </w:r>
          </w:p>
        </w:tc>
        <w:tc>
          <w:tcPr>
            <w:tcW w:w="960" w:type="pct"/>
            <w:vAlign w:val="center"/>
          </w:tcPr>
          <w:p w14:paraId="5CE6FABD" w14:textId="77777777" w:rsidR="003B7693" w:rsidRPr="00490C53" w:rsidRDefault="003B7693">
            <w:pPr>
              <w:pStyle w:val="Tabletext"/>
              <w:jc w:val="center"/>
            </w:pPr>
            <w:r w:rsidRPr="00490C53">
              <w:t>0.007</w:t>
            </w:r>
          </w:p>
        </w:tc>
        <w:tc>
          <w:tcPr>
            <w:tcW w:w="1201" w:type="pct"/>
            <w:vAlign w:val="center"/>
          </w:tcPr>
          <w:p w14:paraId="242E1F05" w14:textId="77777777" w:rsidR="003B7693" w:rsidRPr="00490C53" w:rsidRDefault="003B7693">
            <w:pPr>
              <w:pStyle w:val="Tabletext"/>
              <w:jc w:val="center"/>
            </w:pPr>
            <w:r w:rsidRPr="00490C53">
              <w:t>0.013</w:t>
            </w:r>
          </w:p>
        </w:tc>
      </w:tr>
      <w:tr w:rsidR="003B7693" w:rsidRPr="00490C53" w14:paraId="5B33FEE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64"/>
        </w:trPr>
        <w:tc>
          <w:tcPr>
            <w:tcW w:w="2839" w:type="pct"/>
            <w:tcBorders>
              <w:bottom w:val="single" w:sz="4" w:space="0" w:color="0054BA" w:themeColor="accent2"/>
            </w:tcBorders>
            <w:noWrap/>
            <w:vAlign w:val="center"/>
          </w:tcPr>
          <w:p w14:paraId="07B563ED" w14:textId="77777777" w:rsidR="003B7693" w:rsidRPr="00490C53" w:rsidRDefault="003B7693">
            <w:pPr>
              <w:pStyle w:val="Tabletext"/>
            </w:pPr>
            <w:r w:rsidRPr="00490C53">
              <w:t>Business fixed effects</w:t>
            </w:r>
          </w:p>
        </w:tc>
        <w:tc>
          <w:tcPr>
            <w:tcW w:w="960" w:type="pct"/>
            <w:tcBorders>
              <w:bottom w:val="single" w:sz="4" w:space="0" w:color="0054BA" w:themeColor="accent2"/>
            </w:tcBorders>
            <w:vAlign w:val="center"/>
          </w:tcPr>
          <w:p w14:paraId="54C72C1A" w14:textId="77777777" w:rsidR="003B7693" w:rsidRPr="00490C53" w:rsidRDefault="003B7693">
            <w:pPr>
              <w:pStyle w:val="Tabletext"/>
              <w:jc w:val="center"/>
            </w:pPr>
            <w:r w:rsidRPr="00490C53">
              <w:t>Yes</w:t>
            </w:r>
          </w:p>
        </w:tc>
        <w:tc>
          <w:tcPr>
            <w:tcW w:w="1201" w:type="pct"/>
            <w:tcBorders>
              <w:bottom w:val="single" w:sz="4" w:space="0" w:color="0054BA" w:themeColor="accent2"/>
            </w:tcBorders>
            <w:vAlign w:val="center"/>
          </w:tcPr>
          <w:p w14:paraId="77F3B357" w14:textId="77777777" w:rsidR="003B7693" w:rsidRPr="00490C53" w:rsidRDefault="003B7693">
            <w:pPr>
              <w:pStyle w:val="Tabletext"/>
              <w:jc w:val="center"/>
            </w:pPr>
            <w:r w:rsidRPr="00490C53">
              <w:t>Yes</w:t>
            </w:r>
          </w:p>
        </w:tc>
      </w:tr>
    </w:tbl>
    <w:p w14:paraId="74C6A5C7" w14:textId="59C5423B" w:rsidR="003B7693" w:rsidRPr="00490C53" w:rsidRDefault="00DA466B" w:rsidP="003B7693">
      <w:pPr>
        <w:rPr>
          <w:rStyle w:val="Emphasis"/>
          <w:b w:val="0"/>
          <w:iCs w:val="0"/>
          <w:color w:val="555674"/>
        </w:rPr>
      </w:pPr>
      <w:r>
        <w:rPr>
          <w:rStyle w:val="Emphasis"/>
          <w:b w:val="0"/>
          <w:color w:val="555674"/>
        </w:rPr>
        <w:t xml:space="preserve">Note: </w:t>
      </w:r>
      <w:r w:rsidR="003B7693" w:rsidRPr="00490C53">
        <w:rPr>
          <w:rStyle w:val="Emphasis"/>
          <w:b w:val="0"/>
          <w:color w:val="555674"/>
        </w:rPr>
        <w:t>*** p-value&lt;0.01, ** p-value&lt;0.05, * p-value&lt;0.1. Source: London Economics’ analysis of IDBR data</w:t>
      </w:r>
      <w:r w:rsidR="00E6301D">
        <w:rPr>
          <w:rStyle w:val="Emphasis"/>
          <w:b w:val="0"/>
          <w:bCs/>
          <w:color w:val="555674"/>
        </w:rPr>
        <w:t>, BBB Portal Data and HMRC Coronavirus Job Retention Scheme</w:t>
      </w:r>
      <w:r w:rsidR="00E6301D" w:rsidRPr="00F269C4">
        <w:rPr>
          <w:rStyle w:val="Emphasis"/>
          <w:b w:val="0"/>
          <w:bCs/>
          <w:color w:val="555674"/>
        </w:rPr>
        <w:t xml:space="preserve"> (CJRS) data</w:t>
      </w:r>
      <w:r w:rsidR="00E6301D" w:rsidRPr="006E5CA3">
        <w:rPr>
          <w:rStyle w:val="Emphasis"/>
          <w:b w:val="0"/>
          <w:color w:val="555674"/>
        </w:rPr>
        <w:t>.</w:t>
      </w:r>
    </w:p>
    <w:p w14:paraId="03D2B689" w14:textId="5C1AB88A" w:rsidR="003B7693" w:rsidRPr="00490C53" w:rsidRDefault="003B7693" w:rsidP="003B7693">
      <w:pPr>
        <w:pStyle w:val="Heading5"/>
      </w:pPr>
      <w:bookmarkStart w:id="313" w:name="_Ref151545722"/>
      <w:bookmarkStart w:id="314" w:name="_Ref123911561"/>
      <w:r w:rsidRPr="00490C53">
        <w:t xml:space="preserve">Table </w:t>
      </w:r>
      <w:r w:rsidRPr="00490C53">
        <w:fldChar w:fldCharType="begin"/>
      </w:r>
      <w:r w:rsidRPr="00490C53">
        <w:instrText>SEQ Table \* ARABIC</w:instrText>
      </w:r>
      <w:r w:rsidRPr="00490C53">
        <w:fldChar w:fldCharType="separate"/>
      </w:r>
      <w:r w:rsidR="00397D49">
        <w:rPr>
          <w:noProof/>
        </w:rPr>
        <w:t>50</w:t>
      </w:r>
      <w:r w:rsidRPr="00490C53">
        <w:fldChar w:fldCharType="end"/>
      </w:r>
      <w:bookmarkEnd w:id="313"/>
      <w:r w:rsidRPr="00490C53">
        <w:t xml:space="preserve">: Estimated impact of the Covid-19 Loan Guarantee Schemes on turnover – by region – </w:t>
      </w:r>
      <w:r w:rsidR="007B6D96">
        <w:t>Secondary analysis</w:t>
      </w:r>
      <w:r w:rsidR="007B6D96" w:rsidRPr="00490C53">
        <w:t xml:space="preserve"> </w:t>
      </w:r>
      <w:r w:rsidRPr="00490C53">
        <w:t>of Year 1 impacts</w:t>
      </w:r>
      <w:bookmarkEnd w:id="314"/>
    </w:p>
    <w:tbl>
      <w:tblPr>
        <w:tblStyle w:val="TableGrid"/>
        <w:tblW w:w="5000" w:type="pct"/>
        <w:tblLook w:val="04A0" w:firstRow="1" w:lastRow="0" w:firstColumn="1" w:lastColumn="0" w:noHBand="0" w:noVBand="1"/>
      </w:tblPr>
      <w:tblGrid>
        <w:gridCol w:w="6096"/>
        <w:gridCol w:w="2029"/>
        <w:gridCol w:w="2029"/>
      </w:tblGrid>
      <w:tr w:rsidR="003B7693" w:rsidRPr="00490C53" w14:paraId="2F5517F4" w14:textId="77777777">
        <w:trPr>
          <w:cnfStyle w:val="100000000000" w:firstRow="1" w:lastRow="0" w:firstColumn="0" w:lastColumn="0" w:oddVBand="0" w:evenVBand="0" w:oddHBand="0" w:evenHBand="0" w:firstRowFirstColumn="0" w:firstRowLastColumn="0" w:lastRowFirstColumn="0" w:lastRowLastColumn="0"/>
          <w:tblHeader/>
        </w:trPr>
        <w:tc>
          <w:tcPr>
            <w:tcW w:w="3002" w:type="pct"/>
          </w:tcPr>
          <w:p w14:paraId="45B16755" w14:textId="77777777" w:rsidR="003B7693" w:rsidRPr="00490C53" w:rsidRDefault="003B7693">
            <w:pPr>
              <w:pStyle w:val="Tablecolumnheading-inkblue"/>
              <w:rPr>
                <w:b w:val="0"/>
                <w:color w:val="FFFFFF" w:themeColor="background1"/>
                <w:sz w:val="22"/>
                <w:szCs w:val="20"/>
              </w:rPr>
            </w:pPr>
            <w:r w:rsidRPr="00490C53">
              <w:rPr>
                <w:color w:val="FFFFFF" w:themeColor="background1"/>
                <w:sz w:val="22"/>
                <w:szCs w:val="20"/>
              </w:rPr>
              <w:t>Variable</w:t>
            </w:r>
          </w:p>
        </w:tc>
        <w:tc>
          <w:tcPr>
            <w:tcW w:w="999" w:type="pct"/>
          </w:tcPr>
          <w:p w14:paraId="41D5FF3F" w14:textId="77777777" w:rsidR="003B7693" w:rsidRPr="00490C53" w:rsidRDefault="003B7693">
            <w:pPr>
              <w:pStyle w:val="Tablecolumnheading-inkblue"/>
              <w:jc w:val="center"/>
              <w:rPr>
                <w:bCs/>
                <w:color w:val="FFFFFF" w:themeColor="background1"/>
                <w:sz w:val="22"/>
                <w:szCs w:val="20"/>
              </w:rPr>
            </w:pPr>
            <w:r w:rsidRPr="00490C53">
              <w:rPr>
                <w:bCs/>
                <w:color w:val="FFFFFF" w:themeColor="background1"/>
                <w:sz w:val="22"/>
                <w:szCs w:val="20"/>
              </w:rPr>
              <w:t>BBLS</w:t>
            </w:r>
          </w:p>
        </w:tc>
        <w:tc>
          <w:tcPr>
            <w:tcW w:w="999" w:type="pct"/>
          </w:tcPr>
          <w:p w14:paraId="49ADE5C8" w14:textId="77777777" w:rsidR="003B7693" w:rsidRPr="00490C53" w:rsidRDefault="003B7693">
            <w:pPr>
              <w:pStyle w:val="Tablecolumnheading-inkblue"/>
              <w:jc w:val="center"/>
              <w:rPr>
                <w:bCs/>
                <w:color w:val="FFFFFF" w:themeColor="background1"/>
                <w:sz w:val="22"/>
                <w:szCs w:val="20"/>
              </w:rPr>
            </w:pPr>
            <w:r w:rsidRPr="00490C53">
              <w:rPr>
                <w:bCs/>
                <w:color w:val="FFFFFF" w:themeColor="background1"/>
                <w:sz w:val="22"/>
                <w:szCs w:val="20"/>
              </w:rPr>
              <w:t>CBILS/CLBILS</w:t>
            </w:r>
          </w:p>
        </w:tc>
      </w:tr>
      <w:tr w:rsidR="003B7693" w:rsidRPr="00490C53" w14:paraId="220FADF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6E84AD80" w14:textId="77777777" w:rsidR="003B7693" w:rsidRPr="00490C53" w:rsidRDefault="003B7693">
            <w:pPr>
              <w:pStyle w:val="Tabletext"/>
            </w:pPr>
            <w:r w:rsidRPr="00490C53">
              <w:t xml:space="preserve">East / Midlands, post intervention </w:t>
            </w:r>
          </w:p>
        </w:tc>
        <w:tc>
          <w:tcPr>
            <w:tcW w:w="999" w:type="pct"/>
            <w:vAlign w:val="center"/>
          </w:tcPr>
          <w:p w14:paraId="7300FABD" w14:textId="77777777" w:rsidR="003B7693" w:rsidRPr="00490C53" w:rsidRDefault="003B7693">
            <w:pPr>
              <w:pStyle w:val="Tabletext"/>
              <w:spacing w:before="0"/>
              <w:jc w:val="center"/>
              <w:rPr>
                <w:rStyle w:val="Bold"/>
                <w:b w:val="0"/>
              </w:rPr>
            </w:pPr>
            <w:r w:rsidRPr="00490C53">
              <w:t>-0.086***</w:t>
            </w:r>
            <w:r w:rsidRPr="00490C53">
              <w:br/>
              <w:t>(0.019)</w:t>
            </w:r>
          </w:p>
        </w:tc>
        <w:tc>
          <w:tcPr>
            <w:tcW w:w="999" w:type="pct"/>
            <w:vAlign w:val="center"/>
          </w:tcPr>
          <w:p w14:paraId="07A00C97" w14:textId="77777777" w:rsidR="003B7693" w:rsidRPr="00490C53" w:rsidRDefault="003B7693">
            <w:pPr>
              <w:pStyle w:val="Tabletext"/>
              <w:spacing w:before="0"/>
              <w:jc w:val="center"/>
              <w:rPr>
                <w:rStyle w:val="Bold"/>
                <w:b w:val="0"/>
              </w:rPr>
            </w:pPr>
            <w:r w:rsidRPr="00490C53">
              <w:t>-0.114***</w:t>
            </w:r>
            <w:r w:rsidRPr="00490C53">
              <w:br/>
              <w:t>(0.011)</w:t>
            </w:r>
          </w:p>
        </w:tc>
      </w:tr>
      <w:tr w:rsidR="003B7693" w:rsidRPr="00490C53" w14:paraId="181A8B4A" w14:textId="77777777">
        <w:tblPrEx>
          <w:tblCellMar>
            <w:left w:w="108" w:type="dxa"/>
            <w:right w:w="108" w:type="dxa"/>
          </w:tblCellMar>
        </w:tblPrEx>
        <w:tc>
          <w:tcPr>
            <w:tcW w:w="3002" w:type="pct"/>
            <w:vAlign w:val="center"/>
          </w:tcPr>
          <w:p w14:paraId="4E9082B0" w14:textId="77777777" w:rsidR="003B7693" w:rsidRPr="00490C53" w:rsidRDefault="003B7693">
            <w:pPr>
              <w:pStyle w:val="Tabletext"/>
            </w:pPr>
            <w:r w:rsidRPr="00490C53">
              <w:t xml:space="preserve">London, post intervention </w:t>
            </w:r>
          </w:p>
        </w:tc>
        <w:tc>
          <w:tcPr>
            <w:tcW w:w="999" w:type="pct"/>
            <w:vAlign w:val="center"/>
          </w:tcPr>
          <w:p w14:paraId="18F2841D" w14:textId="77777777" w:rsidR="003B7693" w:rsidRPr="00490C53" w:rsidRDefault="003B7693">
            <w:pPr>
              <w:pStyle w:val="Tabletext"/>
              <w:spacing w:before="0"/>
              <w:jc w:val="center"/>
              <w:rPr>
                <w:rStyle w:val="Bold"/>
                <w:b w:val="0"/>
              </w:rPr>
            </w:pPr>
            <w:r w:rsidRPr="00490C53">
              <w:t>-0.080***</w:t>
            </w:r>
            <w:r w:rsidRPr="00490C53">
              <w:br/>
              <w:t>(0.013)</w:t>
            </w:r>
          </w:p>
        </w:tc>
        <w:tc>
          <w:tcPr>
            <w:tcW w:w="999" w:type="pct"/>
            <w:vAlign w:val="center"/>
          </w:tcPr>
          <w:p w14:paraId="2AC30EC6" w14:textId="77777777" w:rsidR="003B7693" w:rsidRPr="00490C53" w:rsidRDefault="003B7693">
            <w:pPr>
              <w:pStyle w:val="Tabletext"/>
              <w:spacing w:before="0"/>
              <w:jc w:val="center"/>
              <w:rPr>
                <w:rStyle w:val="Bold"/>
                <w:b w:val="0"/>
              </w:rPr>
            </w:pPr>
            <w:r w:rsidRPr="00490C53">
              <w:t>-0.156***</w:t>
            </w:r>
            <w:r w:rsidRPr="00490C53">
              <w:br/>
              <w:t>(0.018)</w:t>
            </w:r>
          </w:p>
        </w:tc>
      </w:tr>
      <w:tr w:rsidR="003B7693" w:rsidRPr="00490C53" w14:paraId="23A0A85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4D5E42B0" w14:textId="77777777" w:rsidR="003B7693" w:rsidRPr="00490C53" w:rsidRDefault="003B7693">
            <w:pPr>
              <w:pStyle w:val="Tabletext"/>
            </w:pPr>
            <w:r w:rsidRPr="00490C53">
              <w:t xml:space="preserve">North / Yorkshire, post intervention </w:t>
            </w:r>
          </w:p>
        </w:tc>
        <w:tc>
          <w:tcPr>
            <w:tcW w:w="999" w:type="pct"/>
            <w:vAlign w:val="center"/>
          </w:tcPr>
          <w:p w14:paraId="34314B9B" w14:textId="77777777" w:rsidR="003B7693" w:rsidRPr="00490C53" w:rsidRDefault="003B7693">
            <w:pPr>
              <w:pStyle w:val="Tabletext"/>
              <w:spacing w:before="0"/>
              <w:jc w:val="center"/>
              <w:rPr>
                <w:rStyle w:val="Bold"/>
                <w:b w:val="0"/>
              </w:rPr>
            </w:pPr>
            <w:r w:rsidRPr="00490C53">
              <w:t>-0.074**</w:t>
            </w:r>
            <w:r w:rsidRPr="00490C53">
              <w:br/>
              <w:t>(0.026)</w:t>
            </w:r>
          </w:p>
        </w:tc>
        <w:tc>
          <w:tcPr>
            <w:tcW w:w="999" w:type="pct"/>
            <w:vAlign w:val="center"/>
          </w:tcPr>
          <w:p w14:paraId="622E41D6" w14:textId="77777777" w:rsidR="003B7693" w:rsidRPr="00490C53" w:rsidRDefault="003B7693">
            <w:pPr>
              <w:pStyle w:val="Tabletext"/>
              <w:spacing w:before="0"/>
              <w:jc w:val="center"/>
              <w:rPr>
                <w:rStyle w:val="Bold"/>
                <w:b w:val="0"/>
              </w:rPr>
            </w:pPr>
            <w:r w:rsidRPr="00490C53">
              <w:t>-0.082***</w:t>
            </w:r>
            <w:r w:rsidRPr="00490C53">
              <w:br/>
              <w:t>(0.011)</w:t>
            </w:r>
          </w:p>
        </w:tc>
      </w:tr>
      <w:tr w:rsidR="003B7693" w:rsidRPr="00490C53" w14:paraId="1CDC77CD" w14:textId="77777777">
        <w:tblPrEx>
          <w:tblCellMar>
            <w:left w:w="108" w:type="dxa"/>
            <w:right w:w="108" w:type="dxa"/>
          </w:tblCellMar>
        </w:tblPrEx>
        <w:tc>
          <w:tcPr>
            <w:tcW w:w="3002" w:type="pct"/>
            <w:vAlign w:val="center"/>
          </w:tcPr>
          <w:p w14:paraId="656756F7" w14:textId="77777777" w:rsidR="003B7693" w:rsidRPr="00490C53" w:rsidRDefault="003B7693">
            <w:pPr>
              <w:pStyle w:val="Tabletext"/>
            </w:pPr>
            <w:r w:rsidRPr="00490C53">
              <w:t xml:space="preserve">Northern Ireland, post intervention </w:t>
            </w:r>
          </w:p>
        </w:tc>
        <w:tc>
          <w:tcPr>
            <w:tcW w:w="999" w:type="pct"/>
            <w:vAlign w:val="center"/>
          </w:tcPr>
          <w:p w14:paraId="48802C81" w14:textId="77777777" w:rsidR="003B7693" w:rsidRPr="00490C53" w:rsidRDefault="003B7693">
            <w:pPr>
              <w:pStyle w:val="Tabletext"/>
              <w:spacing w:before="0"/>
              <w:jc w:val="center"/>
              <w:rPr>
                <w:rStyle w:val="Bold"/>
                <w:b w:val="0"/>
              </w:rPr>
            </w:pPr>
            <w:r w:rsidRPr="00490C53">
              <w:t>-0.033</w:t>
            </w:r>
            <w:r w:rsidRPr="00490C53">
              <w:br/>
              <w:t>(0.036)</w:t>
            </w:r>
          </w:p>
        </w:tc>
        <w:tc>
          <w:tcPr>
            <w:tcW w:w="999" w:type="pct"/>
            <w:vAlign w:val="center"/>
          </w:tcPr>
          <w:p w14:paraId="7838247B" w14:textId="77777777" w:rsidR="003B7693" w:rsidRPr="00490C53" w:rsidRDefault="003B7693">
            <w:pPr>
              <w:pStyle w:val="Tabletext"/>
              <w:spacing w:before="0"/>
              <w:jc w:val="center"/>
              <w:rPr>
                <w:rStyle w:val="Bold"/>
                <w:b w:val="0"/>
              </w:rPr>
            </w:pPr>
            <w:r w:rsidRPr="00490C53">
              <w:t>-0.031**</w:t>
            </w:r>
            <w:r w:rsidRPr="00490C53">
              <w:br/>
              <w:t>(0.008)</w:t>
            </w:r>
          </w:p>
        </w:tc>
      </w:tr>
      <w:tr w:rsidR="003B7693" w:rsidRPr="00490C53" w14:paraId="2D344C9D"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50ECA35A" w14:textId="77777777" w:rsidR="003B7693" w:rsidRPr="00490C53" w:rsidRDefault="003B7693">
            <w:pPr>
              <w:pStyle w:val="Tabletext"/>
            </w:pPr>
            <w:r w:rsidRPr="00490C53">
              <w:t>Scotland, post intervention</w:t>
            </w:r>
          </w:p>
        </w:tc>
        <w:tc>
          <w:tcPr>
            <w:tcW w:w="999" w:type="pct"/>
            <w:vAlign w:val="center"/>
          </w:tcPr>
          <w:p w14:paraId="21439029" w14:textId="77777777" w:rsidR="003B7693" w:rsidRPr="00490C53" w:rsidRDefault="003B7693">
            <w:pPr>
              <w:pStyle w:val="Tabletext"/>
              <w:spacing w:before="0"/>
              <w:jc w:val="center"/>
              <w:rPr>
                <w:rStyle w:val="Bold"/>
                <w:b w:val="0"/>
              </w:rPr>
            </w:pPr>
            <w:r w:rsidRPr="00490C53">
              <w:t>-0.120**</w:t>
            </w:r>
            <w:r w:rsidRPr="00490C53">
              <w:br/>
              <w:t>(0.036)</w:t>
            </w:r>
          </w:p>
        </w:tc>
        <w:tc>
          <w:tcPr>
            <w:tcW w:w="999" w:type="pct"/>
            <w:vAlign w:val="center"/>
          </w:tcPr>
          <w:p w14:paraId="37FE2DEA" w14:textId="77777777" w:rsidR="003B7693" w:rsidRPr="00490C53" w:rsidRDefault="003B7693">
            <w:pPr>
              <w:pStyle w:val="Tabletext"/>
              <w:spacing w:before="0"/>
              <w:jc w:val="center"/>
              <w:rPr>
                <w:rStyle w:val="Bold"/>
                <w:b w:val="0"/>
              </w:rPr>
            </w:pPr>
            <w:r w:rsidRPr="00490C53">
              <w:t>-0.092***</w:t>
            </w:r>
            <w:r w:rsidRPr="00490C53">
              <w:br/>
              <w:t>(0.008)</w:t>
            </w:r>
          </w:p>
        </w:tc>
      </w:tr>
      <w:tr w:rsidR="003B7693" w:rsidRPr="00490C53" w14:paraId="566E7008" w14:textId="77777777">
        <w:tblPrEx>
          <w:tblCellMar>
            <w:left w:w="108" w:type="dxa"/>
            <w:right w:w="108" w:type="dxa"/>
          </w:tblCellMar>
        </w:tblPrEx>
        <w:tc>
          <w:tcPr>
            <w:tcW w:w="3002" w:type="pct"/>
            <w:vAlign w:val="center"/>
          </w:tcPr>
          <w:p w14:paraId="4A6BFE5F" w14:textId="77777777" w:rsidR="003B7693" w:rsidRPr="00490C53" w:rsidRDefault="003B7693">
            <w:pPr>
              <w:pStyle w:val="Tabletext"/>
            </w:pPr>
            <w:r w:rsidRPr="00490C53">
              <w:t>South, post intervention</w:t>
            </w:r>
          </w:p>
        </w:tc>
        <w:tc>
          <w:tcPr>
            <w:tcW w:w="999" w:type="pct"/>
            <w:vAlign w:val="center"/>
          </w:tcPr>
          <w:p w14:paraId="2C0A6C76" w14:textId="77777777" w:rsidR="003B7693" w:rsidRPr="00490C53" w:rsidRDefault="003B7693">
            <w:pPr>
              <w:pStyle w:val="Tabletext"/>
              <w:spacing w:before="0"/>
              <w:jc w:val="center"/>
              <w:rPr>
                <w:rStyle w:val="Bold"/>
                <w:b w:val="0"/>
              </w:rPr>
            </w:pPr>
            <w:r w:rsidRPr="00490C53">
              <w:t>-0.106***</w:t>
            </w:r>
            <w:r w:rsidRPr="00490C53">
              <w:br/>
              <w:t>(0.020)</w:t>
            </w:r>
          </w:p>
        </w:tc>
        <w:tc>
          <w:tcPr>
            <w:tcW w:w="999" w:type="pct"/>
            <w:vAlign w:val="center"/>
          </w:tcPr>
          <w:p w14:paraId="26EFBE90" w14:textId="77777777" w:rsidR="003B7693" w:rsidRPr="00490C53" w:rsidRDefault="003B7693">
            <w:pPr>
              <w:pStyle w:val="Tabletext"/>
              <w:spacing w:before="0"/>
              <w:jc w:val="center"/>
              <w:rPr>
                <w:rStyle w:val="Bold"/>
                <w:b w:val="0"/>
              </w:rPr>
            </w:pPr>
            <w:r w:rsidRPr="00490C53">
              <w:t>-0.111***</w:t>
            </w:r>
            <w:r w:rsidRPr="00490C53">
              <w:br/>
              <w:t>(0.018)</w:t>
            </w:r>
          </w:p>
        </w:tc>
      </w:tr>
      <w:tr w:rsidR="003B7693" w:rsidRPr="00490C53" w14:paraId="750E8E5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65CCB4F3" w14:textId="77777777" w:rsidR="003B7693" w:rsidRPr="00490C53" w:rsidRDefault="003B7693">
            <w:pPr>
              <w:pStyle w:val="Tabletext"/>
            </w:pPr>
            <w:r w:rsidRPr="00490C53">
              <w:t>Wales, post intervention</w:t>
            </w:r>
          </w:p>
        </w:tc>
        <w:tc>
          <w:tcPr>
            <w:tcW w:w="999" w:type="pct"/>
            <w:vAlign w:val="center"/>
          </w:tcPr>
          <w:p w14:paraId="7946CA81" w14:textId="77777777" w:rsidR="003B7693" w:rsidRPr="00490C53" w:rsidRDefault="003B7693">
            <w:pPr>
              <w:pStyle w:val="Tabletext"/>
              <w:spacing w:before="0"/>
              <w:jc w:val="center"/>
              <w:rPr>
                <w:rStyle w:val="Bold"/>
                <w:b w:val="0"/>
              </w:rPr>
            </w:pPr>
            <w:r w:rsidRPr="00490C53">
              <w:t>-0.109***</w:t>
            </w:r>
            <w:r w:rsidRPr="00490C53">
              <w:br/>
              <w:t>(0.021)</w:t>
            </w:r>
          </w:p>
        </w:tc>
        <w:tc>
          <w:tcPr>
            <w:tcW w:w="999" w:type="pct"/>
            <w:vAlign w:val="center"/>
          </w:tcPr>
          <w:p w14:paraId="2BD3BD36" w14:textId="77777777" w:rsidR="003B7693" w:rsidRPr="00490C53" w:rsidRDefault="003B7693">
            <w:pPr>
              <w:pStyle w:val="Tabletext"/>
              <w:spacing w:before="0"/>
              <w:jc w:val="center"/>
              <w:rPr>
                <w:rStyle w:val="Bold"/>
                <w:b w:val="0"/>
              </w:rPr>
            </w:pPr>
            <w:r w:rsidRPr="00490C53">
              <w:t>-0.187***</w:t>
            </w:r>
            <w:r w:rsidRPr="00490C53">
              <w:br/>
              <w:t>(0.029)</w:t>
            </w:r>
          </w:p>
        </w:tc>
      </w:tr>
      <w:tr w:rsidR="003B7693" w:rsidRPr="00490C53" w14:paraId="60BD3170" w14:textId="77777777">
        <w:tblPrEx>
          <w:tblCellMar>
            <w:left w:w="108" w:type="dxa"/>
            <w:right w:w="108" w:type="dxa"/>
          </w:tblCellMar>
        </w:tblPrEx>
        <w:tc>
          <w:tcPr>
            <w:tcW w:w="3002" w:type="pct"/>
            <w:vAlign w:val="center"/>
          </w:tcPr>
          <w:p w14:paraId="4A76A120" w14:textId="77777777" w:rsidR="003B7693" w:rsidRPr="00490C53" w:rsidRDefault="003B7693">
            <w:pPr>
              <w:pStyle w:val="Tabletext"/>
            </w:pPr>
            <w:r w:rsidRPr="00490C53">
              <w:lastRenderedPageBreak/>
              <w:t>East / Midlands, Borrower, post intervention</w:t>
            </w:r>
          </w:p>
        </w:tc>
        <w:tc>
          <w:tcPr>
            <w:tcW w:w="999" w:type="pct"/>
            <w:vAlign w:val="center"/>
          </w:tcPr>
          <w:p w14:paraId="44103173" w14:textId="77777777" w:rsidR="003B7693" w:rsidRPr="00490C53" w:rsidRDefault="003B7693">
            <w:pPr>
              <w:pStyle w:val="Tabletext"/>
              <w:spacing w:before="0"/>
              <w:jc w:val="center"/>
              <w:rPr>
                <w:rStyle w:val="Bold"/>
                <w:b w:val="0"/>
              </w:rPr>
            </w:pPr>
            <w:r w:rsidRPr="00490C53">
              <w:t>0.085***</w:t>
            </w:r>
            <w:r w:rsidRPr="00490C53">
              <w:br/>
              <w:t>(0.017)</w:t>
            </w:r>
          </w:p>
        </w:tc>
        <w:tc>
          <w:tcPr>
            <w:tcW w:w="999" w:type="pct"/>
            <w:vAlign w:val="center"/>
          </w:tcPr>
          <w:p w14:paraId="3C45E70A" w14:textId="77777777" w:rsidR="003B7693" w:rsidRPr="00490C53" w:rsidRDefault="003B7693">
            <w:pPr>
              <w:pStyle w:val="Tabletext"/>
              <w:spacing w:before="0"/>
              <w:jc w:val="center"/>
              <w:rPr>
                <w:rStyle w:val="Bold"/>
                <w:b w:val="0"/>
              </w:rPr>
            </w:pPr>
            <w:r w:rsidRPr="00490C53">
              <w:t>0.101***</w:t>
            </w:r>
            <w:r w:rsidRPr="00490C53">
              <w:br/>
              <w:t>(0.017)</w:t>
            </w:r>
          </w:p>
        </w:tc>
      </w:tr>
      <w:tr w:rsidR="003B7693" w:rsidRPr="00490C53" w14:paraId="517034C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551E887A" w14:textId="77777777" w:rsidR="003B7693" w:rsidRPr="00490C53" w:rsidRDefault="003B7693">
            <w:pPr>
              <w:pStyle w:val="Tabletext"/>
            </w:pPr>
            <w:r w:rsidRPr="00490C53">
              <w:t>London, Borrower, post intervention</w:t>
            </w:r>
          </w:p>
        </w:tc>
        <w:tc>
          <w:tcPr>
            <w:tcW w:w="999" w:type="pct"/>
            <w:vAlign w:val="center"/>
          </w:tcPr>
          <w:p w14:paraId="0F6694A7" w14:textId="77777777" w:rsidR="003B7693" w:rsidRPr="00490C53" w:rsidRDefault="003B7693">
            <w:pPr>
              <w:pStyle w:val="Tabletext"/>
              <w:spacing w:before="0"/>
              <w:jc w:val="center"/>
              <w:rPr>
                <w:rStyle w:val="Bold"/>
                <w:b w:val="0"/>
              </w:rPr>
            </w:pPr>
            <w:r w:rsidRPr="00490C53">
              <w:t>0.098***</w:t>
            </w:r>
            <w:r w:rsidRPr="00490C53">
              <w:br/>
              <w:t>(0.019)</w:t>
            </w:r>
          </w:p>
        </w:tc>
        <w:tc>
          <w:tcPr>
            <w:tcW w:w="999" w:type="pct"/>
            <w:vAlign w:val="center"/>
          </w:tcPr>
          <w:p w14:paraId="6D618675" w14:textId="77777777" w:rsidR="003B7693" w:rsidRPr="00490C53" w:rsidRDefault="003B7693">
            <w:pPr>
              <w:pStyle w:val="Tabletext"/>
              <w:spacing w:before="0"/>
              <w:jc w:val="center"/>
              <w:rPr>
                <w:rStyle w:val="Bold"/>
                <w:b w:val="0"/>
              </w:rPr>
            </w:pPr>
            <w:r w:rsidRPr="00490C53">
              <w:t>0.152***</w:t>
            </w:r>
            <w:r w:rsidRPr="00490C53">
              <w:br/>
              <w:t>(0.012)</w:t>
            </w:r>
          </w:p>
        </w:tc>
      </w:tr>
      <w:tr w:rsidR="003B7693" w:rsidRPr="00490C53" w14:paraId="430A3C14" w14:textId="77777777">
        <w:tblPrEx>
          <w:tblCellMar>
            <w:left w:w="108" w:type="dxa"/>
            <w:right w:w="108" w:type="dxa"/>
          </w:tblCellMar>
        </w:tblPrEx>
        <w:tc>
          <w:tcPr>
            <w:tcW w:w="3002" w:type="pct"/>
            <w:vAlign w:val="center"/>
          </w:tcPr>
          <w:p w14:paraId="58A4D2DD" w14:textId="77777777" w:rsidR="003B7693" w:rsidRPr="00490C53" w:rsidRDefault="003B7693">
            <w:pPr>
              <w:pStyle w:val="Tabletext"/>
            </w:pPr>
            <w:r w:rsidRPr="00490C53">
              <w:t>North / Yorkshire, Borrower, post intervention</w:t>
            </w:r>
          </w:p>
        </w:tc>
        <w:tc>
          <w:tcPr>
            <w:tcW w:w="999" w:type="pct"/>
            <w:vAlign w:val="center"/>
          </w:tcPr>
          <w:p w14:paraId="463A40B3" w14:textId="77777777" w:rsidR="003B7693" w:rsidRPr="00490C53" w:rsidRDefault="003B7693">
            <w:pPr>
              <w:pStyle w:val="Tabletext"/>
              <w:spacing w:before="0"/>
              <w:jc w:val="center"/>
              <w:rPr>
                <w:rStyle w:val="Bold"/>
                <w:b w:val="0"/>
              </w:rPr>
            </w:pPr>
            <w:r w:rsidRPr="00490C53">
              <w:t>0.090**</w:t>
            </w:r>
            <w:r w:rsidRPr="00490C53">
              <w:br/>
              <w:t>(0.024)</w:t>
            </w:r>
          </w:p>
        </w:tc>
        <w:tc>
          <w:tcPr>
            <w:tcW w:w="999" w:type="pct"/>
            <w:vAlign w:val="center"/>
          </w:tcPr>
          <w:p w14:paraId="43D0F9C1" w14:textId="77777777" w:rsidR="003B7693" w:rsidRPr="00490C53" w:rsidRDefault="003B7693">
            <w:pPr>
              <w:pStyle w:val="Tabletext"/>
              <w:spacing w:before="0"/>
              <w:jc w:val="center"/>
              <w:rPr>
                <w:rStyle w:val="Bold"/>
                <w:b w:val="0"/>
              </w:rPr>
            </w:pPr>
            <w:r w:rsidRPr="00490C53">
              <w:t>0.088**</w:t>
            </w:r>
            <w:r w:rsidRPr="00490C53">
              <w:br/>
              <w:t>(0.020)</w:t>
            </w:r>
          </w:p>
        </w:tc>
      </w:tr>
      <w:tr w:rsidR="003B7693" w:rsidRPr="00490C53" w14:paraId="15533A70"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7AAF925F" w14:textId="77777777" w:rsidR="003B7693" w:rsidRPr="00490C53" w:rsidRDefault="003B7693">
            <w:pPr>
              <w:pStyle w:val="Tabletext"/>
            </w:pPr>
            <w:r w:rsidRPr="00490C53">
              <w:t>Northern Ireland, Borrower, post intervention</w:t>
            </w:r>
          </w:p>
        </w:tc>
        <w:tc>
          <w:tcPr>
            <w:tcW w:w="999" w:type="pct"/>
            <w:vAlign w:val="center"/>
          </w:tcPr>
          <w:p w14:paraId="3C8F2ED0" w14:textId="77777777" w:rsidR="003B7693" w:rsidRPr="00490C53" w:rsidRDefault="003B7693">
            <w:pPr>
              <w:pStyle w:val="Tabletext"/>
              <w:spacing w:before="0"/>
              <w:jc w:val="center"/>
              <w:rPr>
                <w:rStyle w:val="Bold"/>
                <w:b w:val="0"/>
              </w:rPr>
            </w:pPr>
            <w:r w:rsidRPr="00490C53">
              <w:t>0.040</w:t>
            </w:r>
            <w:r w:rsidRPr="00490C53">
              <w:br/>
              <w:t>(0.026)</w:t>
            </w:r>
          </w:p>
        </w:tc>
        <w:tc>
          <w:tcPr>
            <w:tcW w:w="999" w:type="pct"/>
            <w:vAlign w:val="center"/>
          </w:tcPr>
          <w:p w14:paraId="5C03B568" w14:textId="77777777" w:rsidR="003B7693" w:rsidRPr="00490C53" w:rsidRDefault="003B7693">
            <w:pPr>
              <w:pStyle w:val="Tabletext"/>
              <w:spacing w:before="0"/>
              <w:jc w:val="center"/>
              <w:rPr>
                <w:rStyle w:val="Bold"/>
                <w:b w:val="0"/>
              </w:rPr>
            </w:pPr>
            <w:r w:rsidRPr="00490C53">
              <w:t>0.034</w:t>
            </w:r>
            <w:r w:rsidRPr="00490C53">
              <w:br/>
              <w:t>(0.024)</w:t>
            </w:r>
          </w:p>
        </w:tc>
      </w:tr>
      <w:tr w:rsidR="003B7693" w:rsidRPr="00490C53" w14:paraId="317D2ED9" w14:textId="77777777">
        <w:tblPrEx>
          <w:tblCellMar>
            <w:left w:w="108" w:type="dxa"/>
            <w:right w:w="108" w:type="dxa"/>
          </w:tblCellMar>
        </w:tblPrEx>
        <w:tc>
          <w:tcPr>
            <w:tcW w:w="3002" w:type="pct"/>
            <w:vAlign w:val="center"/>
          </w:tcPr>
          <w:p w14:paraId="34F5A47E" w14:textId="77777777" w:rsidR="003B7693" w:rsidRPr="00490C53" w:rsidRDefault="003B7693">
            <w:pPr>
              <w:pStyle w:val="Tabletext"/>
            </w:pPr>
            <w:r w:rsidRPr="00490C53">
              <w:t>Scotland, Borrower, post intervention</w:t>
            </w:r>
          </w:p>
        </w:tc>
        <w:tc>
          <w:tcPr>
            <w:tcW w:w="999" w:type="pct"/>
            <w:vAlign w:val="center"/>
          </w:tcPr>
          <w:p w14:paraId="4EB44C64" w14:textId="77777777" w:rsidR="003B7693" w:rsidRPr="00490C53" w:rsidRDefault="003B7693">
            <w:pPr>
              <w:pStyle w:val="Tabletext"/>
              <w:spacing w:before="0"/>
              <w:jc w:val="center"/>
              <w:rPr>
                <w:rStyle w:val="Bold"/>
                <w:b w:val="0"/>
              </w:rPr>
            </w:pPr>
            <w:r w:rsidRPr="00490C53">
              <w:t>0.131***</w:t>
            </w:r>
            <w:r w:rsidRPr="00490C53">
              <w:br/>
              <w:t>(0.027)</w:t>
            </w:r>
          </w:p>
        </w:tc>
        <w:tc>
          <w:tcPr>
            <w:tcW w:w="999" w:type="pct"/>
            <w:vAlign w:val="center"/>
          </w:tcPr>
          <w:p w14:paraId="75E37144" w14:textId="77777777" w:rsidR="003B7693" w:rsidRPr="00490C53" w:rsidRDefault="003B7693">
            <w:pPr>
              <w:pStyle w:val="Tabletext"/>
              <w:spacing w:before="0"/>
              <w:jc w:val="center"/>
              <w:rPr>
                <w:rStyle w:val="Bold"/>
                <w:b w:val="0"/>
              </w:rPr>
            </w:pPr>
            <w:r w:rsidRPr="00490C53">
              <w:t>0.065</w:t>
            </w:r>
            <w:r w:rsidRPr="00490C53">
              <w:br/>
              <w:t>(0.031)</w:t>
            </w:r>
          </w:p>
        </w:tc>
      </w:tr>
      <w:tr w:rsidR="003B7693" w:rsidRPr="00490C53" w14:paraId="2ECBB85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2A7AF919" w14:textId="77777777" w:rsidR="003B7693" w:rsidRPr="00490C53" w:rsidRDefault="003B7693">
            <w:pPr>
              <w:pStyle w:val="Tabletext"/>
            </w:pPr>
            <w:r w:rsidRPr="00490C53">
              <w:t>South, Borrower, post intervention</w:t>
            </w:r>
          </w:p>
        </w:tc>
        <w:tc>
          <w:tcPr>
            <w:tcW w:w="999" w:type="pct"/>
            <w:vAlign w:val="center"/>
          </w:tcPr>
          <w:p w14:paraId="4AB30BBF" w14:textId="77777777" w:rsidR="003B7693" w:rsidRPr="00490C53" w:rsidRDefault="003B7693">
            <w:pPr>
              <w:pStyle w:val="Tabletext"/>
              <w:spacing w:before="0"/>
              <w:jc w:val="center"/>
              <w:rPr>
                <w:rStyle w:val="Bold"/>
                <w:b w:val="0"/>
              </w:rPr>
            </w:pPr>
            <w:r w:rsidRPr="00490C53">
              <w:t>0.096***</w:t>
            </w:r>
            <w:r w:rsidRPr="00490C53">
              <w:br/>
              <w:t>(0.019)</w:t>
            </w:r>
          </w:p>
        </w:tc>
        <w:tc>
          <w:tcPr>
            <w:tcW w:w="999" w:type="pct"/>
            <w:vAlign w:val="center"/>
          </w:tcPr>
          <w:p w14:paraId="51D68C28" w14:textId="77777777" w:rsidR="003B7693" w:rsidRPr="00490C53" w:rsidRDefault="003B7693">
            <w:pPr>
              <w:pStyle w:val="Tabletext"/>
              <w:spacing w:before="0"/>
              <w:jc w:val="center"/>
              <w:rPr>
                <w:rStyle w:val="Bold"/>
                <w:b w:val="0"/>
              </w:rPr>
            </w:pPr>
            <w:r w:rsidRPr="00490C53">
              <w:t>0.111**</w:t>
            </w:r>
            <w:r w:rsidRPr="00490C53">
              <w:br/>
              <w:t>(0.031)</w:t>
            </w:r>
          </w:p>
        </w:tc>
      </w:tr>
      <w:tr w:rsidR="003B7693" w:rsidRPr="00490C53" w14:paraId="4CE15FD0" w14:textId="77777777">
        <w:tblPrEx>
          <w:tblCellMar>
            <w:left w:w="108" w:type="dxa"/>
            <w:right w:w="108" w:type="dxa"/>
          </w:tblCellMar>
        </w:tblPrEx>
        <w:tc>
          <w:tcPr>
            <w:tcW w:w="3002" w:type="pct"/>
            <w:vAlign w:val="center"/>
          </w:tcPr>
          <w:p w14:paraId="586BCB54" w14:textId="77777777" w:rsidR="003B7693" w:rsidRPr="00490C53" w:rsidRDefault="003B7693">
            <w:pPr>
              <w:pStyle w:val="Tabletext"/>
            </w:pPr>
            <w:r w:rsidRPr="00490C53">
              <w:t>Wales, Borrower, post intervention</w:t>
            </w:r>
          </w:p>
        </w:tc>
        <w:tc>
          <w:tcPr>
            <w:tcW w:w="999" w:type="pct"/>
            <w:vAlign w:val="center"/>
          </w:tcPr>
          <w:p w14:paraId="3A643AAB" w14:textId="77777777" w:rsidR="003B7693" w:rsidRPr="00490C53" w:rsidRDefault="003B7693">
            <w:pPr>
              <w:pStyle w:val="Tabletext"/>
              <w:spacing w:before="0"/>
              <w:jc w:val="center"/>
              <w:rPr>
                <w:rStyle w:val="Bold"/>
                <w:b w:val="0"/>
              </w:rPr>
            </w:pPr>
            <w:r w:rsidRPr="00490C53">
              <w:t>0.110**</w:t>
            </w:r>
            <w:r w:rsidRPr="00490C53">
              <w:br/>
              <w:t>(0.036)</w:t>
            </w:r>
          </w:p>
        </w:tc>
        <w:tc>
          <w:tcPr>
            <w:tcW w:w="999" w:type="pct"/>
            <w:vAlign w:val="center"/>
          </w:tcPr>
          <w:p w14:paraId="322B9434" w14:textId="77777777" w:rsidR="003B7693" w:rsidRPr="00490C53" w:rsidRDefault="003B7693">
            <w:pPr>
              <w:pStyle w:val="Tabletext"/>
              <w:spacing w:before="0"/>
              <w:jc w:val="center"/>
              <w:rPr>
                <w:rStyle w:val="Bold"/>
                <w:b w:val="0"/>
              </w:rPr>
            </w:pPr>
            <w:r w:rsidRPr="00490C53">
              <w:t>0.187***</w:t>
            </w:r>
            <w:r w:rsidRPr="00490C53">
              <w:br/>
              <w:t>(0.037)</w:t>
            </w:r>
          </w:p>
        </w:tc>
      </w:tr>
      <w:tr w:rsidR="003B7693" w:rsidRPr="00490C53" w14:paraId="7D9FAF3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7D258EFE" w14:textId="77777777" w:rsidR="003B7693" w:rsidRPr="00490C53" w:rsidRDefault="003B7693">
            <w:pPr>
              <w:pStyle w:val="Tabletext"/>
            </w:pPr>
            <w:r w:rsidRPr="00490C53">
              <w:t>Used CJRS in 2020</w:t>
            </w:r>
          </w:p>
        </w:tc>
        <w:tc>
          <w:tcPr>
            <w:tcW w:w="999" w:type="pct"/>
            <w:vAlign w:val="center"/>
          </w:tcPr>
          <w:p w14:paraId="24EB9DB6" w14:textId="77777777" w:rsidR="003B7693" w:rsidRPr="00490C53" w:rsidRDefault="003B7693">
            <w:pPr>
              <w:pStyle w:val="Tabletext"/>
              <w:spacing w:before="0"/>
              <w:jc w:val="center"/>
              <w:rPr>
                <w:rStyle w:val="Bold"/>
                <w:b w:val="0"/>
              </w:rPr>
            </w:pPr>
            <w:r w:rsidRPr="00490C53">
              <w:t>0.021***</w:t>
            </w:r>
            <w:r w:rsidRPr="00490C53">
              <w:br/>
              <w:t>(0.004)</w:t>
            </w:r>
          </w:p>
        </w:tc>
        <w:tc>
          <w:tcPr>
            <w:tcW w:w="999" w:type="pct"/>
            <w:vAlign w:val="center"/>
          </w:tcPr>
          <w:p w14:paraId="7E0E1745" w14:textId="77777777" w:rsidR="003B7693" w:rsidRPr="00490C53" w:rsidRDefault="003B7693">
            <w:pPr>
              <w:pStyle w:val="Tabletext"/>
              <w:spacing w:before="0"/>
              <w:jc w:val="center"/>
              <w:rPr>
                <w:rStyle w:val="Bold"/>
                <w:b w:val="0"/>
              </w:rPr>
            </w:pPr>
            <w:r w:rsidRPr="00490C53">
              <w:t>0.052***</w:t>
            </w:r>
            <w:r w:rsidRPr="00490C53">
              <w:br/>
              <w:t>(0.005)</w:t>
            </w:r>
          </w:p>
        </w:tc>
      </w:tr>
      <w:tr w:rsidR="003B7693" w:rsidRPr="00490C53" w14:paraId="38AE0812" w14:textId="77777777">
        <w:tblPrEx>
          <w:tblCellMar>
            <w:left w:w="108" w:type="dxa"/>
            <w:right w:w="108" w:type="dxa"/>
          </w:tblCellMar>
        </w:tblPrEx>
        <w:tc>
          <w:tcPr>
            <w:tcW w:w="3002" w:type="pct"/>
            <w:vAlign w:val="center"/>
          </w:tcPr>
          <w:p w14:paraId="7210F830" w14:textId="77777777" w:rsidR="003B7693" w:rsidRPr="00490C53" w:rsidDel="000A1204" w:rsidRDefault="003B7693">
            <w:pPr>
              <w:pStyle w:val="Tabletext"/>
            </w:pPr>
            <w:r w:rsidRPr="00490C53">
              <w:t>Constant</w:t>
            </w:r>
          </w:p>
        </w:tc>
        <w:tc>
          <w:tcPr>
            <w:tcW w:w="999" w:type="pct"/>
            <w:vAlign w:val="center"/>
          </w:tcPr>
          <w:p w14:paraId="100E405A" w14:textId="77777777" w:rsidR="003B7693" w:rsidRPr="00490C53" w:rsidRDefault="003B7693">
            <w:pPr>
              <w:pStyle w:val="Tabletext"/>
              <w:spacing w:before="0"/>
              <w:jc w:val="center"/>
              <w:rPr>
                <w:rStyle w:val="Bold"/>
                <w:b w:val="0"/>
              </w:rPr>
            </w:pPr>
            <w:r w:rsidRPr="00490C53">
              <w:t>13.060***</w:t>
            </w:r>
            <w:r w:rsidRPr="00490C53">
              <w:br/>
              <w:t>(0.005)</w:t>
            </w:r>
          </w:p>
        </w:tc>
        <w:tc>
          <w:tcPr>
            <w:tcW w:w="999" w:type="pct"/>
            <w:vAlign w:val="center"/>
          </w:tcPr>
          <w:p w14:paraId="0DC77A5D" w14:textId="77777777" w:rsidR="003B7693" w:rsidRPr="00490C53" w:rsidRDefault="003B7693">
            <w:pPr>
              <w:pStyle w:val="Tabletext"/>
              <w:spacing w:before="0"/>
              <w:jc w:val="center"/>
              <w:rPr>
                <w:rStyle w:val="Bold"/>
                <w:b w:val="0"/>
              </w:rPr>
            </w:pPr>
            <w:r w:rsidRPr="00490C53">
              <w:t>14.464***</w:t>
            </w:r>
            <w:r w:rsidRPr="00490C53">
              <w:br/>
              <w:t>(0.002)</w:t>
            </w:r>
          </w:p>
        </w:tc>
      </w:tr>
      <w:tr w:rsidR="003B7693" w:rsidRPr="00490C53" w14:paraId="759AA903"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tcBorders>
              <w:top w:val="single" w:sz="4" w:space="0" w:color="0054BA"/>
            </w:tcBorders>
            <w:vAlign w:val="center"/>
          </w:tcPr>
          <w:p w14:paraId="07785C8E" w14:textId="77777777" w:rsidR="003B7693" w:rsidRPr="00490C53" w:rsidRDefault="003B7693">
            <w:pPr>
              <w:pStyle w:val="Tabletext"/>
            </w:pPr>
            <w:r w:rsidRPr="00490C53">
              <w:t>Observations</w:t>
            </w:r>
          </w:p>
        </w:tc>
        <w:tc>
          <w:tcPr>
            <w:tcW w:w="999" w:type="pct"/>
            <w:tcBorders>
              <w:top w:val="single" w:sz="4" w:space="0" w:color="0054BA"/>
            </w:tcBorders>
            <w:vAlign w:val="center"/>
          </w:tcPr>
          <w:p w14:paraId="2F836809" w14:textId="77777777" w:rsidR="003B7693" w:rsidRPr="00490C53" w:rsidRDefault="003B7693">
            <w:pPr>
              <w:pStyle w:val="Tabletext"/>
              <w:jc w:val="center"/>
              <w:rPr>
                <w:rStyle w:val="Bold"/>
                <w:b w:val="0"/>
              </w:rPr>
            </w:pPr>
            <w:r w:rsidRPr="00490C53">
              <w:t>268,738</w:t>
            </w:r>
          </w:p>
        </w:tc>
        <w:tc>
          <w:tcPr>
            <w:tcW w:w="999" w:type="pct"/>
            <w:tcBorders>
              <w:top w:val="single" w:sz="4" w:space="0" w:color="0054BA"/>
            </w:tcBorders>
            <w:vAlign w:val="center"/>
          </w:tcPr>
          <w:p w14:paraId="5F3B00CD" w14:textId="77777777" w:rsidR="003B7693" w:rsidRPr="00490C53" w:rsidRDefault="003B7693">
            <w:pPr>
              <w:pStyle w:val="Tabletext"/>
              <w:jc w:val="center"/>
              <w:rPr>
                <w:rStyle w:val="Bold"/>
                <w:b w:val="0"/>
              </w:rPr>
            </w:pPr>
            <w:r w:rsidRPr="00490C53">
              <w:t>157,576</w:t>
            </w:r>
          </w:p>
        </w:tc>
      </w:tr>
      <w:tr w:rsidR="003B7693" w:rsidRPr="00490C53" w14:paraId="0D0944B6" w14:textId="77777777">
        <w:tblPrEx>
          <w:tblCellMar>
            <w:left w:w="108" w:type="dxa"/>
            <w:right w:w="108" w:type="dxa"/>
          </w:tblCellMar>
        </w:tblPrEx>
        <w:tc>
          <w:tcPr>
            <w:tcW w:w="3002" w:type="pct"/>
            <w:vAlign w:val="center"/>
          </w:tcPr>
          <w:p w14:paraId="4952D18C" w14:textId="77777777" w:rsidR="003B7693" w:rsidRPr="00490C53" w:rsidRDefault="003B7693">
            <w:pPr>
              <w:pStyle w:val="Tabletext"/>
            </w:pPr>
            <w:r w:rsidRPr="00490C53">
              <w:t>R-squared</w:t>
            </w:r>
          </w:p>
        </w:tc>
        <w:tc>
          <w:tcPr>
            <w:tcW w:w="999" w:type="pct"/>
            <w:vAlign w:val="center"/>
          </w:tcPr>
          <w:p w14:paraId="093DD2A3" w14:textId="77777777" w:rsidR="003B7693" w:rsidRPr="00490C53" w:rsidRDefault="003B7693">
            <w:pPr>
              <w:pStyle w:val="Tabletext"/>
              <w:jc w:val="center"/>
              <w:rPr>
                <w:rStyle w:val="Bold"/>
                <w:b w:val="0"/>
              </w:rPr>
            </w:pPr>
            <w:r w:rsidRPr="00490C53">
              <w:t>0.008</w:t>
            </w:r>
          </w:p>
        </w:tc>
        <w:tc>
          <w:tcPr>
            <w:tcW w:w="999" w:type="pct"/>
            <w:vAlign w:val="center"/>
          </w:tcPr>
          <w:p w14:paraId="23C66479" w14:textId="77777777" w:rsidR="003B7693" w:rsidRPr="00490C53" w:rsidRDefault="003B7693">
            <w:pPr>
              <w:pStyle w:val="Tabletext"/>
              <w:jc w:val="center"/>
              <w:rPr>
                <w:rStyle w:val="Bold"/>
                <w:b w:val="0"/>
              </w:rPr>
            </w:pPr>
            <w:r w:rsidRPr="00490C53">
              <w:t>0.011</w:t>
            </w:r>
          </w:p>
        </w:tc>
      </w:tr>
      <w:tr w:rsidR="003B7693" w:rsidRPr="00490C53" w14:paraId="2E8D05A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tcBorders>
              <w:bottom w:val="single" w:sz="4" w:space="0" w:color="0054BA" w:themeColor="accent2"/>
            </w:tcBorders>
            <w:vAlign w:val="center"/>
          </w:tcPr>
          <w:p w14:paraId="379DA9EC" w14:textId="77777777" w:rsidR="003B7693" w:rsidRPr="00490C53" w:rsidRDefault="003B7693">
            <w:pPr>
              <w:pStyle w:val="Tabletext"/>
            </w:pPr>
            <w:r w:rsidRPr="00490C53">
              <w:t>Business fixed effects</w:t>
            </w:r>
          </w:p>
        </w:tc>
        <w:tc>
          <w:tcPr>
            <w:tcW w:w="999" w:type="pct"/>
            <w:tcBorders>
              <w:bottom w:val="single" w:sz="4" w:space="0" w:color="0054BA" w:themeColor="accent2"/>
            </w:tcBorders>
            <w:vAlign w:val="center"/>
          </w:tcPr>
          <w:p w14:paraId="368C983A" w14:textId="77777777" w:rsidR="003B7693" w:rsidRPr="00490C53" w:rsidRDefault="003B7693">
            <w:pPr>
              <w:pStyle w:val="Tabletext"/>
              <w:spacing w:before="0" w:line="240" w:lineRule="auto"/>
              <w:jc w:val="center"/>
              <w:rPr>
                <w:rStyle w:val="Bold"/>
                <w:rFonts w:cstheme="minorHAnsi"/>
                <w:sz w:val="22"/>
              </w:rPr>
            </w:pPr>
            <w:r w:rsidRPr="00490C53">
              <w:t>Yes</w:t>
            </w:r>
          </w:p>
        </w:tc>
        <w:tc>
          <w:tcPr>
            <w:tcW w:w="999" w:type="pct"/>
            <w:tcBorders>
              <w:bottom w:val="single" w:sz="4" w:space="0" w:color="0054BA" w:themeColor="accent2"/>
            </w:tcBorders>
            <w:vAlign w:val="center"/>
          </w:tcPr>
          <w:p w14:paraId="4AB8CC93" w14:textId="77777777" w:rsidR="003B7693" w:rsidRPr="00490C53" w:rsidRDefault="003B7693">
            <w:pPr>
              <w:pStyle w:val="Tabletext"/>
              <w:spacing w:before="0" w:line="240" w:lineRule="auto"/>
              <w:jc w:val="center"/>
              <w:rPr>
                <w:rStyle w:val="Bold"/>
                <w:rFonts w:cstheme="minorHAnsi"/>
                <w:sz w:val="22"/>
              </w:rPr>
            </w:pPr>
            <w:r w:rsidRPr="00490C53">
              <w:t>Yes</w:t>
            </w:r>
          </w:p>
        </w:tc>
      </w:tr>
    </w:tbl>
    <w:p w14:paraId="731DF6B5" w14:textId="076DA249" w:rsidR="003B7693" w:rsidRPr="00490C53" w:rsidRDefault="00DA466B" w:rsidP="003B7693">
      <w:pPr>
        <w:pStyle w:val="Caption"/>
      </w:pPr>
      <w:r>
        <w:t xml:space="preserve">Note: </w:t>
      </w:r>
      <w:r w:rsidR="003B7693" w:rsidRPr="00490C53">
        <w:t>Robust standard errors in parentheses. *** p-value&lt;0.01, ** p-value&lt;0.05, * p-value&lt;0.1. Source: London Economics’ analysis of IDBR data</w:t>
      </w:r>
      <w:r w:rsidR="00E6301D">
        <w:rPr>
          <w:rStyle w:val="Emphasis"/>
          <w:b w:val="0"/>
          <w:bCs/>
          <w:color w:val="555674"/>
        </w:rPr>
        <w:t>, BBB Portal Data and HMRC Coronavirus Job Retention Scheme</w:t>
      </w:r>
      <w:r w:rsidR="00E6301D" w:rsidRPr="00F269C4">
        <w:rPr>
          <w:rStyle w:val="Emphasis"/>
          <w:b w:val="0"/>
          <w:bCs/>
          <w:color w:val="555674"/>
        </w:rPr>
        <w:t xml:space="preserve"> (CJRS) data</w:t>
      </w:r>
      <w:r w:rsidR="00E6301D" w:rsidRPr="006E5CA3">
        <w:rPr>
          <w:rStyle w:val="Emphasis"/>
          <w:b w:val="0"/>
          <w:color w:val="555674"/>
        </w:rPr>
        <w:t>.</w:t>
      </w:r>
    </w:p>
    <w:p w14:paraId="5F8E7C4E" w14:textId="29DB8DD1" w:rsidR="003B7693" w:rsidRPr="00490C53" w:rsidRDefault="003B7693" w:rsidP="003B7693">
      <w:pPr>
        <w:pStyle w:val="Heading5"/>
      </w:pPr>
      <w:bookmarkStart w:id="315" w:name="_Ref146215512"/>
      <w:bookmarkStart w:id="316" w:name="_Ref123911562"/>
      <w:r w:rsidRPr="00490C53">
        <w:t xml:space="preserve">Table </w:t>
      </w:r>
      <w:r w:rsidRPr="00490C53">
        <w:fldChar w:fldCharType="begin"/>
      </w:r>
      <w:r w:rsidRPr="00490C53">
        <w:instrText>SEQ Table \* ARABIC</w:instrText>
      </w:r>
      <w:r w:rsidRPr="00490C53">
        <w:fldChar w:fldCharType="separate"/>
      </w:r>
      <w:r w:rsidR="00397D49">
        <w:rPr>
          <w:noProof/>
        </w:rPr>
        <w:t>51</w:t>
      </w:r>
      <w:r w:rsidRPr="00490C53">
        <w:fldChar w:fldCharType="end"/>
      </w:r>
      <w:bookmarkEnd w:id="315"/>
      <w:r w:rsidRPr="00490C53">
        <w:t xml:space="preserve">: Estimated impact of the Covid-19 Loan Guarantee Schemes on employment – by region – </w:t>
      </w:r>
      <w:r w:rsidR="007B6D96">
        <w:t>Secondary analysis</w:t>
      </w:r>
      <w:r w:rsidR="007B6D96" w:rsidRPr="00490C53">
        <w:t xml:space="preserve"> </w:t>
      </w:r>
      <w:r w:rsidRPr="00490C53">
        <w:t>of Year 1 impacts</w:t>
      </w:r>
      <w:bookmarkEnd w:id="316"/>
    </w:p>
    <w:tbl>
      <w:tblPr>
        <w:tblStyle w:val="TableGrid"/>
        <w:tblW w:w="5000" w:type="pct"/>
        <w:tblLook w:val="04A0" w:firstRow="1" w:lastRow="0" w:firstColumn="1" w:lastColumn="0" w:noHBand="0" w:noVBand="1"/>
      </w:tblPr>
      <w:tblGrid>
        <w:gridCol w:w="6096"/>
        <w:gridCol w:w="2029"/>
        <w:gridCol w:w="2029"/>
      </w:tblGrid>
      <w:tr w:rsidR="003B7693" w:rsidRPr="00490C53" w14:paraId="1AF084CE" w14:textId="77777777">
        <w:trPr>
          <w:cnfStyle w:val="100000000000" w:firstRow="1" w:lastRow="0" w:firstColumn="0" w:lastColumn="0" w:oddVBand="0" w:evenVBand="0" w:oddHBand="0" w:evenHBand="0" w:firstRowFirstColumn="0" w:firstRowLastColumn="0" w:lastRowFirstColumn="0" w:lastRowLastColumn="0"/>
          <w:tblHeader/>
        </w:trPr>
        <w:tc>
          <w:tcPr>
            <w:tcW w:w="3002" w:type="pct"/>
          </w:tcPr>
          <w:p w14:paraId="7843B498" w14:textId="77777777" w:rsidR="003B7693" w:rsidRPr="00490C53" w:rsidRDefault="003B7693">
            <w:pPr>
              <w:pStyle w:val="Tablecolumnheading-inkblue"/>
              <w:rPr>
                <w:b w:val="0"/>
                <w:color w:val="FFFFFF" w:themeColor="background1"/>
                <w:sz w:val="22"/>
                <w:szCs w:val="20"/>
              </w:rPr>
            </w:pPr>
            <w:r w:rsidRPr="00490C53">
              <w:rPr>
                <w:color w:val="FFFFFF" w:themeColor="background1"/>
                <w:sz w:val="22"/>
                <w:szCs w:val="20"/>
              </w:rPr>
              <w:t>Variable</w:t>
            </w:r>
          </w:p>
        </w:tc>
        <w:tc>
          <w:tcPr>
            <w:tcW w:w="999" w:type="pct"/>
          </w:tcPr>
          <w:p w14:paraId="58741983" w14:textId="77777777" w:rsidR="003B7693" w:rsidRPr="00490C53" w:rsidRDefault="003B7693">
            <w:pPr>
              <w:pStyle w:val="Tablecolumnheading-inkblue"/>
              <w:jc w:val="center"/>
              <w:rPr>
                <w:bCs/>
                <w:color w:val="FFFFFF" w:themeColor="background1"/>
                <w:sz w:val="22"/>
                <w:szCs w:val="20"/>
              </w:rPr>
            </w:pPr>
            <w:r w:rsidRPr="00490C53">
              <w:rPr>
                <w:bCs/>
                <w:color w:val="FFFFFF" w:themeColor="background1"/>
                <w:sz w:val="22"/>
                <w:szCs w:val="20"/>
              </w:rPr>
              <w:t>BBLS</w:t>
            </w:r>
          </w:p>
        </w:tc>
        <w:tc>
          <w:tcPr>
            <w:tcW w:w="999" w:type="pct"/>
          </w:tcPr>
          <w:p w14:paraId="79039ED0" w14:textId="77777777" w:rsidR="003B7693" w:rsidRPr="00490C53" w:rsidRDefault="003B7693">
            <w:pPr>
              <w:pStyle w:val="Tablecolumnheading-inkblue"/>
              <w:jc w:val="center"/>
              <w:rPr>
                <w:bCs/>
                <w:color w:val="FFFFFF" w:themeColor="background1"/>
                <w:sz w:val="22"/>
                <w:szCs w:val="20"/>
              </w:rPr>
            </w:pPr>
            <w:r w:rsidRPr="00490C53">
              <w:rPr>
                <w:bCs/>
                <w:color w:val="FFFFFF" w:themeColor="background1"/>
                <w:sz w:val="22"/>
                <w:szCs w:val="20"/>
              </w:rPr>
              <w:t>CBILS/CLBILS</w:t>
            </w:r>
          </w:p>
        </w:tc>
      </w:tr>
      <w:tr w:rsidR="003B7693" w:rsidRPr="00490C53" w14:paraId="6FC8414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18239467" w14:textId="77777777" w:rsidR="003B7693" w:rsidRPr="00490C53" w:rsidRDefault="003B7693">
            <w:pPr>
              <w:pStyle w:val="Tabletext"/>
            </w:pPr>
            <w:r w:rsidRPr="00490C53">
              <w:t xml:space="preserve">East / Midlands, post intervention </w:t>
            </w:r>
          </w:p>
        </w:tc>
        <w:tc>
          <w:tcPr>
            <w:tcW w:w="999" w:type="pct"/>
            <w:vAlign w:val="center"/>
          </w:tcPr>
          <w:p w14:paraId="2800E46C" w14:textId="77777777" w:rsidR="003B7693" w:rsidRPr="00490C53" w:rsidRDefault="003B7693">
            <w:pPr>
              <w:pStyle w:val="Tabletext"/>
              <w:spacing w:before="0"/>
              <w:jc w:val="center"/>
              <w:rPr>
                <w:rStyle w:val="Bold"/>
                <w:b w:val="0"/>
              </w:rPr>
            </w:pPr>
            <w:r w:rsidRPr="00490C53">
              <w:t>-0.026***</w:t>
            </w:r>
            <w:r w:rsidRPr="00490C53">
              <w:br/>
              <w:t>(0.005)</w:t>
            </w:r>
          </w:p>
        </w:tc>
        <w:tc>
          <w:tcPr>
            <w:tcW w:w="999" w:type="pct"/>
            <w:vAlign w:val="center"/>
          </w:tcPr>
          <w:p w14:paraId="4547D522" w14:textId="77777777" w:rsidR="003B7693" w:rsidRPr="00490C53" w:rsidRDefault="003B7693">
            <w:pPr>
              <w:pStyle w:val="Tabletext"/>
              <w:spacing w:before="0"/>
              <w:jc w:val="center"/>
              <w:rPr>
                <w:rStyle w:val="Bold"/>
                <w:b w:val="0"/>
              </w:rPr>
            </w:pPr>
            <w:r w:rsidRPr="00490C53">
              <w:t>-0.059***</w:t>
            </w:r>
            <w:r w:rsidRPr="00490C53">
              <w:br/>
              <w:t>(0.009)</w:t>
            </w:r>
          </w:p>
        </w:tc>
      </w:tr>
      <w:tr w:rsidR="003B7693" w:rsidRPr="00490C53" w14:paraId="51192946" w14:textId="77777777">
        <w:tblPrEx>
          <w:tblCellMar>
            <w:left w:w="108" w:type="dxa"/>
            <w:right w:w="108" w:type="dxa"/>
          </w:tblCellMar>
        </w:tblPrEx>
        <w:tc>
          <w:tcPr>
            <w:tcW w:w="3002" w:type="pct"/>
            <w:vAlign w:val="center"/>
          </w:tcPr>
          <w:p w14:paraId="707D4F61" w14:textId="77777777" w:rsidR="003B7693" w:rsidRPr="00490C53" w:rsidRDefault="003B7693">
            <w:pPr>
              <w:pStyle w:val="Tabletext"/>
            </w:pPr>
            <w:r w:rsidRPr="00490C53">
              <w:lastRenderedPageBreak/>
              <w:t xml:space="preserve">London, post intervention </w:t>
            </w:r>
          </w:p>
        </w:tc>
        <w:tc>
          <w:tcPr>
            <w:tcW w:w="999" w:type="pct"/>
            <w:vAlign w:val="center"/>
          </w:tcPr>
          <w:p w14:paraId="125B2F8E" w14:textId="77777777" w:rsidR="003B7693" w:rsidRPr="00490C53" w:rsidRDefault="003B7693">
            <w:pPr>
              <w:pStyle w:val="Tabletext"/>
              <w:spacing w:before="0"/>
              <w:jc w:val="center"/>
              <w:rPr>
                <w:rStyle w:val="Bold"/>
                <w:b w:val="0"/>
              </w:rPr>
            </w:pPr>
            <w:r w:rsidRPr="00490C53">
              <w:t>-0.040**</w:t>
            </w:r>
            <w:r w:rsidRPr="00490C53">
              <w:br/>
              <w:t>(0.010)</w:t>
            </w:r>
          </w:p>
        </w:tc>
        <w:tc>
          <w:tcPr>
            <w:tcW w:w="999" w:type="pct"/>
            <w:vAlign w:val="center"/>
          </w:tcPr>
          <w:p w14:paraId="4F3C230A" w14:textId="77777777" w:rsidR="003B7693" w:rsidRPr="00490C53" w:rsidRDefault="003B7693">
            <w:pPr>
              <w:pStyle w:val="Tabletext"/>
              <w:spacing w:before="0"/>
              <w:jc w:val="center"/>
              <w:rPr>
                <w:rStyle w:val="Bold"/>
                <w:b w:val="0"/>
              </w:rPr>
            </w:pPr>
            <w:r w:rsidRPr="00490C53">
              <w:t>-0.068**</w:t>
            </w:r>
            <w:r w:rsidRPr="00490C53">
              <w:br/>
              <w:t>(0.019)</w:t>
            </w:r>
          </w:p>
        </w:tc>
      </w:tr>
      <w:tr w:rsidR="003B7693" w:rsidRPr="00490C53" w14:paraId="2101E79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4D5138D2" w14:textId="77777777" w:rsidR="003B7693" w:rsidRPr="00490C53" w:rsidRDefault="003B7693">
            <w:pPr>
              <w:pStyle w:val="Tabletext"/>
            </w:pPr>
            <w:r w:rsidRPr="00490C53">
              <w:t xml:space="preserve">North / Yorkshire, post intervention </w:t>
            </w:r>
          </w:p>
        </w:tc>
        <w:tc>
          <w:tcPr>
            <w:tcW w:w="999" w:type="pct"/>
            <w:vAlign w:val="center"/>
          </w:tcPr>
          <w:p w14:paraId="3FFDBAB0" w14:textId="77777777" w:rsidR="003B7693" w:rsidRPr="00490C53" w:rsidRDefault="003B7693">
            <w:pPr>
              <w:pStyle w:val="Tabletext"/>
              <w:spacing w:before="0"/>
              <w:jc w:val="center"/>
              <w:rPr>
                <w:rStyle w:val="Bold"/>
                <w:b w:val="0"/>
              </w:rPr>
            </w:pPr>
            <w:r w:rsidRPr="00490C53">
              <w:t>-0.041***</w:t>
            </w:r>
            <w:r w:rsidRPr="00490C53">
              <w:br/>
              <w:t>(0.009)</w:t>
            </w:r>
          </w:p>
        </w:tc>
        <w:tc>
          <w:tcPr>
            <w:tcW w:w="999" w:type="pct"/>
            <w:vAlign w:val="center"/>
          </w:tcPr>
          <w:p w14:paraId="03EFC915" w14:textId="77777777" w:rsidR="003B7693" w:rsidRPr="00490C53" w:rsidRDefault="003B7693">
            <w:pPr>
              <w:pStyle w:val="Tabletext"/>
              <w:spacing w:before="0"/>
              <w:jc w:val="center"/>
              <w:rPr>
                <w:rStyle w:val="Bold"/>
                <w:b w:val="0"/>
              </w:rPr>
            </w:pPr>
            <w:r w:rsidRPr="00490C53">
              <w:t>-0.045***</w:t>
            </w:r>
            <w:r w:rsidRPr="00490C53">
              <w:br/>
              <w:t>(0.008)</w:t>
            </w:r>
          </w:p>
        </w:tc>
      </w:tr>
      <w:tr w:rsidR="003B7693" w:rsidRPr="00490C53" w14:paraId="75E2579A" w14:textId="77777777">
        <w:tblPrEx>
          <w:tblCellMar>
            <w:left w:w="108" w:type="dxa"/>
            <w:right w:w="108" w:type="dxa"/>
          </w:tblCellMar>
        </w:tblPrEx>
        <w:tc>
          <w:tcPr>
            <w:tcW w:w="3002" w:type="pct"/>
            <w:vAlign w:val="center"/>
          </w:tcPr>
          <w:p w14:paraId="611F930E" w14:textId="77777777" w:rsidR="003B7693" w:rsidRPr="00490C53" w:rsidRDefault="003B7693">
            <w:pPr>
              <w:pStyle w:val="Tabletext"/>
            </w:pPr>
            <w:r w:rsidRPr="00490C53">
              <w:t xml:space="preserve">Northern Ireland, post intervention </w:t>
            </w:r>
          </w:p>
        </w:tc>
        <w:tc>
          <w:tcPr>
            <w:tcW w:w="999" w:type="pct"/>
            <w:vAlign w:val="center"/>
          </w:tcPr>
          <w:p w14:paraId="13596731" w14:textId="77777777" w:rsidR="003B7693" w:rsidRPr="00490C53" w:rsidRDefault="003B7693">
            <w:pPr>
              <w:pStyle w:val="Tabletext"/>
              <w:spacing w:before="0"/>
              <w:jc w:val="center"/>
              <w:rPr>
                <w:rStyle w:val="Bold"/>
                <w:b w:val="0"/>
              </w:rPr>
            </w:pPr>
            <w:r w:rsidRPr="00490C53">
              <w:t>0.003</w:t>
            </w:r>
            <w:r w:rsidRPr="00490C53">
              <w:br/>
              <w:t>(0.033)</w:t>
            </w:r>
          </w:p>
        </w:tc>
        <w:tc>
          <w:tcPr>
            <w:tcW w:w="999" w:type="pct"/>
            <w:vAlign w:val="center"/>
          </w:tcPr>
          <w:p w14:paraId="67D873E0" w14:textId="77777777" w:rsidR="003B7693" w:rsidRPr="00490C53" w:rsidRDefault="003B7693">
            <w:pPr>
              <w:pStyle w:val="Tabletext"/>
              <w:spacing w:before="0"/>
              <w:jc w:val="center"/>
              <w:rPr>
                <w:rStyle w:val="Bold"/>
                <w:b w:val="0"/>
              </w:rPr>
            </w:pPr>
            <w:r w:rsidRPr="00490C53">
              <w:t>0.004</w:t>
            </w:r>
            <w:r w:rsidRPr="00490C53">
              <w:br/>
              <w:t>(0.015)</w:t>
            </w:r>
          </w:p>
        </w:tc>
      </w:tr>
      <w:tr w:rsidR="003B7693" w:rsidRPr="00490C53" w14:paraId="445DA59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0747991F" w14:textId="77777777" w:rsidR="003B7693" w:rsidRPr="00490C53" w:rsidRDefault="003B7693">
            <w:pPr>
              <w:pStyle w:val="Tabletext"/>
            </w:pPr>
            <w:r w:rsidRPr="00490C53">
              <w:t>Scotland, post intervention</w:t>
            </w:r>
          </w:p>
        </w:tc>
        <w:tc>
          <w:tcPr>
            <w:tcW w:w="999" w:type="pct"/>
            <w:vAlign w:val="center"/>
          </w:tcPr>
          <w:p w14:paraId="60C9FC92" w14:textId="77777777" w:rsidR="003B7693" w:rsidRPr="00490C53" w:rsidRDefault="003B7693">
            <w:pPr>
              <w:pStyle w:val="Tabletext"/>
              <w:spacing w:before="0"/>
              <w:jc w:val="center"/>
              <w:rPr>
                <w:rStyle w:val="Bold"/>
                <w:b w:val="0"/>
              </w:rPr>
            </w:pPr>
            <w:r w:rsidRPr="00490C53">
              <w:t>-0.080***</w:t>
            </w:r>
            <w:r w:rsidRPr="00490C53">
              <w:br/>
              <w:t>(0.010)</w:t>
            </w:r>
          </w:p>
        </w:tc>
        <w:tc>
          <w:tcPr>
            <w:tcW w:w="999" w:type="pct"/>
            <w:vAlign w:val="center"/>
          </w:tcPr>
          <w:p w14:paraId="3FEB63BA" w14:textId="77777777" w:rsidR="003B7693" w:rsidRPr="00490C53" w:rsidRDefault="003B7693">
            <w:pPr>
              <w:pStyle w:val="Tabletext"/>
              <w:spacing w:before="0"/>
              <w:jc w:val="center"/>
              <w:rPr>
                <w:rStyle w:val="Bold"/>
                <w:b w:val="0"/>
              </w:rPr>
            </w:pPr>
            <w:r w:rsidRPr="00490C53">
              <w:t>-0.059**</w:t>
            </w:r>
            <w:r w:rsidRPr="00490C53">
              <w:br/>
              <w:t>(0.015)</w:t>
            </w:r>
          </w:p>
        </w:tc>
      </w:tr>
      <w:tr w:rsidR="003B7693" w:rsidRPr="00490C53" w14:paraId="01F26E4A" w14:textId="77777777">
        <w:tblPrEx>
          <w:tblCellMar>
            <w:left w:w="108" w:type="dxa"/>
            <w:right w:w="108" w:type="dxa"/>
          </w:tblCellMar>
        </w:tblPrEx>
        <w:tc>
          <w:tcPr>
            <w:tcW w:w="3002" w:type="pct"/>
            <w:vAlign w:val="center"/>
          </w:tcPr>
          <w:p w14:paraId="57A79070" w14:textId="77777777" w:rsidR="003B7693" w:rsidRPr="00490C53" w:rsidRDefault="003B7693">
            <w:pPr>
              <w:pStyle w:val="Tabletext"/>
            </w:pPr>
            <w:r w:rsidRPr="00490C53">
              <w:t>South, post intervention</w:t>
            </w:r>
          </w:p>
        </w:tc>
        <w:tc>
          <w:tcPr>
            <w:tcW w:w="999" w:type="pct"/>
            <w:vAlign w:val="center"/>
          </w:tcPr>
          <w:p w14:paraId="525D040F" w14:textId="77777777" w:rsidR="003B7693" w:rsidRPr="00490C53" w:rsidRDefault="003B7693">
            <w:pPr>
              <w:pStyle w:val="Tabletext"/>
              <w:spacing w:before="0"/>
              <w:jc w:val="center"/>
              <w:rPr>
                <w:rStyle w:val="Bold"/>
                <w:b w:val="0"/>
              </w:rPr>
            </w:pPr>
            <w:r w:rsidRPr="00490C53">
              <w:t>-0.042***</w:t>
            </w:r>
            <w:r w:rsidRPr="00490C53">
              <w:br/>
              <w:t>(0.006)</w:t>
            </w:r>
          </w:p>
        </w:tc>
        <w:tc>
          <w:tcPr>
            <w:tcW w:w="999" w:type="pct"/>
            <w:vAlign w:val="center"/>
          </w:tcPr>
          <w:p w14:paraId="55719874" w14:textId="77777777" w:rsidR="003B7693" w:rsidRPr="00490C53" w:rsidRDefault="003B7693">
            <w:pPr>
              <w:pStyle w:val="Tabletext"/>
              <w:spacing w:before="0"/>
              <w:jc w:val="center"/>
              <w:rPr>
                <w:rStyle w:val="Bold"/>
                <w:b w:val="0"/>
              </w:rPr>
            </w:pPr>
            <w:r w:rsidRPr="00490C53">
              <w:t>-0.068***</w:t>
            </w:r>
            <w:r w:rsidRPr="00490C53">
              <w:br/>
              <w:t>(0.006)</w:t>
            </w:r>
          </w:p>
        </w:tc>
      </w:tr>
      <w:tr w:rsidR="003B7693" w:rsidRPr="00490C53" w14:paraId="548183D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4C7DBFAF" w14:textId="77777777" w:rsidR="003B7693" w:rsidRPr="00490C53" w:rsidRDefault="003B7693">
            <w:pPr>
              <w:pStyle w:val="Tabletext"/>
            </w:pPr>
            <w:r w:rsidRPr="00490C53">
              <w:t>Wales, post intervention</w:t>
            </w:r>
          </w:p>
        </w:tc>
        <w:tc>
          <w:tcPr>
            <w:tcW w:w="999" w:type="pct"/>
            <w:vAlign w:val="center"/>
          </w:tcPr>
          <w:p w14:paraId="0F2F7C43" w14:textId="77777777" w:rsidR="003B7693" w:rsidRPr="00490C53" w:rsidRDefault="003B7693">
            <w:pPr>
              <w:pStyle w:val="Tabletext"/>
              <w:spacing w:before="0"/>
              <w:jc w:val="center"/>
              <w:rPr>
                <w:rStyle w:val="Bold"/>
                <w:b w:val="0"/>
              </w:rPr>
            </w:pPr>
            <w:r w:rsidRPr="00490C53">
              <w:t>-0.050**</w:t>
            </w:r>
            <w:r w:rsidRPr="00490C53">
              <w:br/>
              <w:t>(0.013)</w:t>
            </w:r>
          </w:p>
        </w:tc>
        <w:tc>
          <w:tcPr>
            <w:tcW w:w="999" w:type="pct"/>
            <w:vAlign w:val="center"/>
          </w:tcPr>
          <w:p w14:paraId="2BBEDF19" w14:textId="77777777" w:rsidR="003B7693" w:rsidRPr="00490C53" w:rsidRDefault="003B7693">
            <w:pPr>
              <w:pStyle w:val="Tabletext"/>
              <w:spacing w:before="0"/>
              <w:jc w:val="center"/>
              <w:rPr>
                <w:rStyle w:val="Bold"/>
                <w:b w:val="0"/>
              </w:rPr>
            </w:pPr>
            <w:r w:rsidRPr="00490C53">
              <w:t>-0.095***</w:t>
            </w:r>
            <w:r w:rsidRPr="00490C53">
              <w:br/>
              <w:t>(0.019)</w:t>
            </w:r>
          </w:p>
        </w:tc>
      </w:tr>
      <w:tr w:rsidR="003B7693" w:rsidRPr="00490C53" w14:paraId="07B280ED" w14:textId="77777777">
        <w:tblPrEx>
          <w:tblCellMar>
            <w:left w:w="108" w:type="dxa"/>
            <w:right w:w="108" w:type="dxa"/>
          </w:tblCellMar>
        </w:tblPrEx>
        <w:tc>
          <w:tcPr>
            <w:tcW w:w="3002" w:type="pct"/>
            <w:vAlign w:val="center"/>
          </w:tcPr>
          <w:p w14:paraId="07ACC7EC" w14:textId="77777777" w:rsidR="003B7693" w:rsidRPr="00490C53" w:rsidRDefault="003B7693">
            <w:pPr>
              <w:pStyle w:val="Tabletext"/>
            </w:pPr>
            <w:r w:rsidRPr="00490C53">
              <w:t>East / Midlands, Borrower, post intervention</w:t>
            </w:r>
          </w:p>
        </w:tc>
        <w:tc>
          <w:tcPr>
            <w:tcW w:w="999" w:type="pct"/>
            <w:vAlign w:val="center"/>
          </w:tcPr>
          <w:p w14:paraId="0A7E6E45" w14:textId="77777777" w:rsidR="003B7693" w:rsidRPr="00490C53" w:rsidRDefault="003B7693">
            <w:pPr>
              <w:pStyle w:val="Tabletext"/>
              <w:spacing w:before="0"/>
              <w:jc w:val="center"/>
              <w:rPr>
                <w:rStyle w:val="Bold"/>
                <w:b w:val="0"/>
              </w:rPr>
            </w:pPr>
            <w:r w:rsidRPr="00490C53">
              <w:t>0.045***</w:t>
            </w:r>
            <w:r w:rsidRPr="00490C53">
              <w:br/>
              <w:t>(0.006)</w:t>
            </w:r>
          </w:p>
        </w:tc>
        <w:tc>
          <w:tcPr>
            <w:tcW w:w="999" w:type="pct"/>
            <w:vAlign w:val="center"/>
          </w:tcPr>
          <w:p w14:paraId="2F59161F" w14:textId="77777777" w:rsidR="003B7693" w:rsidRPr="00490C53" w:rsidRDefault="003B7693">
            <w:pPr>
              <w:pStyle w:val="Tabletext"/>
              <w:spacing w:before="0"/>
              <w:jc w:val="center"/>
              <w:rPr>
                <w:rStyle w:val="Bold"/>
                <w:b w:val="0"/>
              </w:rPr>
            </w:pPr>
            <w:r w:rsidRPr="00490C53">
              <w:t>0.086***</w:t>
            </w:r>
            <w:r w:rsidRPr="00490C53">
              <w:br/>
              <w:t>(0.005)</w:t>
            </w:r>
          </w:p>
        </w:tc>
      </w:tr>
      <w:tr w:rsidR="003B7693" w:rsidRPr="00490C53" w14:paraId="2BACCED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6608B985" w14:textId="77777777" w:rsidR="003B7693" w:rsidRPr="00490C53" w:rsidRDefault="003B7693">
            <w:pPr>
              <w:pStyle w:val="Tabletext"/>
            </w:pPr>
            <w:r w:rsidRPr="00490C53">
              <w:t>London, Borrower, post intervention</w:t>
            </w:r>
          </w:p>
        </w:tc>
        <w:tc>
          <w:tcPr>
            <w:tcW w:w="999" w:type="pct"/>
            <w:vAlign w:val="center"/>
          </w:tcPr>
          <w:p w14:paraId="77C210B5" w14:textId="77777777" w:rsidR="003B7693" w:rsidRPr="00490C53" w:rsidRDefault="003B7693">
            <w:pPr>
              <w:pStyle w:val="Tabletext"/>
              <w:spacing w:before="0"/>
              <w:jc w:val="center"/>
              <w:rPr>
                <w:rStyle w:val="Bold"/>
                <w:b w:val="0"/>
              </w:rPr>
            </w:pPr>
            <w:r w:rsidRPr="00490C53">
              <w:t>0.057***</w:t>
            </w:r>
            <w:r w:rsidRPr="00490C53">
              <w:br/>
              <w:t>(0.006)</w:t>
            </w:r>
          </w:p>
        </w:tc>
        <w:tc>
          <w:tcPr>
            <w:tcW w:w="999" w:type="pct"/>
            <w:vAlign w:val="center"/>
          </w:tcPr>
          <w:p w14:paraId="6B07F772" w14:textId="77777777" w:rsidR="003B7693" w:rsidRPr="00490C53" w:rsidRDefault="003B7693">
            <w:pPr>
              <w:pStyle w:val="Tabletext"/>
              <w:spacing w:before="0"/>
              <w:jc w:val="center"/>
              <w:rPr>
                <w:rStyle w:val="Bold"/>
                <w:b w:val="0"/>
              </w:rPr>
            </w:pPr>
            <w:r w:rsidRPr="00490C53">
              <w:t>0.078***</w:t>
            </w:r>
            <w:r w:rsidRPr="00490C53">
              <w:br/>
              <w:t>(0.017)</w:t>
            </w:r>
          </w:p>
        </w:tc>
      </w:tr>
      <w:tr w:rsidR="003B7693" w:rsidRPr="00490C53" w14:paraId="67525109" w14:textId="77777777">
        <w:tblPrEx>
          <w:tblCellMar>
            <w:left w:w="108" w:type="dxa"/>
            <w:right w:w="108" w:type="dxa"/>
          </w:tblCellMar>
        </w:tblPrEx>
        <w:tc>
          <w:tcPr>
            <w:tcW w:w="3002" w:type="pct"/>
            <w:vAlign w:val="center"/>
          </w:tcPr>
          <w:p w14:paraId="1F871240" w14:textId="77777777" w:rsidR="003B7693" w:rsidRPr="00490C53" w:rsidRDefault="003B7693">
            <w:pPr>
              <w:pStyle w:val="Tabletext"/>
            </w:pPr>
            <w:r w:rsidRPr="00490C53">
              <w:t>North / Yorkshire, Borrower, post intervention</w:t>
            </w:r>
          </w:p>
        </w:tc>
        <w:tc>
          <w:tcPr>
            <w:tcW w:w="999" w:type="pct"/>
            <w:vAlign w:val="center"/>
          </w:tcPr>
          <w:p w14:paraId="1BD3F16D" w14:textId="77777777" w:rsidR="003B7693" w:rsidRPr="00490C53" w:rsidRDefault="003B7693">
            <w:pPr>
              <w:pStyle w:val="Tabletext"/>
              <w:spacing w:before="0"/>
              <w:jc w:val="center"/>
              <w:rPr>
                <w:rStyle w:val="Bold"/>
                <w:b w:val="0"/>
              </w:rPr>
            </w:pPr>
            <w:r w:rsidRPr="00490C53">
              <w:t>0.060**</w:t>
            </w:r>
            <w:r w:rsidRPr="00490C53">
              <w:br/>
              <w:t>(0.015)</w:t>
            </w:r>
          </w:p>
        </w:tc>
        <w:tc>
          <w:tcPr>
            <w:tcW w:w="999" w:type="pct"/>
            <w:vAlign w:val="center"/>
          </w:tcPr>
          <w:p w14:paraId="2CE1A3B6" w14:textId="77777777" w:rsidR="003B7693" w:rsidRPr="00490C53" w:rsidRDefault="003B7693">
            <w:pPr>
              <w:pStyle w:val="Tabletext"/>
              <w:spacing w:before="0"/>
              <w:jc w:val="center"/>
              <w:rPr>
                <w:rStyle w:val="Bold"/>
                <w:b w:val="0"/>
              </w:rPr>
            </w:pPr>
            <w:r w:rsidRPr="00490C53">
              <w:t>0.081***</w:t>
            </w:r>
            <w:r w:rsidRPr="00490C53">
              <w:br/>
              <w:t>(0.014)</w:t>
            </w:r>
          </w:p>
        </w:tc>
      </w:tr>
      <w:tr w:rsidR="003B7693" w:rsidRPr="00490C53" w14:paraId="6107699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5BFBB0E4" w14:textId="77777777" w:rsidR="003B7693" w:rsidRPr="00490C53" w:rsidRDefault="003B7693">
            <w:pPr>
              <w:pStyle w:val="Tabletext"/>
            </w:pPr>
            <w:r w:rsidRPr="00490C53">
              <w:t>Northern Ireland, Borrower, post intervention</w:t>
            </w:r>
          </w:p>
        </w:tc>
        <w:tc>
          <w:tcPr>
            <w:tcW w:w="999" w:type="pct"/>
            <w:vAlign w:val="center"/>
          </w:tcPr>
          <w:p w14:paraId="61BE06DF" w14:textId="77777777" w:rsidR="003B7693" w:rsidRPr="00490C53" w:rsidRDefault="003B7693">
            <w:pPr>
              <w:pStyle w:val="Tabletext"/>
              <w:spacing w:before="0"/>
              <w:jc w:val="center"/>
              <w:rPr>
                <w:rStyle w:val="Bold"/>
                <w:b w:val="0"/>
              </w:rPr>
            </w:pPr>
            <w:r w:rsidRPr="00490C53">
              <w:t>0.031</w:t>
            </w:r>
            <w:r w:rsidRPr="00490C53">
              <w:br/>
              <w:t>(0.025)</w:t>
            </w:r>
          </w:p>
        </w:tc>
        <w:tc>
          <w:tcPr>
            <w:tcW w:w="999" w:type="pct"/>
            <w:vAlign w:val="center"/>
          </w:tcPr>
          <w:p w14:paraId="521A965E" w14:textId="77777777" w:rsidR="003B7693" w:rsidRPr="00490C53" w:rsidRDefault="003B7693">
            <w:pPr>
              <w:pStyle w:val="Tabletext"/>
              <w:spacing w:before="0"/>
              <w:jc w:val="center"/>
              <w:rPr>
                <w:rStyle w:val="Bold"/>
                <w:b w:val="0"/>
              </w:rPr>
            </w:pPr>
            <w:r w:rsidRPr="00490C53">
              <w:t>0.008</w:t>
            </w:r>
            <w:r w:rsidRPr="00490C53">
              <w:br/>
              <w:t>(0.024)</w:t>
            </w:r>
          </w:p>
        </w:tc>
      </w:tr>
      <w:tr w:rsidR="003B7693" w:rsidRPr="00490C53" w14:paraId="43BA0238" w14:textId="77777777">
        <w:tblPrEx>
          <w:tblCellMar>
            <w:left w:w="108" w:type="dxa"/>
            <w:right w:w="108" w:type="dxa"/>
          </w:tblCellMar>
        </w:tblPrEx>
        <w:tc>
          <w:tcPr>
            <w:tcW w:w="3002" w:type="pct"/>
            <w:vAlign w:val="center"/>
          </w:tcPr>
          <w:p w14:paraId="7469BC36" w14:textId="77777777" w:rsidR="003B7693" w:rsidRPr="00490C53" w:rsidRDefault="003B7693">
            <w:pPr>
              <w:pStyle w:val="Tabletext"/>
            </w:pPr>
            <w:r w:rsidRPr="00490C53">
              <w:t>Scotland, Borrower, post intervention</w:t>
            </w:r>
          </w:p>
        </w:tc>
        <w:tc>
          <w:tcPr>
            <w:tcW w:w="999" w:type="pct"/>
            <w:vAlign w:val="center"/>
          </w:tcPr>
          <w:p w14:paraId="176649F9" w14:textId="77777777" w:rsidR="003B7693" w:rsidRPr="00490C53" w:rsidRDefault="003B7693">
            <w:pPr>
              <w:pStyle w:val="Tabletext"/>
              <w:spacing w:before="0"/>
              <w:jc w:val="center"/>
              <w:rPr>
                <w:rStyle w:val="Bold"/>
                <w:b w:val="0"/>
              </w:rPr>
            </w:pPr>
            <w:r w:rsidRPr="00490C53">
              <w:t>0.094**</w:t>
            </w:r>
            <w:r w:rsidRPr="00490C53">
              <w:br/>
              <w:t>(0.022)</w:t>
            </w:r>
          </w:p>
        </w:tc>
        <w:tc>
          <w:tcPr>
            <w:tcW w:w="999" w:type="pct"/>
            <w:vAlign w:val="center"/>
          </w:tcPr>
          <w:p w14:paraId="4A308DBA" w14:textId="77777777" w:rsidR="003B7693" w:rsidRPr="00490C53" w:rsidRDefault="003B7693">
            <w:pPr>
              <w:pStyle w:val="Tabletext"/>
              <w:spacing w:before="0"/>
              <w:jc w:val="center"/>
              <w:rPr>
                <w:rStyle w:val="Bold"/>
                <w:b w:val="0"/>
              </w:rPr>
            </w:pPr>
            <w:r w:rsidRPr="00490C53">
              <w:t>0.053*</w:t>
            </w:r>
            <w:r w:rsidRPr="00490C53">
              <w:br/>
              <w:t>(0.022)</w:t>
            </w:r>
          </w:p>
        </w:tc>
      </w:tr>
      <w:tr w:rsidR="003B7693" w:rsidRPr="00490C53" w14:paraId="0BDCF84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51F3FC87" w14:textId="77777777" w:rsidR="003B7693" w:rsidRPr="00490C53" w:rsidRDefault="003B7693">
            <w:pPr>
              <w:pStyle w:val="Tabletext"/>
            </w:pPr>
            <w:r w:rsidRPr="00490C53">
              <w:t>South, Borrower, post intervention</w:t>
            </w:r>
          </w:p>
        </w:tc>
        <w:tc>
          <w:tcPr>
            <w:tcW w:w="999" w:type="pct"/>
            <w:vAlign w:val="center"/>
          </w:tcPr>
          <w:p w14:paraId="182BAD3F" w14:textId="77777777" w:rsidR="003B7693" w:rsidRPr="00490C53" w:rsidRDefault="003B7693">
            <w:pPr>
              <w:pStyle w:val="Tabletext"/>
              <w:spacing w:before="0"/>
              <w:jc w:val="center"/>
              <w:rPr>
                <w:rStyle w:val="Bold"/>
                <w:b w:val="0"/>
              </w:rPr>
            </w:pPr>
            <w:r w:rsidRPr="00490C53">
              <w:t>0.047***</w:t>
            </w:r>
            <w:r w:rsidRPr="00490C53">
              <w:br/>
              <w:t>(0.003)</w:t>
            </w:r>
          </w:p>
        </w:tc>
        <w:tc>
          <w:tcPr>
            <w:tcW w:w="999" w:type="pct"/>
            <w:vAlign w:val="center"/>
          </w:tcPr>
          <w:p w14:paraId="5EA21A6F" w14:textId="77777777" w:rsidR="003B7693" w:rsidRPr="00490C53" w:rsidRDefault="003B7693">
            <w:pPr>
              <w:pStyle w:val="Tabletext"/>
              <w:spacing w:before="0"/>
              <w:jc w:val="center"/>
              <w:rPr>
                <w:rStyle w:val="Bold"/>
                <w:b w:val="0"/>
              </w:rPr>
            </w:pPr>
            <w:r w:rsidRPr="00490C53">
              <w:t>0.099***</w:t>
            </w:r>
            <w:r w:rsidRPr="00490C53">
              <w:br/>
              <w:t>(0.010)</w:t>
            </w:r>
          </w:p>
        </w:tc>
      </w:tr>
      <w:tr w:rsidR="003B7693" w:rsidRPr="00490C53" w14:paraId="7C9737DF" w14:textId="77777777">
        <w:tblPrEx>
          <w:tblCellMar>
            <w:left w:w="108" w:type="dxa"/>
            <w:right w:w="108" w:type="dxa"/>
          </w:tblCellMar>
        </w:tblPrEx>
        <w:tc>
          <w:tcPr>
            <w:tcW w:w="3002" w:type="pct"/>
            <w:vAlign w:val="center"/>
          </w:tcPr>
          <w:p w14:paraId="372DA179" w14:textId="77777777" w:rsidR="003B7693" w:rsidRPr="00490C53" w:rsidRDefault="003B7693">
            <w:pPr>
              <w:pStyle w:val="Tabletext"/>
            </w:pPr>
            <w:r w:rsidRPr="00490C53">
              <w:t>Wales, Borrower, post intervention</w:t>
            </w:r>
          </w:p>
        </w:tc>
        <w:tc>
          <w:tcPr>
            <w:tcW w:w="999" w:type="pct"/>
            <w:vAlign w:val="center"/>
          </w:tcPr>
          <w:p w14:paraId="6C986516" w14:textId="77777777" w:rsidR="003B7693" w:rsidRPr="00490C53" w:rsidRDefault="003B7693">
            <w:pPr>
              <w:pStyle w:val="Tabletext"/>
              <w:spacing w:before="0"/>
              <w:jc w:val="center"/>
              <w:rPr>
                <w:rStyle w:val="Bold"/>
                <w:b w:val="0"/>
              </w:rPr>
            </w:pPr>
            <w:r w:rsidRPr="00490C53">
              <w:t>0.099***</w:t>
            </w:r>
            <w:r w:rsidRPr="00490C53">
              <w:br/>
              <w:t>(0.017)</w:t>
            </w:r>
          </w:p>
        </w:tc>
        <w:tc>
          <w:tcPr>
            <w:tcW w:w="999" w:type="pct"/>
            <w:vAlign w:val="center"/>
          </w:tcPr>
          <w:p w14:paraId="2D6AFDCC" w14:textId="77777777" w:rsidR="003B7693" w:rsidRPr="00490C53" w:rsidRDefault="003B7693">
            <w:pPr>
              <w:pStyle w:val="Tabletext"/>
              <w:spacing w:before="0"/>
              <w:jc w:val="center"/>
              <w:rPr>
                <w:rStyle w:val="Bold"/>
                <w:b w:val="0"/>
              </w:rPr>
            </w:pPr>
            <w:r w:rsidRPr="00490C53">
              <w:t>0.162**</w:t>
            </w:r>
            <w:r w:rsidRPr="00490C53">
              <w:br/>
              <w:t>(0.037)</w:t>
            </w:r>
          </w:p>
        </w:tc>
      </w:tr>
      <w:tr w:rsidR="003B7693" w:rsidRPr="00490C53" w14:paraId="6BB4D6B1"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vAlign w:val="center"/>
          </w:tcPr>
          <w:p w14:paraId="50477221" w14:textId="77777777" w:rsidR="003B7693" w:rsidRPr="00490C53" w:rsidRDefault="003B7693">
            <w:pPr>
              <w:pStyle w:val="Tabletext"/>
            </w:pPr>
            <w:r w:rsidRPr="00490C53">
              <w:t>Used CJRS in 2020</w:t>
            </w:r>
          </w:p>
        </w:tc>
        <w:tc>
          <w:tcPr>
            <w:tcW w:w="999" w:type="pct"/>
            <w:vAlign w:val="center"/>
          </w:tcPr>
          <w:p w14:paraId="5FF2293D" w14:textId="77777777" w:rsidR="003B7693" w:rsidRPr="00490C53" w:rsidRDefault="003B7693">
            <w:pPr>
              <w:pStyle w:val="Tabletext"/>
              <w:spacing w:before="0"/>
              <w:jc w:val="center"/>
              <w:rPr>
                <w:rStyle w:val="Bold"/>
                <w:b w:val="0"/>
              </w:rPr>
            </w:pPr>
            <w:r w:rsidRPr="00490C53">
              <w:t>0.013**</w:t>
            </w:r>
            <w:r w:rsidRPr="00490C53">
              <w:br/>
              <w:t>(0.004)</w:t>
            </w:r>
          </w:p>
        </w:tc>
        <w:tc>
          <w:tcPr>
            <w:tcW w:w="999" w:type="pct"/>
            <w:vAlign w:val="center"/>
          </w:tcPr>
          <w:p w14:paraId="6824ED69" w14:textId="77777777" w:rsidR="003B7693" w:rsidRPr="00490C53" w:rsidRDefault="003B7693">
            <w:pPr>
              <w:pStyle w:val="Tabletext"/>
              <w:spacing w:before="0"/>
              <w:jc w:val="center"/>
              <w:rPr>
                <w:rStyle w:val="Bold"/>
                <w:b w:val="0"/>
              </w:rPr>
            </w:pPr>
            <w:r w:rsidRPr="00490C53">
              <w:t>0.018**</w:t>
            </w:r>
            <w:r w:rsidRPr="00490C53">
              <w:br/>
              <w:t>(0.006)</w:t>
            </w:r>
          </w:p>
        </w:tc>
      </w:tr>
      <w:tr w:rsidR="003B7693" w:rsidRPr="00490C53" w14:paraId="77BC6FFF" w14:textId="77777777">
        <w:tblPrEx>
          <w:tblCellMar>
            <w:left w:w="108" w:type="dxa"/>
            <w:right w:w="108" w:type="dxa"/>
          </w:tblCellMar>
        </w:tblPrEx>
        <w:tc>
          <w:tcPr>
            <w:tcW w:w="3002" w:type="pct"/>
            <w:vAlign w:val="center"/>
          </w:tcPr>
          <w:p w14:paraId="139D46AE" w14:textId="77777777" w:rsidR="003B7693" w:rsidRPr="00490C53" w:rsidDel="000A1204" w:rsidRDefault="003B7693">
            <w:pPr>
              <w:pStyle w:val="Tabletext"/>
            </w:pPr>
            <w:r w:rsidRPr="00490C53">
              <w:t>Constant</w:t>
            </w:r>
          </w:p>
        </w:tc>
        <w:tc>
          <w:tcPr>
            <w:tcW w:w="999" w:type="pct"/>
            <w:vAlign w:val="center"/>
          </w:tcPr>
          <w:p w14:paraId="13AD36CA" w14:textId="77777777" w:rsidR="003B7693" w:rsidRPr="00490C53" w:rsidRDefault="003B7693">
            <w:pPr>
              <w:pStyle w:val="Tabletext"/>
              <w:spacing w:before="0"/>
              <w:jc w:val="center"/>
              <w:rPr>
                <w:rStyle w:val="Bold"/>
                <w:b w:val="0"/>
              </w:rPr>
            </w:pPr>
            <w:r w:rsidRPr="00490C53">
              <w:t>1.853***</w:t>
            </w:r>
            <w:r w:rsidRPr="00490C53">
              <w:br/>
              <w:t>(0.003)</w:t>
            </w:r>
          </w:p>
        </w:tc>
        <w:tc>
          <w:tcPr>
            <w:tcW w:w="999" w:type="pct"/>
            <w:vAlign w:val="center"/>
          </w:tcPr>
          <w:p w14:paraId="771B91FC" w14:textId="77777777" w:rsidR="003B7693" w:rsidRPr="00490C53" w:rsidRDefault="003B7693">
            <w:pPr>
              <w:pStyle w:val="Tabletext"/>
              <w:spacing w:before="0"/>
              <w:jc w:val="center"/>
              <w:rPr>
                <w:rStyle w:val="Bold"/>
                <w:b w:val="0"/>
              </w:rPr>
            </w:pPr>
            <w:r w:rsidRPr="00490C53">
              <w:t>2.875***</w:t>
            </w:r>
            <w:r w:rsidRPr="00490C53">
              <w:br/>
              <w:t>(0.004)</w:t>
            </w:r>
          </w:p>
        </w:tc>
      </w:tr>
      <w:tr w:rsidR="003B7693" w:rsidRPr="00490C53" w14:paraId="59D3EBDA"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tcBorders>
              <w:top w:val="single" w:sz="4" w:space="0" w:color="0054BA"/>
            </w:tcBorders>
            <w:vAlign w:val="center"/>
          </w:tcPr>
          <w:p w14:paraId="132188CB" w14:textId="77777777" w:rsidR="003B7693" w:rsidRPr="00490C53" w:rsidRDefault="003B7693">
            <w:pPr>
              <w:pStyle w:val="Tabletext"/>
            </w:pPr>
            <w:r w:rsidRPr="00490C53">
              <w:t>Observations</w:t>
            </w:r>
          </w:p>
        </w:tc>
        <w:tc>
          <w:tcPr>
            <w:tcW w:w="999" w:type="pct"/>
            <w:tcBorders>
              <w:top w:val="single" w:sz="4" w:space="0" w:color="0054BA"/>
            </w:tcBorders>
            <w:vAlign w:val="center"/>
          </w:tcPr>
          <w:p w14:paraId="088990AB" w14:textId="77777777" w:rsidR="003B7693" w:rsidRPr="00490C53" w:rsidRDefault="003B7693">
            <w:pPr>
              <w:pStyle w:val="Tabletext"/>
              <w:jc w:val="center"/>
              <w:rPr>
                <w:rStyle w:val="Bold"/>
                <w:b w:val="0"/>
              </w:rPr>
            </w:pPr>
            <w:r w:rsidRPr="00490C53">
              <w:t>268,738</w:t>
            </w:r>
          </w:p>
        </w:tc>
        <w:tc>
          <w:tcPr>
            <w:tcW w:w="999" w:type="pct"/>
            <w:tcBorders>
              <w:top w:val="single" w:sz="4" w:space="0" w:color="0054BA"/>
            </w:tcBorders>
            <w:vAlign w:val="center"/>
          </w:tcPr>
          <w:p w14:paraId="207F9716" w14:textId="77777777" w:rsidR="003B7693" w:rsidRPr="00490C53" w:rsidRDefault="003B7693">
            <w:pPr>
              <w:pStyle w:val="Tabletext"/>
              <w:jc w:val="center"/>
              <w:rPr>
                <w:rStyle w:val="Bold"/>
                <w:b w:val="0"/>
              </w:rPr>
            </w:pPr>
            <w:r w:rsidRPr="00490C53">
              <w:t>157,576</w:t>
            </w:r>
          </w:p>
        </w:tc>
      </w:tr>
      <w:tr w:rsidR="003B7693" w:rsidRPr="00490C53" w14:paraId="7FF32045" w14:textId="77777777">
        <w:tblPrEx>
          <w:tblCellMar>
            <w:left w:w="108" w:type="dxa"/>
            <w:right w:w="108" w:type="dxa"/>
          </w:tblCellMar>
        </w:tblPrEx>
        <w:tc>
          <w:tcPr>
            <w:tcW w:w="3002" w:type="pct"/>
            <w:vAlign w:val="center"/>
          </w:tcPr>
          <w:p w14:paraId="320BE143" w14:textId="77777777" w:rsidR="003B7693" w:rsidRPr="00490C53" w:rsidRDefault="003B7693">
            <w:pPr>
              <w:pStyle w:val="Tabletext"/>
            </w:pPr>
            <w:r w:rsidRPr="00490C53">
              <w:lastRenderedPageBreak/>
              <w:t>R-squared</w:t>
            </w:r>
          </w:p>
        </w:tc>
        <w:tc>
          <w:tcPr>
            <w:tcW w:w="999" w:type="pct"/>
            <w:vAlign w:val="center"/>
          </w:tcPr>
          <w:p w14:paraId="0CCDA3BB" w14:textId="77777777" w:rsidR="003B7693" w:rsidRPr="00490C53" w:rsidRDefault="003B7693">
            <w:pPr>
              <w:pStyle w:val="Tabletext"/>
              <w:jc w:val="center"/>
              <w:rPr>
                <w:rStyle w:val="Bold"/>
                <w:b w:val="0"/>
              </w:rPr>
            </w:pPr>
            <w:r w:rsidRPr="00490C53">
              <w:t>0.007</w:t>
            </w:r>
          </w:p>
        </w:tc>
        <w:tc>
          <w:tcPr>
            <w:tcW w:w="999" w:type="pct"/>
            <w:vAlign w:val="center"/>
          </w:tcPr>
          <w:p w14:paraId="480EEEFC" w14:textId="77777777" w:rsidR="003B7693" w:rsidRPr="00490C53" w:rsidRDefault="003B7693">
            <w:pPr>
              <w:pStyle w:val="Tabletext"/>
              <w:jc w:val="center"/>
              <w:rPr>
                <w:rStyle w:val="Bold"/>
                <w:b w:val="0"/>
              </w:rPr>
            </w:pPr>
            <w:r w:rsidRPr="00490C53">
              <w:t>0.012</w:t>
            </w:r>
          </w:p>
        </w:tc>
      </w:tr>
      <w:tr w:rsidR="003B7693" w:rsidRPr="00490C53" w14:paraId="19117EC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3002" w:type="pct"/>
            <w:tcBorders>
              <w:bottom w:val="single" w:sz="4" w:space="0" w:color="0054BA" w:themeColor="accent2"/>
            </w:tcBorders>
            <w:vAlign w:val="center"/>
          </w:tcPr>
          <w:p w14:paraId="2D29F865" w14:textId="77777777" w:rsidR="003B7693" w:rsidRPr="00490C53" w:rsidRDefault="003B7693">
            <w:pPr>
              <w:pStyle w:val="Tabletext"/>
            </w:pPr>
            <w:r w:rsidRPr="00490C53">
              <w:t>Business fixed effects</w:t>
            </w:r>
          </w:p>
        </w:tc>
        <w:tc>
          <w:tcPr>
            <w:tcW w:w="999" w:type="pct"/>
            <w:tcBorders>
              <w:bottom w:val="single" w:sz="4" w:space="0" w:color="0054BA" w:themeColor="accent2"/>
            </w:tcBorders>
            <w:vAlign w:val="center"/>
          </w:tcPr>
          <w:p w14:paraId="3E2B01F3" w14:textId="77777777" w:rsidR="003B7693" w:rsidRPr="00490C53" w:rsidRDefault="003B7693">
            <w:pPr>
              <w:pStyle w:val="Tabletext"/>
              <w:spacing w:before="0" w:line="240" w:lineRule="auto"/>
              <w:jc w:val="center"/>
              <w:rPr>
                <w:rStyle w:val="Bold"/>
                <w:rFonts w:cstheme="minorHAnsi"/>
                <w:sz w:val="22"/>
              </w:rPr>
            </w:pPr>
            <w:r w:rsidRPr="00490C53">
              <w:t>Yes</w:t>
            </w:r>
          </w:p>
        </w:tc>
        <w:tc>
          <w:tcPr>
            <w:tcW w:w="999" w:type="pct"/>
            <w:tcBorders>
              <w:bottom w:val="single" w:sz="4" w:space="0" w:color="0054BA" w:themeColor="accent2"/>
            </w:tcBorders>
            <w:vAlign w:val="center"/>
          </w:tcPr>
          <w:p w14:paraId="12F69727" w14:textId="77777777" w:rsidR="003B7693" w:rsidRPr="00490C53" w:rsidRDefault="003B7693">
            <w:pPr>
              <w:pStyle w:val="Tabletext"/>
              <w:spacing w:before="0" w:line="240" w:lineRule="auto"/>
              <w:jc w:val="center"/>
              <w:rPr>
                <w:rStyle w:val="Bold"/>
                <w:rFonts w:cstheme="minorHAnsi"/>
                <w:sz w:val="22"/>
              </w:rPr>
            </w:pPr>
            <w:r w:rsidRPr="00490C53">
              <w:t>Yes</w:t>
            </w:r>
          </w:p>
        </w:tc>
      </w:tr>
    </w:tbl>
    <w:p w14:paraId="4F392FF8" w14:textId="687DC4D8" w:rsidR="003B7693" w:rsidRPr="00490C53" w:rsidRDefault="00DA466B" w:rsidP="003B7693">
      <w:pPr>
        <w:pStyle w:val="Caption"/>
      </w:pPr>
      <w:r>
        <w:t xml:space="preserve">Note: </w:t>
      </w:r>
      <w:r w:rsidR="003B7693" w:rsidRPr="00490C53">
        <w:t>Robust standard errors in parentheses. *** p-value&lt;0.01, ** p-value&lt;0.05, * p-value&lt;0.1. Source: London Economics’ analysis of IDBR data</w:t>
      </w:r>
      <w:r w:rsidR="00E6301D">
        <w:rPr>
          <w:rStyle w:val="Emphasis"/>
          <w:b w:val="0"/>
          <w:bCs/>
          <w:color w:val="555674"/>
        </w:rPr>
        <w:t>, BBB Portal Data and HMRC Coronavirus Job Retention Scheme</w:t>
      </w:r>
      <w:r w:rsidR="00E6301D" w:rsidRPr="00F269C4">
        <w:rPr>
          <w:rStyle w:val="Emphasis"/>
          <w:b w:val="0"/>
          <w:bCs/>
          <w:color w:val="555674"/>
        </w:rPr>
        <w:t xml:space="preserve"> (CJRS) data</w:t>
      </w:r>
      <w:r w:rsidR="00E6301D" w:rsidRPr="006E5CA3">
        <w:rPr>
          <w:rStyle w:val="Emphasis"/>
          <w:b w:val="0"/>
          <w:color w:val="555674"/>
        </w:rPr>
        <w:t>.</w:t>
      </w:r>
    </w:p>
    <w:p w14:paraId="41E9D10D" w14:textId="1AFDA60E" w:rsidR="00445AA0" w:rsidRPr="005D5D23" w:rsidRDefault="00445AA0" w:rsidP="00236B73">
      <w:bookmarkStart w:id="317" w:name="_Ref122611043"/>
      <w:r w:rsidRPr="00236B73">
        <w:rPr>
          <w:color w:val="142855" w:themeColor="text2"/>
        </w:rPr>
        <w:t xml:space="preserve">Data </w:t>
      </w:r>
    </w:p>
    <w:p w14:paraId="1B804135" w14:textId="2CE6EF31" w:rsidR="008B770F" w:rsidRPr="00D04EF6" w:rsidRDefault="008B770F" w:rsidP="008B770F">
      <w:r w:rsidRPr="00D04EF6">
        <w:t xml:space="preserve">This section outlines the data sources </w:t>
      </w:r>
      <w:r>
        <w:t>as well as the processing and PSM exercises used to construct the datasets as part of th</w:t>
      </w:r>
      <w:r w:rsidR="007B6D96">
        <w:t>is secondary analysis</w:t>
      </w:r>
      <w:r>
        <w:t>. In particular, the following datasets are discussed</w:t>
      </w:r>
      <w:r w:rsidRPr="00D04EF6">
        <w:t>:</w:t>
      </w:r>
    </w:p>
    <w:p w14:paraId="22523ECF" w14:textId="77777777" w:rsidR="008B770F" w:rsidRPr="002D323B" w:rsidRDefault="008B770F" w:rsidP="008B770F">
      <w:pPr>
        <w:pStyle w:val="ListBullet"/>
        <w:rPr>
          <w:rFonts w:cstheme="minorHAnsi"/>
        </w:rPr>
      </w:pPr>
      <w:r w:rsidRPr="002D323B">
        <w:rPr>
          <w:rFonts w:cstheme="minorHAnsi"/>
        </w:rPr>
        <w:t>Inter-Departmental Business Register (IDBR)</w:t>
      </w:r>
    </w:p>
    <w:p w14:paraId="484059A6" w14:textId="77777777" w:rsidR="008B770F" w:rsidRPr="002D323B" w:rsidRDefault="008B770F" w:rsidP="008B770F">
      <w:pPr>
        <w:pStyle w:val="ListBullet"/>
        <w:rPr>
          <w:rFonts w:cstheme="minorHAnsi"/>
        </w:rPr>
      </w:pPr>
      <w:r w:rsidRPr="002D323B">
        <w:rPr>
          <w:rFonts w:cstheme="minorHAnsi"/>
        </w:rPr>
        <w:t>BBB Portal and Management Information data</w:t>
      </w:r>
    </w:p>
    <w:p w14:paraId="67BC15F6" w14:textId="3BF592AC" w:rsidR="008B770F" w:rsidRPr="00F90CEA" w:rsidRDefault="008B770F" w:rsidP="008B770F">
      <w:pPr>
        <w:pStyle w:val="ListBullet"/>
        <w:rPr>
          <w:rFonts w:cstheme="minorHAnsi"/>
        </w:rPr>
      </w:pPr>
      <w:r w:rsidRPr="002D323B">
        <w:rPr>
          <w:rFonts w:cstheme="minorHAnsi"/>
        </w:rPr>
        <w:t xml:space="preserve">HMRC </w:t>
      </w:r>
      <w:r w:rsidR="004E4BC5">
        <w:rPr>
          <w:rFonts w:cstheme="minorHAnsi"/>
        </w:rPr>
        <w:t>Coronavirus Job Retention Scheme</w:t>
      </w:r>
      <w:r w:rsidRPr="002D323B">
        <w:rPr>
          <w:rFonts w:cstheme="minorHAnsi"/>
        </w:rPr>
        <w:t xml:space="preserve"> (CJRS) data</w:t>
      </w:r>
    </w:p>
    <w:p w14:paraId="35A36458" w14:textId="1A42025D" w:rsidR="008B770F" w:rsidRPr="007664D8" w:rsidRDefault="008B770F" w:rsidP="008B770F">
      <w:r w:rsidRPr="007664D8">
        <w:t>The rest of this section describes these</w:t>
      </w:r>
      <w:r w:rsidR="003A6604">
        <w:t xml:space="preserve"> raw</w:t>
      </w:r>
      <w:r w:rsidRPr="007664D8">
        <w:t xml:space="preserve"> datasets in more detail and discusses the processing and PSM exercises leading to the datasets used in the analysis. </w:t>
      </w:r>
    </w:p>
    <w:p w14:paraId="584D65F9" w14:textId="77777777" w:rsidR="008B770F" w:rsidRPr="00F90CEA" w:rsidRDefault="008B770F" w:rsidP="008B770F">
      <w:pPr>
        <w:rPr>
          <w:i/>
          <w:iCs/>
        </w:rPr>
      </w:pPr>
      <w:r w:rsidRPr="00F90CEA">
        <w:rPr>
          <w:rFonts w:cstheme="minorHAnsi"/>
          <w:i/>
          <w:iCs/>
        </w:rPr>
        <w:t>Inter-Departmental Business Register (IDBR)</w:t>
      </w:r>
    </w:p>
    <w:p w14:paraId="2C4DF1C7" w14:textId="3273041E" w:rsidR="008B770F" w:rsidRDefault="008B770F" w:rsidP="008B770F">
      <w:r w:rsidRPr="00490C53">
        <w:t xml:space="preserve">The analysis for this exercise is conducted at the enterprise level based on the </w:t>
      </w:r>
      <w:r w:rsidRPr="002D323B">
        <w:t>Inter-Departmental Business Register (IDBR)</w:t>
      </w:r>
      <w:r w:rsidRPr="003A6604">
        <w:t xml:space="preserve">, </w:t>
      </w:r>
      <w:r w:rsidRPr="00490C53">
        <w:t xml:space="preserve">which contains data on enterprises’ region, sector, turnover, employment, birth date, and </w:t>
      </w:r>
      <w:r w:rsidR="004550ED">
        <w:t>closure</w:t>
      </w:r>
      <w:r w:rsidR="004550ED" w:rsidRPr="00490C53">
        <w:t xml:space="preserve"> </w:t>
      </w:r>
      <w:r w:rsidRPr="00490C53">
        <w:t xml:space="preserve">date, amongst other variables. London Economics was provided with an extract from the IDBR taken in September in each of the years between 2017 and 2022 inclusive. A sample of borrowers is included alongside </w:t>
      </w:r>
      <w:r>
        <w:t>all businesses within the IDBR that did not borrow under the Covid-19 Loan Guarantee Schemes</w:t>
      </w:r>
      <w:r w:rsidRPr="00490C53">
        <w:t xml:space="preserve">. </w:t>
      </w:r>
    </w:p>
    <w:p w14:paraId="45411D7C" w14:textId="77777777" w:rsidR="008B770F" w:rsidRDefault="008B770F" w:rsidP="008B770F">
      <w:r w:rsidRPr="00490C53">
        <w:t>A separate file was provided to London Economics that linked CRNs</w:t>
      </w:r>
      <w:r>
        <w:t xml:space="preserve"> – used to identify businesses in the BBB portal data and HMRC CJRS data –</w:t>
      </w:r>
      <w:r w:rsidRPr="00490C53">
        <w:t xml:space="preserve"> to enterprise identifiers ('ENTREF’)</w:t>
      </w:r>
      <w:r>
        <w:t xml:space="preserve"> – used to identify businesses in the IDBR</w:t>
      </w:r>
      <w:r w:rsidRPr="00490C53">
        <w:t xml:space="preserve">. This is used to link IDBR data to other data sources at the level of the CRN. </w:t>
      </w:r>
    </w:p>
    <w:p w14:paraId="6E14EEBE" w14:textId="77777777" w:rsidR="008B770F" w:rsidRDefault="008B770F" w:rsidP="008B770F">
      <w:r>
        <w:lastRenderedPageBreak/>
        <w:t>There were 43,712 unique enterprises in the borrower dataset, and 262,272 observations at the level of the enterprise-year, of which 243,338 displayed non-missing values for turnover and employment.</w:t>
      </w:r>
    </w:p>
    <w:p w14:paraId="3417E0EA" w14:textId="77777777" w:rsidR="008B770F" w:rsidRDefault="008B770F" w:rsidP="008B770F">
      <w:r>
        <w:t>There were 2,390,337 unique enterprises in the dataset of non-borrowers, with 14,342,033 observations at the level of the enterprise-year</w:t>
      </w:r>
      <w:r>
        <w:rPr>
          <w:rStyle w:val="FootnoteReference"/>
        </w:rPr>
        <w:footnoteReference w:id="177"/>
      </w:r>
      <w:r>
        <w:t>, of which 11,206,256 displayed non-missing values for turnover and employment.</w:t>
      </w:r>
    </w:p>
    <w:p w14:paraId="5532752A" w14:textId="1E034E19" w:rsidR="0070705C" w:rsidRPr="002D323B" w:rsidRDefault="0070705C" w:rsidP="002E04C1">
      <w:pPr>
        <w:rPr>
          <w:i/>
          <w:iCs/>
        </w:rPr>
      </w:pPr>
      <w:r>
        <w:rPr>
          <w:i/>
          <w:iCs/>
        </w:rPr>
        <w:t>BBB portal data</w:t>
      </w:r>
    </w:p>
    <w:p w14:paraId="395EB7AC" w14:textId="09D89756" w:rsidR="002E04C1" w:rsidRDefault="004109D1" w:rsidP="002E04C1">
      <w:r w:rsidRPr="00490C53">
        <w:t xml:space="preserve">The </w:t>
      </w:r>
      <w:r w:rsidRPr="002D323B">
        <w:t>portal data</w:t>
      </w:r>
      <w:r w:rsidRPr="00490C53">
        <w:t xml:space="preserve"> contain</w:t>
      </w:r>
      <w:r w:rsidR="005274FA" w:rsidRPr="00490C53">
        <w:t>s</w:t>
      </w:r>
      <w:r w:rsidRPr="00490C53">
        <w:t xml:space="preserve"> data linking facility reference numbers to company registration numbers (CRNs) and the associated Covid-19 Loan Guarantee Scheme (BBLS, CBILS or CLBILS). </w:t>
      </w:r>
      <w:r w:rsidR="002E04C1" w:rsidRPr="00490C53">
        <w:t xml:space="preserve">This data is described in more detail below. </w:t>
      </w:r>
    </w:p>
    <w:p w14:paraId="3083C402" w14:textId="29BE1014" w:rsidR="004109D1" w:rsidRPr="00490C53" w:rsidRDefault="002E04C1" w:rsidP="004109D1">
      <w:r>
        <w:t xml:space="preserve">The BBB portal data consisted of 55,312 unique CRNs of borrowers. Borrowers </w:t>
      </w:r>
      <w:r w:rsidR="005274FA" w:rsidRPr="00490C53">
        <w:t>are</w:t>
      </w:r>
      <w:r w:rsidR="004109D1" w:rsidRPr="00490C53">
        <w:t xml:space="preserve"> assigned a unique scheme</w:t>
      </w:r>
      <w:r w:rsidR="00C42850" w:rsidRPr="00490C53">
        <w:rPr>
          <w:rStyle w:val="FootnoteReference"/>
        </w:rPr>
        <w:footnoteReference w:id="178"/>
      </w:r>
      <w:r w:rsidR="004109D1" w:rsidRPr="00490C53">
        <w:t xml:space="preserve"> on the following basis:</w:t>
      </w:r>
    </w:p>
    <w:p w14:paraId="4A03437D" w14:textId="725636EB" w:rsidR="004109D1" w:rsidRPr="00846F78" w:rsidRDefault="004109D1" w:rsidP="004109D1">
      <w:pPr>
        <w:pStyle w:val="ListBullet"/>
        <w:rPr>
          <w:rFonts w:cstheme="minorHAnsi"/>
        </w:rPr>
      </w:pPr>
      <w:r w:rsidRPr="00846F78">
        <w:rPr>
          <w:rFonts w:cstheme="minorHAnsi"/>
        </w:rPr>
        <w:t xml:space="preserve">Firstly, </w:t>
      </w:r>
      <w:r w:rsidR="009A4B1E" w:rsidRPr="00846F78">
        <w:rPr>
          <w:rFonts w:cstheme="minorHAnsi"/>
        </w:rPr>
        <w:t>when a</w:t>
      </w:r>
      <w:r w:rsidRPr="00846F78">
        <w:rPr>
          <w:rFonts w:cstheme="minorHAnsi"/>
        </w:rPr>
        <w:t xml:space="preserve"> CRN </w:t>
      </w:r>
      <w:r w:rsidR="009E1DE5" w:rsidRPr="00846F78">
        <w:rPr>
          <w:rFonts w:cstheme="minorHAnsi"/>
        </w:rPr>
        <w:t>is</w:t>
      </w:r>
      <w:r w:rsidR="005274FA" w:rsidRPr="00846F78">
        <w:rPr>
          <w:rFonts w:cstheme="minorHAnsi"/>
        </w:rPr>
        <w:t xml:space="preserve"> </w:t>
      </w:r>
      <w:r w:rsidRPr="00846F78">
        <w:rPr>
          <w:rFonts w:cstheme="minorHAnsi"/>
        </w:rPr>
        <w:t>associated with just one facility</w:t>
      </w:r>
      <w:r w:rsidR="005274FA" w:rsidRPr="00846F78">
        <w:rPr>
          <w:rFonts w:cstheme="minorHAnsi"/>
        </w:rPr>
        <w:t>,</w:t>
      </w:r>
      <w:r w:rsidR="0041729F" w:rsidRPr="00846F78">
        <w:rPr>
          <w:rFonts w:cstheme="minorHAnsi"/>
        </w:rPr>
        <w:t xml:space="preserve"> that facility’s </w:t>
      </w:r>
      <w:r w:rsidRPr="00846F78">
        <w:rPr>
          <w:rFonts w:cstheme="minorHAnsi"/>
        </w:rPr>
        <w:t xml:space="preserve">scheme </w:t>
      </w:r>
      <w:r w:rsidR="005274FA" w:rsidRPr="00846F78">
        <w:rPr>
          <w:rFonts w:cstheme="minorHAnsi"/>
        </w:rPr>
        <w:t xml:space="preserve">is </w:t>
      </w:r>
      <w:r w:rsidRPr="00846F78">
        <w:rPr>
          <w:rFonts w:cstheme="minorHAnsi"/>
        </w:rPr>
        <w:t xml:space="preserve">assigned to that </w:t>
      </w:r>
      <w:proofErr w:type="gramStart"/>
      <w:r w:rsidRPr="00846F78">
        <w:rPr>
          <w:rFonts w:cstheme="minorHAnsi"/>
        </w:rPr>
        <w:t>CRN</w:t>
      </w:r>
      <w:r w:rsidR="005274FA" w:rsidRPr="00846F78">
        <w:rPr>
          <w:rFonts w:cstheme="minorHAnsi"/>
        </w:rPr>
        <w:t>;</w:t>
      </w:r>
      <w:proofErr w:type="gramEnd"/>
    </w:p>
    <w:p w14:paraId="7A40E62D" w14:textId="2EBBF83D" w:rsidR="004109D1" w:rsidRPr="00846F78" w:rsidRDefault="004109D1" w:rsidP="004109D1">
      <w:pPr>
        <w:pStyle w:val="ListBullet"/>
        <w:rPr>
          <w:rFonts w:cstheme="minorHAnsi"/>
        </w:rPr>
      </w:pPr>
      <w:r w:rsidRPr="00846F78">
        <w:rPr>
          <w:rFonts w:cstheme="minorHAnsi"/>
        </w:rPr>
        <w:t xml:space="preserve">Secondly, where a CRN </w:t>
      </w:r>
      <w:r w:rsidR="009E1DE5" w:rsidRPr="00846F78">
        <w:rPr>
          <w:rFonts w:cstheme="minorHAnsi"/>
        </w:rPr>
        <w:t xml:space="preserve">is </w:t>
      </w:r>
      <w:r w:rsidRPr="00846F78">
        <w:rPr>
          <w:rFonts w:cstheme="minorHAnsi"/>
        </w:rPr>
        <w:t xml:space="preserve">associated with multiple facilities, but where </w:t>
      </w:r>
      <w:r w:rsidR="00277C8D" w:rsidRPr="00846F78">
        <w:rPr>
          <w:rFonts w:cstheme="minorHAnsi"/>
        </w:rPr>
        <w:t xml:space="preserve">all </w:t>
      </w:r>
      <w:r w:rsidRPr="00846F78">
        <w:rPr>
          <w:rFonts w:cstheme="minorHAnsi"/>
        </w:rPr>
        <w:t xml:space="preserve">of those facilities </w:t>
      </w:r>
      <w:r w:rsidR="00277C8D" w:rsidRPr="00846F78">
        <w:rPr>
          <w:rFonts w:cstheme="minorHAnsi"/>
        </w:rPr>
        <w:t>are</w:t>
      </w:r>
      <w:r w:rsidR="009E1DE5" w:rsidRPr="00846F78">
        <w:rPr>
          <w:rFonts w:cstheme="minorHAnsi"/>
        </w:rPr>
        <w:t xml:space="preserve"> </w:t>
      </w:r>
      <w:r w:rsidRPr="00846F78">
        <w:rPr>
          <w:rFonts w:cstheme="minorHAnsi"/>
        </w:rPr>
        <w:t xml:space="preserve">associated with the same scheme, then that scheme </w:t>
      </w:r>
      <w:r w:rsidR="009E1DE5" w:rsidRPr="00846F78">
        <w:rPr>
          <w:rFonts w:cstheme="minorHAnsi"/>
        </w:rPr>
        <w:t xml:space="preserve">is </w:t>
      </w:r>
      <w:r w:rsidRPr="00846F78">
        <w:rPr>
          <w:rFonts w:cstheme="minorHAnsi"/>
        </w:rPr>
        <w:t xml:space="preserve">assigned to that </w:t>
      </w:r>
      <w:proofErr w:type="gramStart"/>
      <w:r w:rsidRPr="00846F78">
        <w:rPr>
          <w:rFonts w:cstheme="minorHAnsi"/>
        </w:rPr>
        <w:t>CRN</w:t>
      </w:r>
      <w:r w:rsidR="009E1DE5" w:rsidRPr="00846F78">
        <w:rPr>
          <w:rFonts w:cstheme="minorHAnsi"/>
        </w:rPr>
        <w:t>;</w:t>
      </w:r>
      <w:proofErr w:type="gramEnd"/>
      <w:r w:rsidRPr="00846F78">
        <w:rPr>
          <w:rFonts w:cstheme="minorHAnsi"/>
        </w:rPr>
        <w:t xml:space="preserve"> </w:t>
      </w:r>
    </w:p>
    <w:p w14:paraId="26CB4F66" w14:textId="5D657023" w:rsidR="004109D1" w:rsidRPr="00846F78" w:rsidRDefault="004109D1" w:rsidP="004109D1">
      <w:pPr>
        <w:pStyle w:val="ListBullet"/>
        <w:rPr>
          <w:rFonts w:cstheme="minorHAnsi"/>
        </w:rPr>
      </w:pPr>
      <w:r w:rsidRPr="00846F78">
        <w:rPr>
          <w:rFonts w:cstheme="minorHAnsi"/>
        </w:rPr>
        <w:t xml:space="preserve">Thirdly, where a CRN </w:t>
      </w:r>
      <w:r w:rsidR="00050DD0" w:rsidRPr="00846F78">
        <w:rPr>
          <w:rFonts w:cstheme="minorHAnsi"/>
        </w:rPr>
        <w:t xml:space="preserve">is </w:t>
      </w:r>
      <w:r w:rsidRPr="00846F78">
        <w:rPr>
          <w:rFonts w:cstheme="minorHAnsi"/>
        </w:rPr>
        <w:t xml:space="preserve">associated with multiple facilities, but the schemes associated with the facilities </w:t>
      </w:r>
      <w:r w:rsidR="00050DD0" w:rsidRPr="00846F78">
        <w:rPr>
          <w:rFonts w:cstheme="minorHAnsi"/>
        </w:rPr>
        <w:t xml:space="preserve">are </w:t>
      </w:r>
      <w:r w:rsidRPr="00846F78">
        <w:rPr>
          <w:rFonts w:cstheme="minorHAnsi"/>
        </w:rPr>
        <w:t xml:space="preserve">not all the same, the scheme </w:t>
      </w:r>
      <w:r w:rsidR="00050DD0" w:rsidRPr="00846F78">
        <w:rPr>
          <w:rFonts w:cstheme="minorHAnsi"/>
        </w:rPr>
        <w:t xml:space="preserve">is </w:t>
      </w:r>
      <w:r w:rsidRPr="00846F78">
        <w:rPr>
          <w:rFonts w:cstheme="minorHAnsi"/>
        </w:rPr>
        <w:t>assigned in the following order:</w:t>
      </w:r>
    </w:p>
    <w:p w14:paraId="60B1CA0E" w14:textId="2A9E672A" w:rsidR="004109D1" w:rsidRPr="00846F78" w:rsidRDefault="004109D1" w:rsidP="00DC55F7">
      <w:pPr>
        <w:pStyle w:val="ListBullet"/>
        <w:numPr>
          <w:ilvl w:val="1"/>
          <w:numId w:val="12"/>
        </w:numPr>
        <w:rPr>
          <w:rFonts w:cstheme="minorHAnsi"/>
        </w:rPr>
      </w:pPr>
      <w:r w:rsidRPr="00846F78">
        <w:rPr>
          <w:rFonts w:cstheme="minorHAnsi"/>
        </w:rPr>
        <w:t xml:space="preserve">Where the drawn week </w:t>
      </w:r>
      <w:r w:rsidR="00050DD0" w:rsidRPr="00846F78">
        <w:rPr>
          <w:rFonts w:cstheme="minorHAnsi"/>
        </w:rPr>
        <w:t xml:space="preserve">is </w:t>
      </w:r>
      <w:r w:rsidRPr="00846F78">
        <w:rPr>
          <w:rFonts w:cstheme="minorHAnsi"/>
        </w:rPr>
        <w:t xml:space="preserve">available for each facility associated with a CRN, the scheme of the facility that was drawn first </w:t>
      </w:r>
      <w:r w:rsidR="005E4847" w:rsidRPr="00846F78">
        <w:rPr>
          <w:rFonts w:cstheme="minorHAnsi"/>
        </w:rPr>
        <w:t xml:space="preserve">is </w:t>
      </w:r>
      <w:r w:rsidRPr="00846F78">
        <w:rPr>
          <w:rFonts w:cstheme="minorHAnsi"/>
        </w:rPr>
        <w:t xml:space="preserve">assigned to that </w:t>
      </w:r>
      <w:proofErr w:type="gramStart"/>
      <w:r w:rsidRPr="00846F78">
        <w:rPr>
          <w:rFonts w:cstheme="minorHAnsi"/>
        </w:rPr>
        <w:t>CRN</w:t>
      </w:r>
      <w:r w:rsidR="00232456" w:rsidRPr="00846F78">
        <w:rPr>
          <w:rFonts w:cstheme="minorHAnsi"/>
        </w:rPr>
        <w:t>;</w:t>
      </w:r>
      <w:proofErr w:type="gramEnd"/>
    </w:p>
    <w:p w14:paraId="1FA1584D" w14:textId="0171BA29" w:rsidR="004109D1" w:rsidRPr="00846F78" w:rsidRDefault="004109D1" w:rsidP="00DC55F7">
      <w:pPr>
        <w:pStyle w:val="ListBullet"/>
        <w:numPr>
          <w:ilvl w:val="1"/>
          <w:numId w:val="12"/>
        </w:numPr>
        <w:rPr>
          <w:rFonts w:cstheme="minorHAnsi"/>
        </w:rPr>
      </w:pPr>
      <w:r w:rsidRPr="00846F78">
        <w:rPr>
          <w:rFonts w:cstheme="minorHAnsi"/>
        </w:rPr>
        <w:t xml:space="preserve">Where the number of facilities that were repaid for a given </w:t>
      </w:r>
      <w:r w:rsidR="00144F7B">
        <w:rPr>
          <w:rFonts w:cstheme="minorHAnsi"/>
        </w:rPr>
        <w:t>scheme</w:t>
      </w:r>
      <w:r w:rsidR="00144F7B" w:rsidRPr="00846F78">
        <w:rPr>
          <w:rFonts w:cstheme="minorHAnsi"/>
        </w:rPr>
        <w:t xml:space="preserve"> </w:t>
      </w:r>
      <w:r w:rsidRPr="00846F78">
        <w:rPr>
          <w:rFonts w:cstheme="minorHAnsi"/>
        </w:rPr>
        <w:t xml:space="preserve">was equal to the </w:t>
      </w:r>
      <w:r w:rsidR="00DE2B6E" w:rsidRPr="00846F78">
        <w:rPr>
          <w:rFonts w:cstheme="minorHAnsi"/>
        </w:rPr>
        <w:t xml:space="preserve">total </w:t>
      </w:r>
      <w:r w:rsidRPr="00846F78">
        <w:rPr>
          <w:rFonts w:cstheme="minorHAnsi"/>
        </w:rPr>
        <w:t xml:space="preserve">number of facilities that were repaid for that CRN (and </w:t>
      </w:r>
      <w:r w:rsidR="00241805" w:rsidRPr="00846F78">
        <w:rPr>
          <w:rFonts w:cstheme="minorHAnsi"/>
        </w:rPr>
        <w:t>there is at least one repaid facility</w:t>
      </w:r>
      <w:r w:rsidRPr="00846F78">
        <w:rPr>
          <w:rFonts w:cstheme="minorHAnsi"/>
        </w:rPr>
        <w:t xml:space="preserve">) then the CRN was assigned to the scheme that had been </w:t>
      </w:r>
      <w:proofErr w:type="gramStart"/>
      <w:r w:rsidRPr="00846F78">
        <w:rPr>
          <w:rFonts w:cstheme="minorHAnsi"/>
        </w:rPr>
        <w:t>repaid</w:t>
      </w:r>
      <w:r w:rsidR="0054394E" w:rsidRPr="00846F78">
        <w:rPr>
          <w:rFonts w:cstheme="minorHAnsi"/>
        </w:rPr>
        <w:t>;</w:t>
      </w:r>
      <w:proofErr w:type="gramEnd"/>
    </w:p>
    <w:p w14:paraId="213A1CF2" w14:textId="7B7B9612" w:rsidR="00620BDF" w:rsidRPr="00846F78" w:rsidRDefault="00620BDF" w:rsidP="00DC55F7">
      <w:pPr>
        <w:pStyle w:val="ListBullet"/>
        <w:numPr>
          <w:ilvl w:val="1"/>
          <w:numId w:val="12"/>
        </w:numPr>
        <w:rPr>
          <w:rFonts w:cstheme="minorHAnsi"/>
        </w:rPr>
      </w:pPr>
      <w:r w:rsidRPr="00846F78">
        <w:rPr>
          <w:rFonts w:cstheme="minorHAnsi"/>
        </w:rPr>
        <w:lastRenderedPageBreak/>
        <w:t xml:space="preserve">If more than one scheme </w:t>
      </w:r>
      <w:r w:rsidR="00A05342">
        <w:rPr>
          <w:rFonts w:cstheme="minorHAnsi"/>
        </w:rPr>
        <w:t>has</w:t>
      </w:r>
      <w:r w:rsidRPr="00846F78">
        <w:rPr>
          <w:rFonts w:cstheme="minorHAnsi"/>
        </w:rPr>
        <w:t xml:space="preserve"> a repaid facility, </w:t>
      </w:r>
      <w:r w:rsidR="00FC2E83" w:rsidRPr="00846F78">
        <w:rPr>
          <w:rFonts w:cstheme="minorHAnsi"/>
        </w:rPr>
        <w:t xml:space="preserve">but only one </w:t>
      </w:r>
      <w:r w:rsidR="00D01B85" w:rsidRPr="00846F78">
        <w:rPr>
          <w:rFonts w:cstheme="minorHAnsi"/>
        </w:rPr>
        <w:t xml:space="preserve">has all facilities repaid, then the CRN was assigned to that </w:t>
      </w:r>
      <w:proofErr w:type="gramStart"/>
      <w:r w:rsidR="00D01B85" w:rsidRPr="00846F78">
        <w:rPr>
          <w:rFonts w:cstheme="minorHAnsi"/>
        </w:rPr>
        <w:t>scheme;</w:t>
      </w:r>
      <w:proofErr w:type="gramEnd"/>
    </w:p>
    <w:p w14:paraId="2766D10A" w14:textId="5E0D31D8" w:rsidR="004109D1" w:rsidRPr="00846F78" w:rsidRDefault="004109D1" w:rsidP="00407359">
      <w:pPr>
        <w:pStyle w:val="ListBullet"/>
        <w:numPr>
          <w:ilvl w:val="1"/>
          <w:numId w:val="12"/>
        </w:numPr>
        <w:rPr>
          <w:rFonts w:cstheme="minorHAnsi"/>
        </w:rPr>
      </w:pPr>
      <w:r w:rsidRPr="00846F78">
        <w:rPr>
          <w:rFonts w:cstheme="minorHAnsi"/>
        </w:rPr>
        <w:t>For all remaining unassigned facilities (</w:t>
      </w:r>
      <w:proofErr w:type="gramStart"/>
      <w:r w:rsidRPr="00846F78">
        <w:rPr>
          <w:rFonts w:cstheme="minorHAnsi"/>
        </w:rPr>
        <w:t>i.e</w:t>
      </w:r>
      <w:r w:rsidR="00C67492" w:rsidRPr="00846F78">
        <w:rPr>
          <w:rFonts w:cstheme="minorHAnsi"/>
        </w:rPr>
        <w:t>.</w:t>
      </w:r>
      <w:proofErr w:type="gramEnd"/>
      <w:r w:rsidRPr="00846F78">
        <w:rPr>
          <w:rFonts w:cstheme="minorHAnsi"/>
        </w:rPr>
        <w:t xml:space="preserve"> for CRNs where </w:t>
      </w:r>
      <w:r w:rsidR="0088696E" w:rsidRPr="00846F78">
        <w:rPr>
          <w:rFonts w:cstheme="minorHAnsi"/>
        </w:rPr>
        <w:t xml:space="preserve">facilities under </w:t>
      </w:r>
      <w:r w:rsidRPr="00846F78">
        <w:rPr>
          <w:rFonts w:cstheme="minorHAnsi"/>
        </w:rPr>
        <w:t>both remaining schemes – BBLS and CBILS – were repaid or neither were), loan amounts were compared</w:t>
      </w:r>
      <w:r w:rsidR="003C7395" w:rsidRPr="00846F78">
        <w:rPr>
          <w:rFonts w:cstheme="minorHAnsi"/>
        </w:rPr>
        <w:t>.</w:t>
      </w:r>
      <w:r w:rsidR="00C67492" w:rsidRPr="00846F78">
        <w:rPr>
          <w:rFonts w:cstheme="minorHAnsi"/>
        </w:rPr>
        <w:t xml:space="preserve"> </w:t>
      </w:r>
      <w:r w:rsidRPr="00846F78">
        <w:rPr>
          <w:rFonts w:cstheme="minorHAnsi"/>
        </w:rPr>
        <w:t xml:space="preserve">If the total BBLS loan amount associated with that CRN was less than (or equal to) the total CBILS loan amount associated with that CRN, then the CRN was assigned to BBLS. This assumes that these businesses are likely to have refinanced a BBLS loan to obtain a larger amount of funds through the CBILS scheme. For these businesses, the loan that was used to meet their immediate financial needs was the first loan they received, </w:t>
      </w:r>
      <w:proofErr w:type="gramStart"/>
      <w:r w:rsidRPr="00846F78">
        <w:rPr>
          <w:rFonts w:cstheme="minorHAnsi"/>
        </w:rPr>
        <w:t>i.e.</w:t>
      </w:r>
      <w:proofErr w:type="gramEnd"/>
      <w:r w:rsidRPr="00846F78">
        <w:rPr>
          <w:rFonts w:cstheme="minorHAnsi"/>
        </w:rPr>
        <w:t xml:space="preserve"> the BBLS loan. </w:t>
      </w:r>
    </w:p>
    <w:p w14:paraId="6EA2C96A" w14:textId="1217F932" w:rsidR="00B52312" w:rsidRDefault="004109D1" w:rsidP="00B52312">
      <w:pPr>
        <w:pStyle w:val="ListBullet"/>
        <w:numPr>
          <w:ilvl w:val="1"/>
          <w:numId w:val="12"/>
        </w:numPr>
        <w:rPr>
          <w:rFonts w:cstheme="minorHAnsi"/>
        </w:rPr>
      </w:pPr>
      <w:r w:rsidRPr="00846F78">
        <w:rPr>
          <w:rFonts w:cstheme="minorHAnsi"/>
        </w:rPr>
        <w:t>If the total BBLS loan amount associated with that CRN was larger than the total CBILS loan amount associated with that CRN, then the CRN was assigned to CBILS. This assumes that these businesses are likely to have refinanced a CBILS loan using a BBLS loan to obtain more advantageous terms and conditions. For these businesses, the loan that was used to meet their immediate financial needs was the CBILS loan.</w:t>
      </w:r>
    </w:p>
    <w:p w14:paraId="43E81DEC" w14:textId="02AB2F24" w:rsidR="002E04C1" w:rsidRDefault="002E04C1" w:rsidP="002D323B">
      <w:pPr>
        <w:pStyle w:val="ListBullet"/>
        <w:numPr>
          <w:ilvl w:val="0"/>
          <w:numId w:val="0"/>
        </w:numPr>
      </w:pPr>
      <w:r>
        <w:t>Based on these assignment rules, there were 34,478 CRNs associated with BBLS, 20,305 CRNs associated with CBILS, and 529 CRNs associated with CLBILS.</w:t>
      </w:r>
    </w:p>
    <w:p w14:paraId="08D21BA7" w14:textId="77777777" w:rsidR="002E04C1" w:rsidRPr="00854449" w:rsidRDefault="002E04C1" w:rsidP="002E04C1">
      <w:pPr>
        <w:rPr>
          <w:i/>
          <w:iCs/>
        </w:rPr>
      </w:pPr>
      <w:r w:rsidRPr="00854449">
        <w:rPr>
          <w:i/>
          <w:iCs/>
        </w:rPr>
        <w:t xml:space="preserve">BBB Management Information </w:t>
      </w:r>
    </w:p>
    <w:p w14:paraId="7F7B95E1" w14:textId="74BCD4A6" w:rsidR="002E04C1" w:rsidRPr="00490C53" w:rsidRDefault="002E04C1" w:rsidP="002E04C1">
      <w:r w:rsidRPr="00490C53">
        <w:t xml:space="preserve">This analysis also drew on </w:t>
      </w:r>
      <w:r w:rsidRPr="002D323B">
        <w:t>BBB Management Information</w:t>
      </w:r>
      <w:r w:rsidRPr="00490C53">
        <w:rPr>
          <w:b/>
          <w:bCs/>
        </w:rPr>
        <w:t xml:space="preserve"> </w:t>
      </w:r>
      <w:r w:rsidR="00DA466B" w:rsidRPr="002D323B">
        <w:t>which</w:t>
      </w:r>
      <w:r w:rsidR="00DA466B">
        <w:rPr>
          <w:b/>
          <w:bCs/>
        </w:rPr>
        <w:t xml:space="preserve"> </w:t>
      </w:r>
      <w:r w:rsidRPr="00846F78">
        <w:t>provid</w:t>
      </w:r>
      <w:r w:rsidR="00DA466B">
        <w:t>ed</w:t>
      </w:r>
      <w:r w:rsidRPr="00846F78">
        <w:t xml:space="preserve"> information</w:t>
      </w:r>
      <w:r w:rsidRPr="00490C53">
        <w:rPr>
          <w:b/>
          <w:bCs/>
        </w:rPr>
        <w:t xml:space="preserve"> </w:t>
      </w:r>
      <w:r w:rsidRPr="00490C53">
        <w:t xml:space="preserve">on the breakdown </w:t>
      </w:r>
      <w:r w:rsidR="00DA466B" w:rsidRPr="00490C53">
        <w:t xml:space="preserve">of the number of businesses </w:t>
      </w:r>
      <w:r w:rsidR="00DA466B">
        <w:t>that borrowed</w:t>
      </w:r>
      <w:r w:rsidR="00DA466B" w:rsidRPr="00490C53">
        <w:t xml:space="preserve"> under each </w:t>
      </w:r>
      <w:r w:rsidR="00DA466B">
        <w:t>scheme (</w:t>
      </w:r>
      <w:r w:rsidR="00DA466B" w:rsidRPr="00490C53">
        <w:t>BBLS, CBILS and CLBILS</w:t>
      </w:r>
      <w:r w:rsidR="00DA466B">
        <w:t xml:space="preserve">) </w:t>
      </w:r>
      <w:r w:rsidRPr="00490C53">
        <w:t>by firms’ turnover (in bands).</w:t>
      </w:r>
      <w:r>
        <w:t xml:space="preserve"> This aggregate data is provided at the level of the turnover band within each scheme. </w:t>
      </w:r>
    </w:p>
    <w:p w14:paraId="4331CC21" w14:textId="5708A228" w:rsidR="002E04C1" w:rsidRPr="002E04C1" w:rsidRDefault="002E04C1" w:rsidP="002E04C1">
      <w:pPr>
        <w:pStyle w:val="ListBullet"/>
        <w:numPr>
          <w:ilvl w:val="0"/>
          <w:numId w:val="0"/>
        </w:numPr>
        <w:rPr>
          <w:rFonts w:cstheme="minorHAnsi"/>
          <w:i/>
          <w:iCs/>
          <w:szCs w:val="24"/>
        </w:rPr>
      </w:pPr>
      <w:r w:rsidRPr="002D323B">
        <w:rPr>
          <w:rFonts w:cstheme="minorHAnsi"/>
          <w:i/>
          <w:iCs/>
          <w:szCs w:val="24"/>
        </w:rPr>
        <w:t xml:space="preserve">HMRC </w:t>
      </w:r>
      <w:r w:rsidR="004E4BC5">
        <w:rPr>
          <w:rFonts w:cstheme="minorHAnsi"/>
          <w:i/>
          <w:iCs/>
          <w:szCs w:val="24"/>
        </w:rPr>
        <w:t>Coronavirus Job Retention Scheme</w:t>
      </w:r>
      <w:r w:rsidRPr="002D323B">
        <w:rPr>
          <w:rFonts w:cstheme="minorHAnsi"/>
          <w:i/>
          <w:iCs/>
          <w:szCs w:val="24"/>
        </w:rPr>
        <w:t xml:space="preserve"> (CJRS) data</w:t>
      </w:r>
    </w:p>
    <w:p w14:paraId="6870DD56" w14:textId="77777777" w:rsidR="002E04C1" w:rsidRDefault="002E04C1" w:rsidP="002E04C1">
      <w:r w:rsidRPr="00490C53">
        <w:t xml:space="preserve">The </w:t>
      </w:r>
      <w:r w:rsidRPr="002D323B">
        <w:t>CJRS data</w:t>
      </w:r>
      <w:r w:rsidRPr="00490C53">
        <w:t xml:space="preserve"> from HMRC contains monthly data from December 2020 to August 2021 on whether </w:t>
      </w:r>
      <w:r>
        <w:t>businesses</w:t>
      </w:r>
      <w:r w:rsidRPr="00490C53">
        <w:t xml:space="preserve"> participated in the Coronavirus Job Retention Scheme (CJRS) </w:t>
      </w:r>
      <w:proofErr w:type="gramStart"/>
      <w:r w:rsidRPr="00490C53">
        <w:t>in a given</w:t>
      </w:r>
      <w:proofErr w:type="gramEnd"/>
      <w:r w:rsidRPr="00490C53">
        <w:t xml:space="preserve"> month, at the CRN level. This dataset is used to create a dummy variable indicating whether companies received CJRS support in the financial year 2020</w:t>
      </w:r>
      <w:r>
        <w:t>-</w:t>
      </w:r>
      <w:r w:rsidRPr="00490C53">
        <w:t>2021. It should be noted that, given CJRS data was not available for every month of that financial year</w:t>
      </w:r>
      <w:r>
        <w:t xml:space="preserve"> (only from December </w:t>
      </w:r>
      <w:r>
        <w:lastRenderedPageBreak/>
        <w:t>2020 onwards)</w:t>
      </w:r>
      <w:r w:rsidRPr="00490C53">
        <w:t xml:space="preserve">, that dummy does not fully capture the extent of uptake of the CJRS by the businesses in the dataset. </w:t>
      </w:r>
    </w:p>
    <w:p w14:paraId="4CE813CB" w14:textId="77777777" w:rsidR="002E04C1" w:rsidRPr="00490C53" w:rsidRDefault="002E04C1" w:rsidP="002E04C1">
      <w:r w:rsidRPr="00490C53">
        <w:t>This data was linked to the IDBR dataset based on CRN and the file linking CRNs to enterprise identifiers</w:t>
      </w:r>
      <w:r>
        <w:t xml:space="preserve"> described above</w:t>
      </w:r>
      <w:r w:rsidRPr="00490C53">
        <w:t xml:space="preserve">. </w:t>
      </w:r>
    </w:p>
    <w:p w14:paraId="7E4C2DA1" w14:textId="77777777" w:rsidR="002E04C1" w:rsidRDefault="002E04C1" w:rsidP="002E04C1">
      <w:r>
        <w:t>This dataset contained 776,892 unique CRNs associated with the CJRS either in the financial years 2020-2021 or 2021-2022. 752,111 of these CRNs were associated with the CJRS in 2020-2021.</w:t>
      </w:r>
    </w:p>
    <w:p w14:paraId="4B7F865A" w14:textId="77777777" w:rsidR="002E04C1" w:rsidRPr="00F90CEA" w:rsidRDefault="002E04C1" w:rsidP="002E04C1">
      <w:pPr>
        <w:rPr>
          <w:i/>
          <w:iCs/>
        </w:rPr>
      </w:pPr>
      <w:r>
        <w:rPr>
          <w:i/>
          <w:iCs/>
        </w:rPr>
        <w:t>Further data processing</w:t>
      </w:r>
    </w:p>
    <w:p w14:paraId="7652171D" w14:textId="77777777" w:rsidR="002E04C1" w:rsidRDefault="002E04C1" w:rsidP="002E04C1">
      <w:r>
        <w:t xml:space="preserve">After cleaning the data, matching CRNs to enterprise reference numbers, and merging the IDBR, CJRS and BBB Management Information datasets, the complete dataset contained </w:t>
      </w:r>
      <w:r w:rsidRPr="00B13F64">
        <w:t>2,433,012</w:t>
      </w:r>
      <w:r>
        <w:t xml:space="preserve"> unique enterprises, of which </w:t>
      </w:r>
      <w:r w:rsidRPr="00B13F64">
        <w:t>42,772</w:t>
      </w:r>
      <w:r>
        <w:t xml:space="preserve"> were unique enterprises associated with one of the Covid-19 Loan Guarantee Schemes. Of these 42,772 enterprises associated with one of the schemes, </w:t>
      </w:r>
      <w:r w:rsidRPr="00B13F64">
        <w:t>24,254</w:t>
      </w:r>
      <w:r>
        <w:t xml:space="preserve"> enterprises were associated with BBLS, 18,058 with CBILS, and 460 with CLBILS.</w:t>
      </w:r>
    </w:p>
    <w:p w14:paraId="464DAD5E" w14:textId="77777777" w:rsidR="002E04C1" w:rsidRDefault="002E04C1" w:rsidP="002E04C1">
      <w:r>
        <w:t>This dataset was used to create two sub-datasets:</w:t>
      </w:r>
    </w:p>
    <w:p w14:paraId="5231E6FA" w14:textId="77777777" w:rsidR="002E04C1" w:rsidRDefault="002E04C1">
      <w:pPr>
        <w:pStyle w:val="ListBullet"/>
        <w:numPr>
          <w:ilvl w:val="1"/>
          <w:numId w:val="12"/>
        </w:numPr>
      </w:pPr>
      <w:r>
        <w:t>A sub-dataset comprising of BBLS borrowers and enterprises that were considered appropriate potential matches for an enterprise that borrowed under BBLS. Enterprises that were considered appropriate potential matches for a BBLS borrower were all those enterprises that satisfied the following two conditions:</w:t>
      </w:r>
    </w:p>
    <w:p w14:paraId="1430CC4E" w14:textId="02FF6069" w:rsidR="002E04C1" w:rsidRDefault="002E04C1" w:rsidP="002D323B">
      <w:pPr>
        <w:pStyle w:val="ListBullet"/>
        <w:numPr>
          <w:ilvl w:val="2"/>
          <w:numId w:val="12"/>
        </w:numPr>
      </w:pPr>
      <w:r>
        <w:t xml:space="preserve">The enterprise’s </w:t>
      </w:r>
      <w:r w:rsidR="00DA5997">
        <w:t xml:space="preserve">pre-pandemic </w:t>
      </w:r>
      <w:r>
        <w:t>turnover that was less than £5m</w:t>
      </w:r>
      <w:r w:rsidR="00A05342">
        <w:t>.</w:t>
      </w:r>
    </w:p>
    <w:p w14:paraId="4F55A8FD" w14:textId="0B36CF3B" w:rsidR="00A05342" w:rsidRDefault="00A05342" w:rsidP="002D323B">
      <w:pPr>
        <w:pStyle w:val="ListBullet"/>
        <w:numPr>
          <w:ilvl w:val="2"/>
          <w:numId w:val="12"/>
        </w:numPr>
      </w:pPr>
      <w:r w:rsidRPr="00A05342">
        <w:t>The enterprise did not borrow under any of the Covid-19 Loan Guarantee schemes (</w:t>
      </w:r>
      <w:proofErr w:type="gramStart"/>
      <w:r w:rsidRPr="00A05342">
        <w:t>i.e.</w:t>
      </w:r>
      <w:proofErr w:type="gramEnd"/>
      <w:r w:rsidRPr="00A05342">
        <w:t xml:space="preserve"> CBILS/CLBILS borrowers were also excluded from this sub-dataset)</w:t>
      </w:r>
      <w:r>
        <w:t>.</w:t>
      </w:r>
    </w:p>
    <w:p w14:paraId="2A66350B" w14:textId="50B8C5B4" w:rsidR="002E04C1" w:rsidRDefault="002E04C1" w:rsidP="002D323B">
      <w:pPr>
        <w:pStyle w:val="ListBullet"/>
        <w:numPr>
          <w:ilvl w:val="1"/>
          <w:numId w:val="12"/>
        </w:numPr>
      </w:pPr>
      <w:r>
        <w:t xml:space="preserve">A sub-dataset comprising of CBILS and CLBILS borrowers and enterprises that were considered appropriate potential matches for an enterprise that borrowed under CBILS or CLBILS. Enterprises that were considered appropriate potential matches for a CBILS or CLBILS borrower </w:t>
      </w:r>
      <w:r w:rsidR="00A05342">
        <w:t>were those enterprises that</w:t>
      </w:r>
      <w:r w:rsidR="00A05342" w:rsidRPr="00A05342">
        <w:t xml:space="preserve"> did not borrow under any of the Covid-19 Loan Guarantee schemes (</w:t>
      </w:r>
      <w:proofErr w:type="gramStart"/>
      <w:r w:rsidR="00A05342" w:rsidRPr="00A05342">
        <w:t>i.e.</w:t>
      </w:r>
      <w:proofErr w:type="gramEnd"/>
      <w:r w:rsidR="00A05342" w:rsidRPr="00A05342">
        <w:t xml:space="preserve"> </w:t>
      </w:r>
      <w:r w:rsidR="00A05342">
        <w:t>BBLS</w:t>
      </w:r>
      <w:r w:rsidR="00A05342" w:rsidRPr="00A05342">
        <w:t xml:space="preserve"> borrowers were also excluded from this sub-dataset)</w:t>
      </w:r>
      <w:r w:rsidR="00A05342">
        <w:t>.</w:t>
      </w:r>
    </w:p>
    <w:p w14:paraId="2E0D9EAB" w14:textId="0F85BB28" w:rsidR="002E04C1" w:rsidRDefault="002E04C1" w:rsidP="002E04C1">
      <w:r>
        <w:lastRenderedPageBreak/>
        <w:t xml:space="preserve">The BBLS sub-sample contained </w:t>
      </w:r>
      <w:r w:rsidRPr="00B13F64">
        <w:t>2,361,882</w:t>
      </w:r>
      <w:r>
        <w:t xml:space="preserve"> unique enterprises, of which </w:t>
      </w:r>
      <w:r w:rsidRPr="00B13F64">
        <w:t xml:space="preserve">22,856 </w:t>
      </w:r>
      <w:r>
        <w:t xml:space="preserve">were unique treated enterprises (all were treated under BBLS). The combined CBILS/CLBILS sub-sample contained </w:t>
      </w:r>
      <w:r w:rsidRPr="00B13F64">
        <w:t>2,408,758</w:t>
      </w:r>
      <w:r>
        <w:t xml:space="preserve"> unique enterprises, of which </w:t>
      </w:r>
      <w:r w:rsidRPr="00B50270">
        <w:t>18,518</w:t>
      </w:r>
      <w:r>
        <w:t xml:space="preserve"> were unique treated enterprises (18,058 under CBILS and 460 under CLBILS).</w:t>
      </w:r>
    </w:p>
    <w:p w14:paraId="5B8CDE63" w14:textId="77777777" w:rsidR="002E04C1" w:rsidRPr="00F90CEA" w:rsidRDefault="002E04C1" w:rsidP="002E04C1">
      <w:pPr>
        <w:rPr>
          <w:i/>
          <w:iCs/>
        </w:rPr>
      </w:pPr>
      <w:r>
        <w:rPr>
          <w:i/>
          <w:iCs/>
        </w:rPr>
        <w:t>Creating a dataset of matched borrowers and non-borrowers</w:t>
      </w:r>
    </w:p>
    <w:p w14:paraId="788EFABA" w14:textId="77777777" w:rsidR="00A05342" w:rsidRDefault="002E04C1" w:rsidP="002E04C1">
      <w:r>
        <w:t>Three similar but distinct PSM exercises were undertaken</w:t>
      </w:r>
      <w:r w:rsidR="00A05342">
        <w:t>, namely for</w:t>
      </w:r>
    </w:p>
    <w:p w14:paraId="02FC21E7" w14:textId="43F92C11" w:rsidR="00A05342" w:rsidRDefault="002E04C1" w:rsidP="002D323B">
      <w:pPr>
        <w:pStyle w:val="ListBullet"/>
        <w:numPr>
          <w:ilvl w:val="1"/>
          <w:numId w:val="12"/>
        </w:numPr>
      </w:pPr>
      <w:r>
        <w:t>the survival analysis</w:t>
      </w:r>
    </w:p>
    <w:p w14:paraId="43D91397" w14:textId="4C30392A" w:rsidR="00A05342" w:rsidRDefault="002E04C1" w:rsidP="002D323B">
      <w:pPr>
        <w:pStyle w:val="ListBullet"/>
        <w:numPr>
          <w:ilvl w:val="1"/>
          <w:numId w:val="12"/>
        </w:numPr>
      </w:pPr>
      <w:r>
        <w:t>the econometric analysis of turnover and employment</w:t>
      </w:r>
    </w:p>
    <w:p w14:paraId="52480373" w14:textId="77777777" w:rsidR="00A05342" w:rsidRDefault="002E04C1" w:rsidP="002D323B">
      <w:pPr>
        <w:pStyle w:val="ListBullet"/>
        <w:numPr>
          <w:ilvl w:val="1"/>
          <w:numId w:val="12"/>
        </w:numPr>
      </w:pPr>
      <w:r>
        <w:t>the analysis to estimate the number of jobs saved by the schemes.</w:t>
      </w:r>
    </w:p>
    <w:p w14:paraId="463C54C1" w14:textId="3B9B5CE8" w:rsidR="002E04C1" w:rsidRDefault="002E04C1" w:rsidP="002E04C1">
      <w:r>
        <w:t>In each case, the PSM was undertaken for both the BBLS sub-sample and the combined CBILS/CLBILS sub-sample.</w:t>
      </w:r>
    </w:p>
    <w:p w14:paraId="138C5352" w14:textId="1A224163" w:rsidR="002E04C1" w:rsidRDefault="002E04C1" w:rsidP="002E04C1">
      <w:r>
        <w:t xml:space="preserve">The PSM for the BBLS survival analysis matched 17,106 treated firms (all were treated under BBLS) to 132,717 control enterprises. The PSM for the combined CBILS/CLBILS survival analysis matched 16,384 treated firms (of which 15,995 were treated under CBILS, and 389 were treated under CLBILS) to 66,149 control enterprises. This PSM requires matched businesses to be active in </w:t>
      </w:r>
      <w:r w:rsidR="00DA5997">
        <w:t>the first year of the pandemic</w:t>
      </w:r>
      <w:r>
        <w:t>. This is t</w:t>
      </w:r>
      <w:r w:rsidRPr="00283094">
        <w:t xml:space="preserve">o ensure that </w:t>
      </w:r>
      <w:r w:rsidR="004550ED">
        <w:t xml:space="preserve">closure </w:t>
      </w:r>
      <w:r>
        <w:t>rates of firms are calculated with respect to active businesses.</w:t>
      </w:r>
    </w:p>
    <w:p w14:paraId="09653726" w14:textId="643C8119" w:rsidR="002E04C1" w:rsidRDefault="002E04C1" w:rsidP="002E04C1">
      <w:r>
        <w:t xml:space="preserve">The PSM for the BBLS turnover and employment econometric analysis matched </w:t>
      </w:r>
      <w:r w:rsidRPr="00E72CF7">
        <w:t>16,708</w:t>
      </w:r>
      <w:r>
        <w:t xml:space="preserve"> treated firms (all were treated under BBLS) to 117,661 control enterprises. The PSM for the combined CBILS/CLBILS turnover and employment econometric analysis matched </w:t>
      </w:r>
      <w:r w:rsidRPr="00E72CF7">
        <w:t>16,</w:t>
      </w:r>
      <w:r>
        <w:t>284 treated firms (of which 15,895 were treated under CBILS, and 389 were treated under CLBILS) to 62,504 control enterprises. This PSM uses a different condition in the matching compared to the PSM implemented for the business survival analysis (</w:t>
      </w:r>
      <w:proofErr w:type="gramStart"/>
      <w:r>
        <w:t>i.e.</w:t>
      </w:r>
      <w:proofErr w:type="gramEnd"/>
      <w:r>
        <w:t xml:space="preserve"> by requiring matched businesses to have non missing turnover and employment data in </w:t>
      </w:r>
      <w:r w:rsidR="00DA5997">
        <w:t>the first year of the pandemic</w:t>
      </w:r>
      <w:r>
        <w:t xml:space="preserve">, rather than for the firm to be active in </w:t>
      </w:r>
      <w:r w:rsidR="00DA5997">
        <w:t>the first year of the pandemic</w:t>
      </w:r>
      <w:r>
        <w:t>). This is t</w:t>
      </w:r>
      <w:r w:rsidRPr="00283094">
        <w:t>o ensure that only businesses for which the outcome variables are non-missing are included in the matched sample</w:t>
      </w:r>
      <w:r>
        <w:t xml:space="preserve">. The sample for the turnover and employment analysis is smaller than in the case of the survival analysis because the PSM for the turnover and employment analysis also requires that businesses do not </w:t>
      </w:r>
      <w:r w:rsidR="004550ED">
        <w:t xml:space="preserve">permanently close </w:t>
      </w:r>
      <w:r>
        <w:t xml:space="preserve">in </w:t>
      </w:r>
      <w:r w:rsidR="00DA5997">
        <w:t xml:space="preserve">the first year of the pandemic </w:t>
      </w:r>
      <w:r>
        <w:t xml:space="preserve">(note that this condition is relaxed for the </w:t>
      </w:r>
      <w:r>
        <w:lastRenderedPageBreak/>
        <w:t xml:space="preserve">estimate of the number of </w:t>
      </w:r>
      <w:r w:rsidR="00BB284B" w:rsidRPr="00BB284B">
        <w:t>potential (additional) job losses in the absence of the Covid-19 Loan Guarantee Schemes</w:t>
      </w:r>
      <w:r>
        <w:t>, where a third PSM is used, as described in the next paragraph).</w:t>
      </w:r>
    </w:p>
    <w:p w14:paraId="78CF222E" w14:textId="7FA46E3A" w:rsidR="00DA466B" w:rsidRPr="00DA466B" w:rsidRDefault="002E04C1" w:rsidP="002D323B">
      <w:r>
        <w:t xml:space="preserve">The sample with the largest size is </w:t>
      </w:r>
      <w:r w:rsidR="00BB284B">
        <w:t>that</w:t>
      </w:r>
      <w:r>
        <w:t xml:space="preserve"> used to estimate of the number of </w:t>
      </w:r>
      <w:r w:rsidR="00BB284B" w:rsidRPr="00490C53">
        <w:t>potential (additional) job losses in the absence of the Covid-19 Loan Guarantee Schemes</w:t>
      </w:r>
      <w:r>
        <w:t xml:space="preserve">. The PSM used in this analysis uses a third set of conditions by requiring matched businesses to have non-missing turnover and employment data in </w:t>
      </w:r>
      <w:r w:rsidR="00DA5997">
        <w:t xml:space="preserve">the first year of the pandemic </w:t>
      </w:r>
      <w:r>
        <w:t xml:space="preserve">(rather than for the firm to be active in </w:t>
      </w:r>
      <w:r w:rsidR="00DA5997">
        <w:t>the first year of the pandemic</w:t>
      </w:r>
      <w:r>
        <w:t xml:space="preserve">) but also includes businesses that may have </w:t>
      </w:r>
      <w:r w:rsidR="004550ED">
        <w:t xml:space="preserve">permanently closed </w:t>
      </w:r>
      <w:r>
        <w:t xml:space="preserve">in </w:t>
      </w:r>
      <w:r w:rsidR="00DA5997">
        <w:t xml:space="preserve">the first year of the pandemic </w:t>
      </w:r>
      <w:r>
        <w:t>in the analysis. This is to ensure that this estimate covers both avoided job losses due to business survival, and job losses avoided due to surviving borrower businesses having higher employment than in the absence of the Covid-19 Loan Guarantee Schemes. The PSM for the BBLS estimate matched 17,108 treated firms (all were treated under BBLS) to 132,828 control enterprises. The PSM for the combined CBILS/CLBILS estimate matched 16,385 treated firms (of which 15,996 were treated under CBILS, and 389 were treated under CLBILS) to 66,222 control enterprises</w:t>
      </w:r>
      <w:r w:rsidR="00A05342">
        <w:t>.</w:t>
      </w:r>
    </w:p>
    <w:p w14:paraId="64B6F262" w14:textId="28FB9027" w:rsidR="004C1B46" w:rsidRPr="00BD366D" w:rsidRDefault="00143121" w:rsidP="004109D1">
      <w:pPr>
        <w:rPr>
          <w:i/>
          <w:iCs/>
        </w:rPr>
      </w:pPr>
      <w:r>
        <w:rPr>
          <w:i/>
          <w:iCs/>
        </w:rPr>
        <w:t>Variables</w:t>
      </w:r>
      <w:r w:rsidR="004C1B46" w:rsidRPr="00BD366D">
        <w:rPr>
          <w:i/>
          <w:iCs/>
        </w:rPr>
        <w:t xml:space="preserve"> used in the Propensity Score Matching </w:t>
      </w:r>
    </w:p>
    <w:p w14:paraId="40256334" w14:textId="596A7929" w:rsidR="004109D1" w:rsidRPr="00490C53" w:rsidRDefault="004109D1" w:rsidP="004109D1">
      <w:r w:rsidRPr="00490C53">
        <w:t xml:space="preserve">In the case of turnover, employment, age and growth rates, these variables were coded into bands for the Propensity Score Matching. The bands differed from the bands used in the </w:t>
      </w:r>
      <w:r w:rsidR="00DA466B">
        <w:t>Y</w:t>
      </w:r>
      <w:r w:rsidRPr="00490C53">
        <w:t xml:space="preserve">ear 1 survey analysis because the sample size of the secondary data sets was much larger than the survey data set. This allowed a more disaggregated set of bands for each variable, which was intended to improve the quality of matches between </w:t>
      </w:r>
      <w:r w:rsidR="00585D0C">
        <w:t>borrowers</w:t>
      </w:r>
      <w:r w:rsidR="00585D0C" w:rsidRPr="00490C53">
        <w:t xml:space="preserve"> </w:t>
      </w:r>
      <w:r w:rsidRPr="00490C53">
        <w:t xml:space="preserve">and </w:t>
      </w:r>
      <w:r w:rsidR="00585D0C">
        <w:t>non-borrowers</w:t>
      </w:r>
      <w:r w:rsidRPr="00490C53">
        <w:t xml:space="preserve">. </w:t>
      </w:r>
    </w:p>
    <w:p w14:paraId="755BAA56" w14:textId="589D2907" w:rsidR="004109D1" w:rsidRPr="00490C53" w:rsidRDefault="004109D1" w:rsidP="004109D1">
      <w:r w:rsidRPr="00490C53">
        <w:t xml:space="preserve">The variables used in the PSM for the </w:t>
      </w:r>
      <w:r w:rsidR="001F5733">
        <w:t>secondary analysis</w:t>
      </w:r>
      <w:r w:rsidR="001F5733" w:rsidRPr="00490C53">
        <w:t xml:space="preserve"> </w:t>
      </w:r>
      <w:r w:rsidRPr="00490C53">
        <w:t xml:space="preserve">differ from the variables used in the PSM for the </w:t>
      </w:r>
      <w:r w:rsidR="00DA466B">
        <w:t>Y</w:t>
      </w:r>
      <w:r w:rsidRPr="00490C53">
        <w:t>ear 1 survey analysis in two further key respects:</w:t>
      </w:r>
    </w:p>
    <w:p w14:paraId="58A2AD63" w14:textId="31C25718" w:rsidR="004109D1" w:rsidRPr="00846F78" w:rsidRDefault="004109D1" w:rsidP="004109D1">
      <w:pPr>
        <w:pStyle w:val="ListBullet"/>
      </w:pPr>
      <w:r>
        <w:t xml:space="preserve">The PSM for the </w:t>
      </w:r>
      <w:r w:rsidR="001F5733">
        <w:t xml:space="preserve">secondary analysis </w:t>
      </w:r>
      <w:r>
        <w:t xml:space="preserve">includes data from two consecutive years of one-year pre-pandemic turnover and employment growth rates (which were not </w:t>
      </w:r>
      <w:r w:rsidR="002D7A2D">
        <w:t xml:space="preserve">available </w:t>
      </w:r>
      <w:r>
        <w:t xml:space="preserve">in the </w:t>
      </w:r>
      <w:r w:rsidR="00DA466B">
        <w:t>Y</w:t>
      </w:r>
      <w:r>
        <w:t xml:space="preserve">ear 1 survey </w:t>
      </w:r>
      <w:r w:rsidR="002D7A2D">
        <w:t>data</w:t>
      </w:r>
      <w:proofErr w:type="gramStart"/>
      <w:r>
        <w:t>)</w:t>
      </w:r>
      <w:r w:rsidR="00D72497">
        <w:t>;</w:t>
      </w:r>
      <w:proofErr w:type="gramEnd"/>
    </w:p>
    <w:p w14:paraId="12A11AA1" w14:textId="522D02E9" w:rsidR="00AA458F" w:rsidRPr="00846F78" w:rsidRDefault="004109D1" w:rsidP="00AA458F">
      <w:pPr>
        <w:pStyle w:val="ListBullet"/>
      </w:pPr>
      <w:r>
        <w:t xml:space="preserve">The PSM for the </w:t>
      </w:r>
      <w:r w:rsidR="001F5733">
        <w:t xml:space="preserve">secondary analysis </w:t>
      </w:r>
      <w:r>
        <w:t xml:space="preserve">excludes variables </w:t>
      </w:r>
      <w:r w:rsidR="0013593F">
        <w:t xml:space="preserve">denoting </w:t>
      </w:r>
      <w:r w:rsidR="00C43FD0">
        <w:t xml:space="preserve">business obstacles </w:t>
      </w:r>
      <w:r>
        <w:t xml:space="preserve">that were included in the </w:t>
      </w:r>
      <w:r w:rsidR="00DA466B">
        <w:t>Y</w:t>
      </w:r>
      <w:r>
        <w:t>ear 1 survey analysis but for which no appropriate secondary data was identified.</w:t>
      </w:r>
    </w:p>
    <w:p w14:paraId="239ECA7E" w14:textId="7B410BEE" w:rsidR="00581405" w:rsidRPr="00490C53" w:rsidRDefault="00581405" w:rsidP="00581405">
      <w:pPr>
        <w:pStyle w:val="Heading5"/>
      </w:pPr>
      <w:bookmarkStart w:id="318" w:name="_Ref132207635"/>
      <w:bookmarkStart w:id="319" w:name="_Ref125542457"/>
      <w:r w:rsidRPr="00490C53">
        <w:lastRenderedPageBreak/>
        <w:t xml:space="preserve">Table </w:t>
      </w:r>
      <w:r w:rsidRPr="00846F78">
        <w:fldChar w:fldCharType="begin"/>
      </w:r>
      <w:r w:rsidRPr="00490C53">
        <w:instrText xml:space="preserve"> SEQ Table \* ARABIC </w:instrText>
      </w:r>
      <w:r w:rsidRPr="00846F78">
        <w:fldChar w:fldCharType="separate"/>
      </w:r>
      <w:r w:rsidR="00397D49">
        <w:rPr>
          <w:noProof/>
        </w:rPr>
        <w:t>52</w:t>
      </w:r>
      <w:r w:rsidRPr="00846F78">
        <w:fldChar w:fldCharType="end"/>
      </w:r>
      <w:bookmarkEnd w:id="318"/>
      <w:r w:rsidRPr="00490C53">
        <w:t xml:space="preserve"> : Variables used in the PSM</w:t>
      </w:r>
      <w:bookmarkEnd w:id="319"/>
    </w:p>
    <w:tbl>
      <w:tblPr>
        <w:tblStyle w:val="TableGrid"/>
        <w:tblW w:w="5000" w:type="pct"/>
        <w:tblLook w:val="04A0" w:firstRow="1" w:lastRow="0" w:firstColumn="1" w:lastColumn="0" w:noHBand="0" w:noVBand="1"/>
      </w:tblPr>
      <w:tblGrid>
        <w:gridCol w:w="1844"/>
        <w:gridCol w:w="5952"/>
        <w:gridCol w:w="2358"/>
      </w:tblGrid>
      <w:tr w:rsidR="00581405" w:rsidRPr="00490C53" w14:paraId="3C72E5D3" w14:textId="77777777">
        <w:trPr>
          <w:cnfStyle w:val="100000000000" w:firstRow="1" w:lastRow="0" w:firstColumn="0" w:lastColumn="0" w:oddVBand="0" w:evenVBand="0" w:oddHBand="0" w:evenHBand="0" w:firstRowFirstColumn="0" w:firstRowLastColumn="0" w:lastRowFirstColumn="0" w:lastRowLastColumn="0"/>
          <w:tblHeader/>
        </w:trPr>
        <w:tc>
          <w:tcPr>
            <w:tcW w:w="908" w:type="pct"/>
          </w:tcPr>
          <w:p w14:paraId="1DCB1705" w14:textId="0DFBD4B4" w:rsidR="00581405" w:rsidRPr="00846F78" w:rsidRDefault="00C05EE9">
            <w:pPr>
              <w:pStyle w:val="Tablecolumnheading-inkblue"/>
              <w:rPr>
                <w:bCs/>
                <w:color w:val="FFFFFF" w:themeColor="background1"/>
              </w:rPr>
            </w:pPr>
            <w:r w:rsidRPr="00846F78">
              <w:rPr>
                <w:bCs/>
                <w:color w:val="FFFFFF" w:themeColor="background1"/>
              </w:rPr>
              <w:t>Variable</w:t>
            </w:r>
          </w:p>
        </w:tc>
        <w:tc>
          <w:tcPr>
            <w:tcW w:w="2931" w:type="pct"/>
          </w:tcPr>
          <w:p w14:paraId="133EED17" w14:textId="563B3F68" w:rsidR="00581405" w:rsidRPr="00846F78" w:rsidRDefault="00C05EE9" w:rsidP="00846F78">
            <w:pPr>
              <w:pStyle w:val="Tablecolumnheading-inkblue"/>
              <w:rPr>
                <w:bCs/>
                <w:color w:val="FFFFFF" w:themeColor="background1"/>
              </w:rPr>
            </w:pPr>
            <w:r w:rsidRPr="00846F78">
              <w:rPr>
                <w:bCs/>
                <w:color w:val="FFFFFF" w:themeColor="background1"/>
              </w:rPr>
              <w:t>Explanation</w:t>
            </w:r>
          </w:p>
        </w:tc>
        <w:tc>
          <w:tcPr>
            <w:tcW w:w="1161" w:type="pct"/>
          </w:tcPr>
          <w:p w14:paraId="701A4FC3" w14:textId="23CF0551" w:rsidR="00581405" w:rsidRPr="00846F78" w:rsidRDefault="00C05EE9">
            <w:pPr>
              <w:pStyle w:val="Tablecolumnheading-inkblue"/>
              <w:jc w:val="center"/>
              <w:rPr>
                <w:bCs/>
                <w:color w:val="FFFFFF" w:themeColor="background1"/>
              </w:rPr>
            </w:pPr>
            <w:r w:rsidRPr="00846F78">
              <w:rPr>
                <w:bCs/>
                <w:color w:val="FFFFFF" w:themeColor="background1"/>
              </w:rPr>
              <w:t>Source</w:t>
            </w:r>
          </w:p>
        </w:tc>
      </w:tr>
      <w:tr w:rsidR="00581405" w:rsidRPr="00490C53" w14:paraId="1FD99D0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908" w:type="pct"/>
            <w:vAlign w:val="center"/>
          </w:tcPr>
          <w:p w14:paraId="1EE79E68" w14:textId="77777777" w:rsidR="00581405" w:rsidRPr="00490C53" w:rsidDel="000A1204" w:rsidRDefault="00581405">
            <w:pPr>
              <w:pStyle w:val="Tabletext"/>
            </w:pPr>
            <w:r w:rsidRPr="00490C53">
              <w:t>Scheme</w:t>
            </w:r>
          </w:p>
        </w:tc>
        <w:tc>
          <w:tcPr>
            <w:tcW w:w="2931" w:type="pct"/>
            <w:vAlign w:val="center"/>
          </w:tcPr>
          <w:p w14:paraId="36B4AB96" w14:textId="77777777" w:rsidR="00581405" w:rsidRPr="00490C53" w:rsidRDefault="00581405">
            <w:pPr>
              <w:pStyle w:val="Tabletext"/>
              <w:spacing w:before="0"/>
              <w:rPr>
                <w:rStyle w:val="Bold"/>
                <w:b w:val="0"/>
              </w:rPr>
            </w:pPr>
            <w:r w:rsidRPr="00490C53">
              <w:t xml:space="preserve">Indicates under which </w:t>
            </w:r>
            <w:r w:rsidRPr="00490C53">
              <w:rPr>
                <w:rFonts w:cstheme="minorHAnsi"/>
                <w:szCs w:val="24"/>
              </w:rPr>
              <w:t>Covid-19 Loan Guarantee Scheme</w:t>
            </w:r>
            <w:r w:rsidRPr="00490C53">
              <w:t xml:space="preserve"> borrowers received the loan, and which </w:t>
            </w:r>
            <w:r w:rsidRPr="00490C53">
              <w:rPr>
                <w:rFonts w:cstheme="minorHAnsi"/>
                <w:szCs w:val="24"/>
              </w:rPr>
              <w:t>Covid-19 Loan Guarantee Scheme</w:t>
            </w:r>
            <w:r w:rsidRPr="00490C53">
              <w:t xml:space="preserve"> control businesses were assigned to</w:t>
            </w:r>
          </w:p>
        </w:tc>
        <w:tc>
          <w:tcPr>
            <w:tcW w:w="1161" w:type="pct"/>
            <w:vAlign w:val="center"/>
          </w:tcPr>
          <w:p w14:paraId="4C276EFC" w14:textId="77777777" w:rsidR="00581405" w:rsidRPr="00490C53" w:rsidRDefault="00581405">
            <w:pPr>
              <w:pStyle w:val="Tabletext"/>
              <w:spacing w:before="0"/>
              <w:rPr>
                <w:rStyle w:val="Bold"/>
                <w:b w:val="0"/>
              </w:rPr>
            </w:pPr>
            <w:r w:rsidRPr="00490C53">
              <w:t>BBB portal data</w:t>
            </w:r>
          </w:p>
        </w:tc>
      </w:tr>
      <w:tr w:rsidR="00581405" w:rsidRPr="00490C53" w14:paraId="6834BDF0" w14:textId="77777777">
        <w:tblPrEx>
          <w:tblCellMar>
            <w:left w:w="108" w:type="dxa"/>
            <w:right w:w="108" w:type="dxa"/>
          </w:tblCellMar>
        </w:tblPrEx>
        <w:tc>
          <w:tcPr>
            <w:tcW w:w="908" w:type="pct"/>
            <w:vAlign w:val="center"/>
          </w:tcPr>
          <w:p w14:paraId="7A6ADDF3" w14:textId="77777777" w:rsidR="00581405" w:rsidRPr="00490C53" w:rsidDel="000A1204" w:rsidRDefault="00581405">
            <w:pPr>
              <w:pStyle w:val="Tabletext"/>
            </w:pPr>
            <w:r w:rsidRPr="00490C53">
              <w:t>Treatment</w:t>
            </w:r>
          </w:p>
        </w:tc>
        <w:tc>
          <w:tcPr>
            <w:tcW w:w="2931" w:type="pct"/>
            <w:vAlign w:val="center"/>
          </w:tcPr>
          <w:p w14:paraId="70D1B87F" w14:textId="77777777" w:rsidR="00581405" w:rsidRPr="00490C53" w:rsidRDefault="00581405">
            <w:pPr>
              <w:pStyle w:val="Tabletext"/>
              <w:spacing w:before="0"/>
              <w:rPr>
                <w:rStyle w:val="Bold"/>
                <w:b w:val="0"/>
              </w:rPr>
            </w:pPr>
            <w:r w:rsidRPr="00490C53">
              <w:t xml:space="preserve">Indicates whether a business was a borrower under one of the </w:t>
            </w:r>
            <w:r w:rsidRPr="00490C53">
              <w:rPr>
                <w:rFonts w:cstheme="minorHAnsi"/>
                <w:szCs w:val="24"/>
              </w:rPr>
              <w:t>Covid-19 Loan Guarantee Schemes</w:t>
            </w:r>
          </w:p>
        </w:tc>
        <w:tc>
          <w:tcPr>
            <w:tcW w:w="1161" w:type="pct"/>
            <w:vAlign w:val="center"/>
          </w:tcPr>
          <w:p w14:paraId="389FDED7" w14:textId="77777777" w:rsidR="00581405" w:rsidRPr="00490C53" w:rsidRDefault="00581405">
            <w:pPr>
              <w:pStyle w:val="Tabletext"/>
              <w:spacing w:before="0"/>
              <w:rPr>
                <w:rStyle w:val="Bold"/>
                <w:b w:val="0"/>
              </w:rPr>
            </w:pPr>
            <w:r w:rsidRPr="00490C53">
              <w:t>IDBR</w:t>
            </w:r>
          </w:p>
        </w:tc>
      </w:tr>
      <w:tr w:rsidR="00581405" w:rsidRPr="00490C53" w14:paraId="22E426C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908" w:type="pct"/>
            <w:vAlign w:val="center"/>
          </w:tcPr>
          <w:p w14:paraId="4A67863D" w14:textId="77777777" w:rsidR="00581405" w:rsidRPr="00490C53" w:rsidDel="000A1204" w:rsidRDefault="00581405">
            <w:pPr>
              <w:pStyle w:val="Tabletext"/>
            </w:pPr>
            <w:r w:rsidRPr="00490C53">
              <w:t>Region</w:t>
            </w:r>
          </w:p>
        </w:tc>
        <w:tc>
          <w:tcPr>
            <w:tcW w:w="2931" w:type="pct"/>
            <w:vAlign w:val="center"/>
          </w:tcPr>
          <w:p w14:paraId="0095BB24" w14:textId="77777777" w:rsidR="00581405" w:rsidRPr="00490C53" w:rsidRDefault="00581405">
            <w:pPr>
              <w:pStyle w:val="Tabletext"/>
              <w:spacing w:before="0"/>
              <w:rPr>
                <w:rStyle w:val="Bold"/>
                <w:b w:val="0"/>
              </w:rPr>
            </w:pPr>
            <w:r w:rsidRPr="00490C53">
              <w:t>Businesses operating in the same part of the UK will be more likely to be similar and experience similar local economic conditions to each other than businesses in different parts of the UK. As a result, it would be expected that the region a business is based in may influence its decision to participate in the Covid-19 Loan Guarantee Schemes.</w:t>
            </w:r>
            <w:r w:rsidRPr="00490C53">
              <w:rPr>
                <w:rStyle w:val="FootnoteReference"/>
              </w:rPr>
              <w:footnoteReference w:id="179"/>
            </w:r>
          </w:p>
        </w:tc>
        <w:tc>
          <w:tcPr>
            <w:tcW w:w="1161" w:type="pct"/>
            <w:vAlign w:val="center"/>
          </w:tcPr>
          <w:p w14:paraId="0B38F38D" w14:textId="77777777" w:rsidR="00581405" w:rsidRPr="00490C53" w:rsidRDefault="00581405">
            <w:pPr>
              <w:pStyle w:val="Tabletext"/>
              <w:spacing w:before="0"/>
              <w:rPr>
                <w:rStyle w:val="Bold"/>
                <w:b w:val="0"/>
              </w:rPr>
            </w:pPr>
            <w:r w:rsidRPr="00490C53">
              <w:t>IDBR</w:t>
            </w:r>
          </w:p>
        </w:tc>
      </w:tr>
      <w:tr w:rsidR="00581405" w:rsidRPr="00490C53" w14:paraId="0AD28A93" w14:textId="77777777">
        <w:tblPrEx>
          <w:tblCellMar>
            <w:left w:w="108" w:type="dxa"/>
            <w:right w:w="108" w:type="dxa"/>
          </w:tblCellMar>
        </w:tblPrEx>
        <w:tc>
          <w:tcPr>
            <w:tcW w:w="908" w:type="pct"/>
            <w:vAlign w:val="center"/>
          </w:tcPr>
          <w:p w14:paraId="25B0EC10" w14:textId="77777777" w:rsidR="00581405" w:rsidRPr="00490C53" w:rsidDel="000A1204" w:rsidRDefault="00581405">
            <w:pPr>
              <w:pStyle w:val="Tabletext"/>
            </w:pPr>
            <w:r w:rsidRPr="00490C53">
              <w:t>Sector</w:t>
            </w:r>
          </w:p>
        </w:tc>
        <w:tc>
          <w:tcPr>
            <w:tcW w:w="2931" w:type="pct"/>
            <w:vAlign w:val="center"/>
          </w:tcPr>
          <w:p w14:paraId="0F5CE763" w14:textId="77777777" w:rsidR="00581405" w:rsidRPr="00490C53" w:rsidRDefault="00581405">
            <w:pPr>
              <w:pStyle w:val="Tabletext"/>
              <w:spacing w:before="0"/>
              <w:rPr>
                <w:rStyle w:val="Bold"/>
                <w:b w:val="0"/>
              </w:rPr>
            </w:pPr>
            <w:r w:rsidRPr="00490C53">
              <w:t>Businesses operating in the same sector will be more likely to face similar challenges and trading conditions.</w:t>
            </w:r>
            <w:r w:rsidRPr="00490C53">
              <w:rPr>
                <w:rStyle w:val="FootnoteReference"/>
              </w:rPr>
              <w:footnoteReference w:id="180"/>
            </w:r>
          </w:p>
        </w:tc>
        <w:tc>
          <w:tcPr>
            <w:tcW w:w="1161" w:type="pct"/>
            <w:vAlign w:val="center"/>
          </w:tcPr>
          <w:p w14:paraId="7A257A52" w14:textId="77777777" w:rsidR="00581405" w:rsidRPr="00490C53" w:rsidRDefault="00581405">
            <w:pPr>
              <w:pStyle w:val="Tabletext"/>
              <w:spacing w:before="0"/>
              <w:rPr>
                <w:rStyle w:val="Bold"/>
                <w:b w:val="0"/>
              </w:rPr>
            </w:pPr>
            <w:r w:rsidRPr="00490C53">
              <w:t>IDBR</w:t>
            </w:r>
          </w:p>
        </w:tc>
      </w:tr>
      <w:tr w:rsidR="00581405" w:rsidRPr="00490C53" w14:paraId="41A7BA1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908" w:type="pct"/>
            <w:vAlign w:val="center"/>
          </w:tcPr>
          <w:p w14:paraId="4A1ADF20" w14:textId="77777777" w:rsidR="00581405" w:rsidRPr="00490C53" w:rsidDel="000A1204" w:rsidRDefault="00581405">
            <w:pPr>
              <w:pStyle w:val="Tabletext"/>
            </w:pPr>
            <w:r w:rsidRPr="00490C53">
              <w:t>Size prior to the pandemic</w:t>
            </w:r>
          </w:p>
        </w:tc>
        <w:tc>
          <w:tcPr>
            <w:tcW w:w="2931" w:type="pct"/>
            <w:vAlign w:val="center"/>
          </w:tcPr>
          <w:p w14:paraId="03EEB189" w14:textId="3D7E25FE" w:rsidR="00581405" w:rsidRPr="00490C53" w:rsidRDefault="00581405">
            <w:pPr>
              <w:pStyle w:val="Tabletext"/>
              <w:spacing w:before="0"/>
              <w:rPr>
                <w:rStyle w:val="Bold"/>
                <w:b w:val="0"/>
              </w:rPr>
            </w:pPr>
            <w:r w:rsidRPr="00490C53">
              <w:t>Businesses of different sizes will have different considerations in terms of the kinds of challenges they face and their response to the pandemic. Two different measures of size were used (number of staff and turnover), measured in the September extract of the IDBR that referred to the last p</w:t>
            </w:r>
            <w:r w:rsidRPr="00846F78">
              <w:rPr>
                <w:rFonts w:cstheme="minorHAnsi"/>
              </w:rPr>
              <w:t xml:space="preserve">eriod available that </w:t>
            </w:r>
            <w:r w:rsidRPr="00846F78">
              <w:rPr>
                <w:rFonts w:cstheme="minorHAnsi"/>
              </w:rPr>
              <w:lastRenderedPageBreak/>
              <w:t>was entirely before the pandemic</w:t>
            </w:r>
            <w:r w:rsidRPr="00490C53">
              <w:t>,</w:t>
            </w:r>
            <w:r w:rsidRPr="00490C53">
              <w:rPr>
                <w:rStyle w:val="FootnoteReference"/>
              </w:rPr>
              <w:footnoteReference w:id="181"/>
            </w:r>
            <w:r w:rsidRPr="00490C53">
              <w:t xml:space="preserve"> respectively for each of turnover and employment.</w:t>
            </w:r>
            <w:r w:rsidRPr="00490C53">
              <w:rPr>
                <w:rStyle w:val="FootnoteReference"/>
              </w:rPr>
              <w:footnoteReference w:id="182"/>
            </w:r>
            <w:r w:rsidR="00D369B7">
              <w:t xml:space="preserve"> </w:t>
            </w:r>
            <w:r w:rsidRPr="00490C53">
              <w:rPr>
                <w:rStyle w:val="FootnoteReference"/>
              </w:rPr>
              <w:footnoteReference w:id="183"/>
            </w:r>
          </w:p>
        </w:tc>
        <w:tc>
          <w:tcPr>
            <w:tcW w:w="1161" w:type="pct"/>
            <w:vAlign w:val="center"/>
          </w:tcPr>
          <w:p w14:paraId="771D7F40" w14:textId="77777777" w:rsidR="00581405" w:rsidRPr="00490C53" w:rsidRDefault="00581405">
            <w:pPr>
              <w:pStyle w:val="Tabletext"/>
              <w:spacing w:before="0"/>
              <w:rPr>
                <w:rStyle w:val="Bold"/>
                <w:b w:val="0"/>
              </w:rPr>
            </w:pPr>
            <w:r w:rsidRPr="00490C53">
              <w:lastRenderedPageBreak/>
              <w:t>IDBR</w:t>
            </w:r>
          </w:p>
        </w:tc>
      </w:tr>
      <w:tr w:rsidR="00581405" w:rsidRPr="00490C53" w14:paraId="043C9F0A" w14:textId="77777777">
        <w:tblPrEx>
          <w:tblCellMar>
            <w:left w:w="108" w:type="dxa"/>
            <w:right w:w="108" w:type="dxa"/>
          </w:tblCellMar>
        </w:tblPrEx>
        <w:tc>
          <w:tcPr>
            <w:tcW w:w="908" w:type="pct"/>
            <w:vAlign w:val="center"/>
          </w:tcPr>
          <w:p w14:paraId="5A9A669C" w14:textId="77777777" w:rsidR="00581405" w:rsidRPr="00490C53" w:rsidDel="000A1204" w:rsidRDefault="00581405">
            <w:pPr>
              <w:pStyle w:val="Tabletext"/>
            </w:pPr>
            <w:r w:rsidRPr="00490C53">
              <w:t>Age</w:t>
            </w:r>
          </w:p>
        </w:tc>
        <w:tc>
          <w:tcPr>
            <w:tcW w:w="2931" w:type="pct"/>
            <w:vAlign w:val="center"/>
          </w:tcPr>
          <w:p w14:paraId="705F443D" w14:textId="77777777" w:rsidR="00581405" w:rsidRPr="00490C53" w:rsidRDefault="00581405">
            <w:pPr>
              <w:pStyle w:val="Tabletext"/>
              <w:spacing w:before="0"/>
              <w:rPr>
                <w:rStyle w:val="Bold"/>
                <w:b w:val="0"/>
              </w:rPr>
            </w:pPr>
            <w:r w:rsidRPr="00490C53">
              <w:t>More established businesses are likely to be impacted differently than nascent businesses and similarly are likely to have different responses to the adversity of the pandemic. The IDBR includes data on the birthdate of businesses, which was used to calculate business age in 2019.</w:t>
            </w:r>
            <w:r w:rsidRPr="00490C53">
              <w:rPr>
                <w:rStyle w:val="FootnoteReference"/>
              </w:rPr>
              <w:footnoteReference w:id="184"/>
            </w:r>
          </w:p>
        </w:tc>
        <w:tc>
          <w:tcPr>
            <w:tcW w:w="1161" w:type="pct"/>
            <w:vAlign w:val="center"/>
          </w:tcPr>
          <w:p w14:paraId="11C9C2A3" w14:textId="77777777" w:rsidR="00581405" w:rsidRPr="00490C53" w:rsidRDefault="00581405">
            <w:pPr>
              <w:pStyle w:val="Tabletext"/>
              <w:spacing w:before="0"/>
              <w:rPr>
                <w:rStyle w:val="Bold"/>
                <w:b w:val="0"/>
              </w:rPr>
            </w:pPr>
            <w:r w:rsidRPr="00490C53">
              <w:t>LE calculation based on the IDBR</w:t>
            </w:r>
          </w:p>
        </w:tc>
      </w:tr>
      <w:tr w:rsidR="00581405" w:rsidRPr="00490C53" w14:paraId="3F1C9B9B"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908" w:type="pct"/>
            <w:vAlign w:val="center"/>
          </w:tcPr>
          <w:p w14:paraId="24AE0279" w14:textId="77777777" w:rsidR="00581405" w:rsidRPr="00490C53" w:rsidDel="000A1204" w:rsidRDefault="00581405">
            <w:pPr>
              <w:pStyle w:val="Tabletext"/>
            </w:pPr>
            <w:r w:rsidRPr="00490C53">
              <w:lastRenderedPageBreak/>
              <w:t>Growth rates prior to the pandemic</w:t>
            </w:r>
          </w:p>
        </w:tc>
        <w:tc>
          <w:tcPr>
            <w:tcW w:w="2931" w:type="pct"/>
            <w:vAlign w:val="center"/>
          </w:tcPr>
          <w:p w14:paraId="42A1AC81" w14:textId="77777777" w:rsidR="00581405" w:rsidRPr="00490C53" w:rsidRDefault="00581405">
            <w:pPr>
              <w:pStyle w:val="Tabletext"/>
              <w:spacing w:before="0"/>
              <w:rPr>
                <w:rStyle w:val="Bold"/>
                <w:b w:val="0"/>
              </w:rPr>
            </w:pPr>
            <w:r w:rsidRPr="00490C53">
              <w:t>Businesses that are growing at different rates may have different considerations in terms of the kinds of challenges they face and their response to the pandemic. For example, a business experiencing rapid growth prior to the pandemic may be impacted differently than a business that was shrinking prior to the pandemic. For each of the two different measures of business size that were used (employment and turnover), one-year growth rates were calculated for each of the two years immediately preceding the last pre-pandemic year.</w:t>
            </w:r>
            <w:r w:rsidRPr="00490C53">
              <w:rPr>
                <w:rStyle w:val="FootnoteReference"/>
              </w:rPr>
              <w:footnoteReference w:id="185"/>
            </w:r>
          </w:p>
        </w:tc>
        <w:tc>
          <w:tcPr>
            <w:tcW w:w="1161" w:type="pct"/>
            <w:vAlign w:val="center"/>
          </w:tcPr>
          <w:p w14:paraId="4F63B4D1" w14:textId="77777777" w:rsidR="00581405" w:rsidRPr="00490C53" w:rsidRDefault="00581405">
            <w:pPr>
              <w:pStyle w:val="Tabletext"/>
              <w:spacing w:before="0"/>
              <w:rPr>
                <w:rStyle w:val="Bold"/>
                <w:b w:val="0"/>
              </w:rPr>
            </w:pPr>
            <w:r w:rsidRPr="00490C53">
              <w:t>LE calculation based on the IDBR</w:t>
            </w:r>
          </w:p>
        </w:tc>
      </w:tr>
    </w:tbl>
    <w:p w14:paraId="087F6E8A" w14:textId="77777777" w:rsidR="00750F0B" w:rsidRPr="00490C53" w:rsidRDefault="00750F0B" w:rsidP="00750F0B">
      <w:pPr>
        <w:pStyle w:val="Caption"/>
      </w:pPr>
      <w:r w:rsidRPr="00490C53">
        <w:t>Source: London Economics’ analysis</w:t>
      </w:r>
    </w:p>
    <w:p w14:paraId="2D6FD373" w14:textId="60E0930B" w:rsidR="00143121" w:rsidRDefault="00143121" w:rsidP="004109D1">
      <w:r>
        <w:rPr>
          <w:i/>
          <w:iCs/>
        </w:rPr>
        <w:t xml:space="preserve">Variables used in the difference-in-differences </w:t>
      </w:r>
      <w:r w:rsidRPr="00143121">
        <w:rPr>
          <w:i/>
          <w:iCs/>
        </w:rPr>
        <w:t>analysis</w:t>
      </w:r>
    </w:p>
    <w:p w14:paraId="2BE89E65" w14:textId="23D582E8" w:rsidR="004109D1" w:rsidRPr="00490C53" w:rsidRDefault="004109D1" w:rsidP="004109D1">
      <w:r w:rsidRPr="00143121">
        <w:t>Compared</w:t>
      </w:r>
      <w:r w:rsidRPr="00490C53">
        <w:t xml:space="preserve"> to the </w:t>
      </w:r>
      <w:r w:rsidR="00DA466B">
        <w:t>Y</w:t>
      </w:r>
      <w:r w:rsidRPr="00490C53">
        <w:t>ear 1 survey analysis, secondary data sources were not available on the use of VAT deferral or the use of other support apart from participation in the CJRS.</w:t>
      </w:r>
      <w:r w:rsidRPr="00490C53">
        <w:rPr>
          <w:rStyle w:val="FootnoteReference"/>
        </w:rPr>
        <w:footnoteReference w:id="186"/>
      </w:r>
      <w:r w:rsidRPr="00490C53">
        <w:t xml:space="preserve"> Use of other support (apart from CJRS) has therefore not been included as a control variable in the </w:t>
      </w:r>
      <w:r w:rsidR="00DA466B">
        <w:t>Y</w:t>
      </w:r>
      <w:r w:rsidRPr="00490C53">
        <w:t xml:space="preserve">ear 1 </w:t>
      </w:r>
      <w:r w:rsidR="001F5733">
        <w:t>secondary analysis</w:t>
      </w:r>
      <w:r w:rsidRPr="00490C53">
        <w:t>. Similarly, secondary data on the protected characteristics of the ownership of businesses in the IDBR was not available, so analysis of the impact of the Covid-19 Loan Guarantee Schemes on the turnover and employment has not been analysed by protected characteristic among business ownership.</w:t>
      </w:r>
    </w:p>
    <w:p w14:paraId="3459C8F1" w14:textId="7F77E3FF" w:rsidR="004109D1" w:rsidRPr="00490C53" w:rsidRDefault="008F0409" w:rsidP="004109D1">
      <w:r w:rsidRPr="00490C53">
        <w:lastRenderedPageBreak/>
        <w:t>T</w:t>
      </w:r>
      <w:r w:rsidR="004109D1" w:rsidRPr="00490C53">
        <w:t xml:space="preserve">he region and sector variables used in the difference-in-difference regression </w:t>
      </w:r>
      <w:r w:rsidR="005406E7">
        <w:t xml:space="preserve">(for the analysis by region and sector) </w:t>
      </w:r>
      <w:r w:rsidR="004109D1" w:rsidRPr="00490C53">
        <w:t xml:space="preserve">were analysed using the same disaggregation as the </w:t>
      </w:r>
      <w:r w:rsidR="00DA466B">
        <w:t>Y</w:t>
      </w:r>
      <w:r w:rsidR="004109D1" w:rsidRPr="00490C53">
        <w:t>ear 1 survey analysis.</w:t>
      </w:r>
    </w:p>
    <w:p w14:paraId="66D364C5" w14:textId="0B7870F6" w:rsidR="00C05EE9" w:rsidRPr="00490C53" w:rsidRDefault="00C05EE9" w:rsidP="00C05EE9">
      <w:pPr>
        <w:pStyle w:val="Heading5"/>
      </w:pPr>
      <w:r w:rsidRPr="00490C53">
        <w:t xml:space="preserve">Table </w:t>
      </w:r>
      <w:r w:rsidR="00B6604F" w:rsidRPr="00846F78">
        <w:fldChar w:fldCharType="begin"/>
      </w:r>
      <w:r w:rsidR="00B6604F" w:rsidRPr="00490C53">
        <w:instrText xml:space="preserve"> SEQ Table \* ARABIC </w:instrText>
      </w:r>
      <w:r w:rsidR="00B6604F" w:rsidRPr="00846F78">
        <w:fldChar w:fldCharType="separate"/>
      </w:r>
      <w:r w:rsidR="00397D49">
        <w:rPr>
          <w:noProof/>
        </w:rPr>
        <w:t>53</w:t>
      </w:r>
      <w:r w:rsidR="00B6604F" w:rsidRPr="00846F78">
        <w:fldChar w:fldCharType="end"/>
      </w:r>
      <w:r w:rsidRPr="00490C53">
        <w:t xml:space="preserve"> : </w:t>
      </w:r>
      <w:r w:rsidR="00A43392" w:rsidRPr="00490C53">
        <w:t>Variables used in the fixed effects regression</w:t>
      </w:r>
    </w:p>
    <w:tbl>
      <w:tblPr>
        <w:tblStyle w:val="TableGrid"/>
        <w:tblW w:w="5000" w:type="pct"/>
        <w:tblLook w:val="04A0" w:firstRow="1" w:lastRow="0" w:firstColumn="1" w:lastColumn="0" w:noHBand="0" w:noVBand="1"/>
      </w:tblPr>
      <w:tblGrid>
        <w:gridCol w:w="1844"/>
        <w:gridCol w:w="5952"/>
        <w:gridCol w:w="2358"/>
      </w:tblGrid>
      <w:tr w:rsidR="00BB108B" w:rsidRPr="00490C53" w14:paraId="6E92C2E3" w14:textId="77777777" w:rsidTr="00846F78">
        <w:trPr>
          <w:cnfStyle w:val="100000000000" w:firstRow="1" w:lastRow="0" w:firstColumn="0" w:lastColumn="0" w:oddVBand="0" w:evenVBand="0" w:oddHBand="0" w:evenHBand="0" w:firstRowFirstColumn="0" w:firstRowLastColumn="0" w:lastRowFirstColumn="0" w:lastRowLastColumn="0"/>
          <w:tblHeader/>
        </w:trPr>
        <w:tc>
          <w:tcPr>
            <w:tcW w:w="0" w:type="pct"/>
            <w:vAlign w:val="center"/>
          </w:tcPr>
          <w:p w14:paraId="56CDD49A" w14:textId="63CCCC22" w:rsidR="00BB108B" w:rsidRPr="00490C53" w:rsidRDefault="00BB108B">
            <w:pPr>
              <w:pStyle w:val="Tablecolumnheading-inkblue"/>
              <w:rPr>
                <w:b w:val="0"/>
                <w:color w:val="FFFFFF" w:themeColor="background1"/>
                <w:sz w:val="22"/>
                <w:szCs w:val="20"/>
              </w:rPr>
            </w:pPr>
            <w:r w:rsidRPr="00846F78">
              <w:rPr>
                <w:color w:val="FFFFFF" w:themeColor="background1"/>
              </w:rPr>
              <w:t>Variable</w:t>
            </w:r>
          </w:p>
        </w:tc>
        <w:tc>
          <w:tcPr>
            <w:tcW w:w="0" w:type="pct"/>
            <w:vAlign w:val="center"/>
          </w:tcPr>
          <w:p w14:paraId="3161EC2A" w14:textId="42C03168" w:rsidR="00BB108B" w:rsidRPr="00490C53" w:rsidRDefault="00BB108B" w:rsidP="00846F78">
            <w:pPr>
              <w:pStyle w:val="Tablecolumnheading-inkblue"/>
              <w:rPr>
                <w:bCs/>
                <w:color w:val="FFFFFF" w:themeColor="background1"/>
                <w:sz w:val="22"/>
                <w:szCs w:val="20"/>
              </w:rPr>
            </w:pPr>
            <w:r w:rsidRPr="00846F78">
              <w:rPr>
                <w:color w:val="FFFFFF" w:themeColor="background1"/>
              </w:rPr>
              <w:t>Explanation</w:t>
            </w:r>
          </w:p>
        </w:tc>
        <w:tc>
          <w:tcPr>
            <w:tcW w:w="0" w:type="pct"/>
            <w:vAlign w:val="center"/>
          </w:tcPr>
          <w:p w14:paraId="14ADE765" w14:textId="623442B0" w:rsidR="00BB108B" w:rsidRPr="00490C53" w:rsidRDefault="00BB108B" w:rsidP="00846F78">
            <w:pPr>
              <w:pStyle w:val="Tablecolumnheading-inkblue"/>
              <w:rPr>
                <w:bCs/>
                <w:color w:val="FFFFFF" w:themeColor="background1"/>
                <w:sz w:val="22"/>
                <w:szCs w:val="20"/>
              </w:rPr>
            </w:pPr>
            <w:r w:rsidRPr="00846F78">
              <w:rPr>
                <w:color w:val="FFFFFF" w:themeColor="background1"/>
              </w:rPr>
              <w:t>Source</w:t>
            </w:r>
          </w:p>
        </w:tc>
      </w:tr>
      <w:tr w:rsidR="00BB108B" w:rsidRPr="00490C53" w14:paraId="3B76132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908" w:type="pct"/>
            <w:vAlign w:val="center"/>
          </w:tcPr>
          <w:p w14:paraId="0F4B7D52" w14:textId="09EF46F6" w:rsidR="00BB108B" w:rsidRPr="00490C53" w:rsidDel="000A1204" w:rsidRDefault="00BB108B" w:rsidP="00BB108B">
            <w:pPr>
              <w:pStyle w:val="Tabletext"/>
            </w:pPr>
            <w:r w:rsidRPr="00490C53">
              <w:t>Business outcomes (turnover and employment)</w:t>
            </w:r>
          </w:p>
        </w:tc>
        <w:tc>
          <w:tcPr>
            <w:tcW w:w="2931" w:type="pct"/>
            <w:vAlign w:val="center"/>
          </w:tcPr>
          <w:p w14:paraId="5E137A32" w14:textId="5D37ACAE" w:rsidR="00BB108B" w:rsidRPr="00490C53" w:rsidRDefault="00BB108B" w:rsidP="00BB108B">
            <w:pPr>
              <w:pStyle w:val="Tabletext"/>
              <w:spacing w:before="0"/>
              <w:rPr>
                <w:rStyle w:val="Bold"/>
                <w:b w:val="0"/>
              </w:rPr>
            </w:pPr>
            <w:r w:rsidRPr="00490C53">
              <w:t>These were based on September extracts from the IDBR. The data used related to the last period available to London Economics from the IDBR that was entirely before the pandemic (this is referred to as the ‘pre-pandemic’ or ‘pre-intervention’ period), and the first period predominantly after the onset of the pandemic (this is referred to as the</w:t>
            </w:r>
            <w:r w:rsidR="00DA5997">
              <w:t xml:space="preserve"> first year of the pandemic, </w:t>
            </w:r>
            <w:r w:rsidRPr="00490C53">
              <w:t>‘post-pandemic’</w:t>
            </w:r>
            <w:r w:rsidR="00DA5997">
              <w:t xml:space="preserve">, </w:t>
            </w:r>
            <w:r w:rsidRPr="00490C53">
              <w:t xml:space="preserve">‘post-intervention’ </w:t>
            </w:r>
            <w:r w:rsidR="00DA5997">
              <w:t xml:space="preserve">or ‘post-treatment' </w:t>
            </w:r>
            <w:r w:rsidRPr="00490C53">
              <w:t>period).</w:t>
            </w:r>
            <w:r w:rsidRPr="00490C53">
              <w:rPr>
                <w:rStyle w:val="FootnoteReference"/>
              </w:rPr>
              <w:footnoteReference w:id="187"/>
            </w:r>
          </w:p>
        </w:tc>
        <w:tc>
          <w:tcPr>
            <w:tcW w:w="1161" w:type="pct"/>
            <w:vAlign w:val="center"/>
          </w:tcPr>
          <w:p w14:paraId="2C43ADFA" w14:textId="6B747614" w:rsidR="00BB108B" w:rsidRPr="00490C53" w:rsidRDefault="00BB108B" w:rsidP="00BB108B">
            <w:pPr>
              <w:pStyle w:val="Tabletext"/>
              <w:spacing w:before="0"/>
              <w:rPr>
                <w:rStyle w:val="Bold"/>
                <w:b w:val="0"/>
              </w:rPr>
            </w:pPr>
            <w:r w:rsidRPr="00490C53">
              <w:t>IDBR</w:t>
            </w:r>
          </w:p>
        </w:tc>
      </w:tr>
      <w:tr w:rsidR="00BB108B" w:rsidRPr="00490C53" w14:paraId="53B2EDF9" w14:textId="77777777">
        <w:tblPrEx>
          <w:tblCellMar>
            <w:left w:w="108" w:type="dxa"/>
            <w:right w:w="108" w:type="dxa"/>
          </w:tblCellMar>
        </w:tblPrEx>
        <w:tc>
          <w:tcPr>
            <w:tcW w:w="908" w:type="pct"/>
            <w:vAlign w:val="center"/>
          </w:tcPr>
          <w:p w14:paraId="3BCAB0DD" w14:textId="6DE2CEDB" w:rsidR="00BB108B" w:rsidRPr="00490C53" w:rsidDel="000A1204" w:rsidRDefault="00BB108B" w:rsidP="00BB108B">
            <w:pPr>
              <w:pStyle w:val="Tabletext"/>
            </w:pPr>
            <w:r w:rsidRPr="00490C53">
              <w:t>Treatment</w:t>
            </w:r>
          </w:p>
        </w:tc>
        <w:tc>
          <w:tcPr>
            <w:tcW w:w="2931" w:type="pct"/>
            <w:vAlign w:val="center"/>
          </w:tcPr>
          <w:p w14:paraId="69EFF05D" w14:textId="600712E4" w:rsidR="00BB108B" w:rsidRPr="00490C53" w:rsidRDefault="00BB108B" w:rsidP="00BB108B">
            <w:pPr>
              <w:pStyle w:val="Tabletext"/>
              <w:spacing w:before="0"/>
              <w:rPr>
                <w:rStyle w:val="Bold"/>
                <w:b w:val="0"/>
              </w:rPr>
            </w:pPr>
            <w:r w:rsidRPr="00490C53">
              <w:t>See</w:t>
            </w:r>
            <w:r w:rsidR="00750F0B" w:rsidRPr="00490C53">
              <w:t xml:space="preserve"> </w:t>
            </w:r>
            <w:r w:rsidR="003428BD">
              <w:fldChar w:fldCharType="begin"/>
            </w:r>
            <w:r w:rsidR="003428BD">
              <w:instrText xml:space="preserve"> REF _Ref132207635 \h </w:instrText>
            </w:r>
            <w:r w:rsidR="003428BD">
              <w:fldChar w:fldCharType="separate"/>
            </w:r>
            <w:r w:rsidR="00397D49" w:rsidRPr="00490C53">
              <w:t xml:space="preserve">Table </w:t>
            </w:r>
            <w:r w:rsidR="00397D49">
              <w:rPr>
                <w:noProof/>
              </w:rPr>
              <w:t>52</w:t>
            </w:r>
            <w:r w:rsidR="003428BD">
              <w:fldChar w:fldCharType="end"/>
            </w:r>
            <w:r w:rsidRPr="00490C53">
              <w:t xml:space="preserve"> above</w:t>
            </w:r>
          </w:p>
        </w:tc>
        <w:tc>
          <w:tcPr>
            <w:tcW w:w="1161" w:type="pct"/>
            <w:vAlign w:val="center"/>
          </w:tcPr>
          <w:p w14:paraId="34E51712" w14:textId="31160B93" w:rsidR="00BB108B" w:rsidRPr="00490C53" w:rsidRDefault="00BB108B" w:rsidP="00BB108B">
            <w:pPr>
              <w:pStyle w:val="Tabletext"/>
              <w:spacing w:before="0"/>
              <w:rPr>
                <w:rStyle w:val="Bold"/>
                <w:b w:val="0"/>
              </w:rPr>
            </w:pPr>
            <w:r w:rsidRPr="00490C53">
              <w:t>IDBR</w:t>
            </w:r>
          </w:p>
        </w:tc>
      </w:tr>
      <w:tr w:rsidR="00BB108B" w:rsidRPr="00490C53" w14:paraId="6C65445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908" w:type="pct"/>
            <w:vAlign w:val="center"/>
          </w:tcPr>
          <w:p w14:paraId="12603A88" w14:textId="35C6CA70" w:rsidR="00BB108B" w:rsidRPr="00490C53" w:rsidDel="000A1204" w:rsidRDefault="00BB108B" w:rsidP="00BB108B">
            <w:pPr>
              <w:pStyle w:val="Tabletext"/>
            </w:pPr>
            <w:r w:rsidRPr="00490C53">
              <w:t>Region</w:t>
            </w:r>
          </w:p>
        </w:tc>
        <w:tc>
          <w:tcPr>
            <w:tcW w:w="2931" w:type="pct"/>
            <w:vAlign w:val="center"/>
          </w:tcPr>
          <w:p w14:paraId="10B23B6A" w14:textId="035EF424" w:rsidR="00BB108B" w:rsidRPr="00490C53" w:rsidRDefault="00750F0B" w:rsidP="00BB108B">
            <w:pPr>
              <w:pStyle w:val="Tabletext"/>
              <w:spacing w:before="0"/>
              <w:rPr>
                <w:rStyle w:val="Bold"/>
                <w:b w:val="0"/>
              </w:rPr>
            </w:pPr>
            <w:r w:rsidRPr="00490C53">
              <w:t xml:space="preserve">See </w:t>
            </w:r>
            <w:r w:rsidR="003428BD">
              <w:fldChar w:fldCharType="begin"/>
            </w:r>
            <w:r w:rsidR="003428BD">
              <w:instrText xml:space="preserve"> REF _Ref132207635 \h </w:instrText>
            </w:r>
            <w:r w:rsidR="003428BD">
              <w:fldChar w:fldCharType="separate"/>
            </w:r>
            <w:r w:rsidR="00397D49" w:rsidRPr="00490C53">
              <w:t xml:space="preserve">Table </w:t>
            </w:r>
            <w:r w:rsidR="00397D49">
              <w:rPr>
                <w:noProof/>
              </w:rPr>
              <w:t>52</w:t>
            </w:r>
            <w:r w:rsidR="003428BD">
              <w:fldChar w:fldCharType="end"/>
            </w:r>
            <w:r w:rsidRPr="00490C53">
              <w:t xml:space="preserve"> above</w:t>
            </w:r>
          </w:p>
        </w:tc>
        <w:tc>
          <w:tcPr>
            <w:tcW w:w="1161" w:type="pct"/>
            <w:vAlign w:val="center"/>
          </w:tcPr>
          <w:p w14:paraId="209E1A57" w14:textId="0CC00560" w:rsidR="00BB108B" w:rsidRPr="00490C53" w:rsidRDefault="00BB108B" w:rsidP="00BB108B">
            <w:pPr>
              <w:pStyle w:val="Tabletext"/>
              <w:spacing w:before="0"/>
              <w:rPr>
                <w:rStyle w:val="Bold"/>
                <w:b w:val="0"/>
              </w:rPr>
            </w:pPr>
            <w:r w:rsidRPr="00490C53">
              <w:t>IDBR</w:t>
            </w:r>
          </w:p>
        </w:tc>
      </w:tr>
      <w:tr w:rsidR="00BB108B" w:rsidRPr="00490C53" w14:paraId="70FCF26A" w14:textId="77777777">
        <w:tblPrEx>
          <w:tblCellMar>
            <w:left w:w="108" w:type="dxa"/>
            <w:right w:w="108" w:type="dxa"/>
          </w:tblCellMar>
        </w:tblPrEx>
        <w:tc>
          <w:tcPr>
            <w:tcW w:w="908" w:type="pct"/>
            <w:vAlign w:val="center"/>
          </w:tcPr>
          <w:p w14:paraId="03FC6594" w14:textId="3D9AE1CE" w:rsidR="00BB108B" w:rsidRPr="00490C53" w:rsidDel="000A1204" w:rsidRDefault="00BB108B" w:rsidP="00BB108B">
            <w:pPr>
              <w:pStyle w:val="Tabletext"/>
            </w:pPr>
            <w:r w:rsidRPr="00490C53">
              <w:t>Sector</w:t>
            </w:r>
          </w:p>
        </w:tc>
        <w:tc>
          <w:tcPr>
            <w:tcW w:w="2931" w:type="pct"/>
            <w:vAlign w:val="center"/>
          </w:tcPr>
          <w:p w14:paraId="04D17E77" w14:textId="6A023BC2" w:rsidR="00BB108B" w:rsidRPr="00490C53" w:rsidRDefault="00750F0B" w:rsidP="00BB108B">
            <w:pPr>
              <w:pStyle w:val="Tabletext"/>
              <w:spacing w:before="0"/>
              <w:rPr>
                <w:rStyle w:val="Bold"/>
                <w:b w:val="0"/>
              </w:rPr>
            </w:pPr>
            <w:r w:rsidRPr="00490C53">
              <w:t xml:space="preserve">See </w:t>
            </w:r>
            <w:r w:rsidR="003428BD">
              <w:fldChar w:fldCharType="begin"/>
            </w:r>
            <w:r w:rsidR="003428BD">
              <w:instrText xml:space="preserve"> REF _Ref132207635 \h </w:instrText>
            </w:r>
            <w:r w:rsidR="003428BD">
              <w:fldChar w:fldCharType="separate"/>
            </w:r>
            <w:r w:rsidR="00397D49" w:rsidRPr="00490C53">
              <w:t xml:space="preserve">Table </w:t>
            </w:r>
            <w:r w:rsidR="00397D49">
              <w:rPr>
                <w:noProof/>
              </w:rPr>
              <w:t>52</w:t>
            </w:r>
            <w:r w:rsidR="003428BD">
              <w:fldChar w:fldCharType="end"/>
            </w:r>
            <w:r w:rsidR="003428BD">
              <w:t xml:space="preserve"> </w:t>
            </w:r>
            <w:r w:rsidRPr="00490C53">
              <w:t>above</w:t>
            </w:r>
          </w:p>
        </w:tc>
        <w:tc>
          <w:tcPr>
            <w:tcW w:w="1161" w:type="pct"/>
            <w:vAlign w:val="center"/>
          </w:tcPr>
          <w:p w14:paraId="73ED4856" w14:textId="0F0D08A2" w:rsidR="00BB108B" w:rsidRPr="00490C53" w:rsidRDefault="00BB108B" w:rsidP="00BB108B">
            <w:pPr>
              <w:pStyle w:val="Tabletext"/>
              <w:spacing w:before="0"/>
              <w:rPr>
                <w:rStyle w:val="Bold"/>
                <w:b w:val="0"/>
              </w:rPr>
            </w:pPr>
            <w:r w:rsidRPr="00490C53">
              <w:t>IDBR</w:t>
            </w:r>
          </w:p>
        </w:tc>
      </w:tr>
      <w:tr w:rsidR="00BB108B" w:rsidRPr="00490C53" w14:paraId="517F419E"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908" w:type="pct"/>
            <w:vAlign w:val="center"/>
          </w:tcPr>
          <w:p w14:paraId="32ECD15B" w14:textId="0210E16F" w:rsidR="00BB108B" w:rsidRPr="00490C53" w:rsidDel="000A1204" w:rsidRDefault="00BB108B" w:rsidP="00BB108B">
            <w:pPr>
              <w:pStyle w:val="Tabletext"/>
            </w:pPr>
            <w:r w:rsidRPr="00490C53">
              <w:t>Use of the CJRS</w:t>
            </w:r>
          </w:p>
        </w:tc>
        <w:tc>
          <w:tcPr>
            <w:tcW w:w="2931" w:type="pct"/>
            <w:vAlign w:val="center"/>
          </w:tcPr>
          <w:p w14:paraId="42286BD9" w14:textId="5CA503BD" w:rsidR="00BB108B" w:rsidRPr="00490C53" w:rsidRDefault="00BB108B" w:rsidP="00BB108B">
            <w:pPr>
              <w:pStyle w:val="Tabletext"/>
              <w:spacing w:before="0"/>
              <w:rPr>
                <w:rStyle w:val="Bold"/>
                <w:b w:val="0"/>
              </w:rPr>
            </w:pPr>
            <w:r w:rsidRPr="00490C53">
              <w:t>Data was included on whether a company took part in the CJRS during the financial year 2020-2021</w:t>
            </w:r>
            <w:r w:rsidRPr="00490C53">
              <w:rPr>
                <w:rStyle w:val="FootnoteReference"/>
              </w:rPr>
              <w:footnoteReference w:id="188"/>
            </w:r>
          </w:p>
        </w:tc>
        <w:tc>
          <w:tcPr>
            <w:tcW w:w="1161" w:type="pct"/>
            <w:vAlign w:val="center"/>
          </w:tcPr>
          <w:p w14:paraId="23BE2ADE" w14:textId="64FB9BCF" w:rsidR="00BB108B" w:rsidRPr="00490C53" w:rsidRDefault="00BB108B" w:rsidP="00BB108B">
            <w:pPr>
              <w:pStyle w:val="Tabletext"/>
              <w:spacing w:before="0"/>
              <w:rPr>
                <w:rStyle w:val="Bold"/>
                <w:b w:val="0"/>
              </w:rPr>
            </w:pPr>
            <w:r w:rsidRPr="00490C53">
              <w:t>HMRC CJRS data</w:t>
            </w:r>
          </w:p>
        </w:tc>
      </w:tr>
    </w:tbl>
    <w:p w14:paraId="0E82B851" w14:textId="001BDCA4" w:rsidR="00750F0B" w:rsidRPr="00490C53" w:rsidRDefault="00750F0B" w:rsidP="00750F0B">
      <w:pPr>
        <w:pStyle w:val="Caption"/>
      </w:pPr>
      <w:r w:rsidRPr="00490C53">
        <w:t>Source: London Economics’ analysis</w:t>
      </w:r>
    </w:p>
    <w:p w14:paraId="3FBC1779" w14:textId="77777777" w:rsidR="00DA73C3" w:rsidRDefault="00DA73C3">
      <w:pPr>
        <w:spacing w:after="160" w:line="259" w:lineRule="auto"/>
        <w:rPr>
          <w:rFonts w:asciiTheme="majorHAnsi" w:eastAsiaTheme="majorEastAsia" w:hAnsiTheme="majorHAnsi" w:cstheme="majorBidi"/>
          <w:b/>
          <w:color w:val="142855" w:themeColor="text2"/>
          <w:sz w:val="44"/>
          <w:szCs w:val="32"/>
        </w:rPr>
      </w:pPr>
      <w:bookmarkStart w:id="320" w:name="_Ref126237085"/>
      <w:bookmarkStart w:id="321" w:name="_Ref126237311"/>
      <w:bookmarkStart w:id="322" w:name="_Ref125551613"/>
      <w:bookmarkStart w:id="323" w:name="_Ref125551627"/>
      <w:r>
        <w:br w:type="page"/>
      </w:r>
    </w:p>
    <w:p w14:paraId="620E1920" w14:textId="0F2B97E9" w:rsidR="0049474C" w:rsidRPr="00490C53" w:rsidRDefault="00D60829" w:rsidP="00933AFD">
      <w:pPr>
        <w:pStyle w:val="Heading1"/>
      </w:pPr>
      <w:bookmarkStart w:id="324" w:name="_Toc151549908"/>
      <w:r w:rsidRPr="00490C53">
        <w:lastRenderedPageBreak/>
        <w:t xml:space="preserve">Annex </w:t>
      </w:r>
      <w:bookmarkEnd w:id="317"/>
      <w:r w:rsidR="00ED5728">
        <w:t>5</w:t>
      </w:r>
      <w:bookmarkEnd w:id="320"/>
      <w:bookmarkEnd w:id="321"/>
      <w:bookmarkEnd w:id="322"/>
      <w:bookmarkEnd w:id="323"/>
      <w:r w:rsidR="00DA73C3">
        <w:t xml:space="preserve"> – BICS Methodology</w:t>
      </w:r>
      <w:bookmarkEnd w:id="324"/>
    </w:p>
    <w:p w14:paraId="3F43E5C7" w14:textId="0904913A" w:rsidR="004576DD" w:rsidRPr="00490C53" w:rsidRDefault="004576DD" w:rsidP="004576DD">
      <w:r w:rsidRPr="00490C53">
        <w:t>The Business Insights and Conditions Survey (BICS)</w:t>
      </w:r>
      <w:r w:rsidR="00062F69">
        <w:rPr>
          <w:rStyle w:val="FootnoteReference"/>
        </w:rPr>
        <w:footnoteReference w:id="189"/>
      </w:r>
      <w:r w:rsidRPr="00490C53">
        <w:t xml:space="preserve"> is a voluntary fortnightly survey of businesses. It was set up by the Office for National Statistics in March 2020 in response to the Covid-19 pandemic, aiming to “deliver real-time information to help assess the impact of issues and events affecting the economy and UK businesses”.</w:t>
      </w:r>
      <w:r w:rsidRPr="00490C53">
        <w:rPr>
          <w:rStyle w:val="FootnoteReference"/>
        </w:rPr>
        <w:footnoteReference w:id="190"/>
      </w:r>
      <w:r w:rsidRPr="00490C53">
        <w:t xml:space="preserve"> Users of the BICS include, among others, government departments, devolved administrations as well as business and marketing analysts. It originally asked questions around the impact of the pandemic on turnover, exporting and importing, operational performance and access to finance. As circumstances and the key challenges businesses faced changed throughout the pandemic, questions covered a wider range of issues, such as supply chains, innovation, regulation changes relating to the end of the EU transition period, prices of and access to goods and materials.</w:t>
      </w:r>
    </w:p>
    <w:p w14:paraId="2AD2D56A" w14:textId="77777777" w:rsidR="004576DD" w:rsidRPr="00490C53" w:rsidRDefault="004576DD" w:rsidP="004576DD">
      <w:r w:rsidRPr="00490C53">
        <w:t>The sample size of the BICS was approximately 24,000 businesses for Waves 1 to 16, increasing to around 38,000 from Wave 17 onwards.</w:t>
      </w:r>
      <w:r w:rsidRPr="00490C53">
        <w:rPr>
          <w:rStyle w:val="FootnoteReference"/>
        </w:rPr>
        <w:footnoteReference w:id="191"/>
      </w:r>
      <w:r w:rsidRPr="00490C53">
        <w:t xml:space="preserve"> With a response rate of approximately 25%, there are generally between 6,000 and 10,000 observations per wave.</w:t>
      </w:r>
    </w:p>
    <w:p w14:paraId="75522057" w14:textId="77777777" w:rsidR="004576DD" w:rsidRPr="00490C53" w:rsidRDefault="004576DD" w:rsidP="004576DD">
      <w:r w:rsidRPr="00490C53">
        <w:t>Weighted estimates are unavailable for Waves 1 to 6. Therefore, it is suggested by the ONS that ‘comparisons between waves cannot be made for Waves 1 to 6.’</w:t>
      </w:r>
      <w:r w:rsidRPr="00490C53">
        <w:rPr>
          <w:rStyle w:val="FootnoteReference"/>
        </w:rPr>
        <w:footnoteReference w:id="192"/>
      </w:r>
      <w:r w:rsidRPr="00490C53">
        <w:t xml:space="preserve"> From Wave 7 onwards, three different weights are provided: weighting by count, weighting by turnover and weighting by employment. During this analysis, weighting by count is used to best ensure that the findings are representative of all businesses in the UK. </w:t>
      </w:r>
    </w:p>
    <w:p w14:paraId="6AAFABD4" w14:textId="7BCDF3C5" w:rsidR="004576DD" w:rsidRPr="00490C53" w:rsidRDefault="004576DD" w:rsidP="004576DD">
      <w:r w:rsidRPr="00490C53">
        <w:lastRenderedPageBreak/>
        <w:t xml:space="preserve">Questions asked in the BICS are often added, </w:t>
      </w:r>
      <w:proofErr w:type="gramStart"/>
      <w:r w:rsidRPr="00490C53">
        <w:t>removed</w:t>
      </w:r>
      <w:proofErr w:type="gramEnd"/>
      <w:r w:rsidRPr="00490C53">
        <w:t xml:space="preserve"> and amended to take into account changing circumstances. As a result, almost all questions are not asked consistently across all waves and questions are often asked on an irregular basis. Therefore, it is difficult to produce comparable analysis across long time series. Questions are generally analysed in this report by taking the mean of the percentage of respondents which answered each response to the question in all waves in which a) the question was asked and b) there is data available on whether the business used a government-backed loan.</w:t>
      </w:r>
    </w:p>
    <w:p w14:paraId="705FD887" w14:textId="77777777" w:rsidR="004576DD" w:rsidRPr="005D5D23" w:rsidRDefault="004576DD" w:rsidP="00236B73">
      <w:r w:rsidRPr="00236B73">
        <w:rPr>
          <w:color w:val="142855" w:themeColor="text2"/>
        </w:rPr>
        <w:t>Access to government support groupings</w:t>
      </w:r>
    </w:p>
    <w:p w14:paraId="28029E31" w14:textId="51E18AD5" w:rsidR="004576DD" w:rsidRPr="00490C53" w:rsidRDefault="004576DD" w:rsidP="004576DD">
      <w:r w:rsidRPr="00490C53">
        <w:t>Within the section on access to government support (</w:t>
      </w:r>
      <w:r w:rsidR="00E406D0">
        <w:t>entitled “</w:t>
      </w:r>
      <w:r w:rsidR="00635D50">
        <w:fldChar w:fldCharType="begin"/>
      </w:r>
      <w:r w:rsidR="00635D50">
        <w:instrText xml:space="preserve"> REF _Ref138336536 \h </w:instrText>
      </w:r>
      <w:r w:rsidR="00635D50">
        <w:fldChar w:fldCharType="separate"/>
      </w:r>
      <w:r w:rsidR="00397D49" w:rsidRPr="00236B73">
        <w:rPr>
          <w:color w:val="142855" w:themeColor="text2"/>
        </w:rPr>
        <w:t>Use and importance of government support</w:t>
      </w:r>
      <w:r w:rsidR="00635D50">
        <w:fldChar w:fldCharType="end"/>
      </w:r>
      <w:r w:rsidR="00E406D0">
        <w:t>”</w:t>
      </w:r>
      <w:r w:rsidRPr="00490C53">
        <w:t xml:space="preserve">), businesses are split into three ‘government support groups’: government support including a loan, government support without a government loan and no support. The first group of businesses is referred to as ‘borrowers’ and the latter two </w:t>
      </w:r>
      <w:r>
        <w:t>a</w:t>
      </w:r>
      <w:r w:rsidR="266DDEBA">
        <w:t>s</w:t>
      </w:r>
      <w:r w:rsidRPr="00490C53">
        <w:t xml:space="preserve"> ‘non-borrowers’. </w:t>
      </w:r>
    </w:p>
    <w:p w14:paraId="26ADFBC8" w14:textId="77777777" w:rsidR="003A5CB4" w:rsidRPr="00490C53" w:rsidRDefault="003A5CB4" w:rsidP="003A5CB4">
      <w:r w:rsidRPr="00490C53">
        <w:t>Businesses are placed in the ‘government support including a loan’ category if they answered ‘government-backed accredited loans or finance agreements’ to the following question:</w:t>
      </w:r>
    </w:p>
    <w:p w14:paraId="7BA0F9D9" w14:textId="77777777" w:rsidR="003A5CB4" w:rsidRPr="00490C53" w:rsidRDefault="003A5CB4" w:rsidP="003A5CB4">
      <w:pPr>
        <w:rPr>
          <w:i/>
          <w:iCs/>
        </w:rPr>
      </w:pPr>
      <w:r w:rsidRPr="00490C53">
        <w:rPr>
          <w:i/>
          <w:iCs/>
        </w:rPr>
        <w:t>Has your business received funds from any of the following schemes?</w:t>
      </w:r>
    </w:p>
    <w:p w14:paraId="26CDF7C6" w14:textId="77777777" w:rsidR="00690F00" w:rsidRPr="00490C53" w:rsidRDefault="003A5CB4" w:rsidP="00DC55F7">
      <w:pPr>
        <w:pStyle w:val="ListParagraph"/>
        <w:numPr>
          <w:ilvl w:val="0"/>
          <w:numId w:val="27"/>
        </w:numPr>
      </w:pPr>
      <w:r w:rsidRPr="00490C53">
        <w:t>Coronavirus Job Retention Scheme</w:t>
      </w:r>
    </w:p>
    <w:p w14:paraId="4CE6CA9A" w14:textId="77777777" w:rsidR="00690F00" w:rsidRPr="00490C53" w:rsidRDefault="003A5CB4" w:rsidP="00DC55F7">
      <w:pPr>
        <w:pStyle w:val="ListParagraph"/>
        <w:numPr>
          <w:ilvl w:val="0"/>
          <w:numId w:val="27"/>
        </w:numPr>
      </w:pPr>
      <w:r w:rsidRPr="00490C53">
        <w:t>Government-backed accredited loans or finance agreements</w:t>
      </w:r>
    </w:p>
    <w:p w14:paraId="68C28665" w14:textId="6834CE9A" w:rsidR="003A5CB4" w:rsidRPr="00490C53" w:rsidRDefault="003A5CB4" w:rsidP="00DC55F7">
      <w:pPr>
        <w:pStyle w:val="ListParagraph"/>
        <w:numPr>
          <w:ilvl w:val="0"/>
          <w:numId w:val="27"/>
        </w:numPr>
      </w:pPr>
      <w:r w:rsidRPr="00490C53">
        <w:t>Not received any funds from these schemes</w:t>
      </w:r>
    </w:p>
    <w:p w14:paraId="70511CAA" w14:textId="3D09CC32" w:rsidR="00E83820" w:rsidRPr="00490C53" w:rsidRDefault="003A5CB4" w:rsidP="00E83820">
      <w:r w:rsidRPr="00490C53">
        <w:t>Businesses are placed in the ‘government support without a loan’ category if they did not answer that they have received ‘government-backed accredited loans or finance agreements’ to the question above, but did answer that they received at least one of the following types of support:</w:t>
      </w:r>
    </w:p>
    <w:p w14:paraId="69352B89" w14:textId="77777777" w:rsidR="00E83820" w:rsidRPr="00490C53" w:rsidRDefault="003A5CB4" w:rsidP="00DC55F7">
      <w:pPr>
        <w:pStyle w:val="ListParagraph"/>
        <w:numPr>
          <w:ilvl w:val="0"/>
          <w:numId w:val="28"/>
        </w:numPr>
      </w:pPr>
      <w:r w:rsidRPr="00490C53">
        <w:t>Business grants funded by the UK government or any devolved government</w:t>
      </w:r>
    </w:p>
    <w:p w14:paraId="07D15E0B" w14:textId="77777777" w:rsidR="00E83820" w:rsidRPr="00490C53" w:rsidRDefault="003A5CB4" w:rsidP="00DC55F7">
      <w:pPr>
        <w:pStyle w:val="ListParagraph"/>
        <w:numPr>
          <w:ilvl w:val="0"/>
          <w:numId w:val="28"/>
        </w:numPr>
      </w:pPr>
      <w:r w:rsidRPr="00490C53">
        <w:t>Coronavirus Job Retention Scheme</w:t>
      </w:r>
    </w:p>
    <w:p w14:paraId="44620BF3" w14:textId="77777777" w:rsidR="00E83820" w:rsidRPr="00490C53" w:rsidRDefault="003A5CB4" w:rsidP="00DC55F7">
      <w:pPr>
        <w:pStyle w:val="ListParagraph"/>
        <w:numPr>
          <w:ilvl w:val="0"/>
          <w:numId w:val="28"/>
        </w:numPr>
      </w:pPr>
      <w:r w:rsidRPr="00490C53">
        <w:t>Business rates holiday</w:t>
      </w:r>
    </w:p>
    <w:p w14:paraId="3B2EE231" w14:textId="77777777" w:rsidR="00E83820" w:rsidRPr="00490C53" w:rsidRDefault="003A5CB4" w:rsidP="00DC55F7">
      <w:pPr>
        <w:pStyle w:val="ListParagraph"/>
        <w:numPr>
          <w:ilvl w:val="0"/>
          <w:numId w:val="28"/>
        </w:numPr>
      </w:pPr>
      <w:r w:rsidRPr="00490C53">
        <w:t>Defer VAT payments</w:t>
      </w:r>
    </w:p>
    <w:p w14:paraId="50D3EEE6" w14:textId="37C928CC" w:rsidR="003A5CB4" w:rsidRPr="00490C53" w:rsidRDefault="003A5CB4" w:rsidP="00DC55F7">
      <w:pPr>
        <w:pStyle w:val="ListParagraph"/>
        <w:numPr>
          <w:ilvl w:val="0"/>
          <w:numId w:val="28"/>
        </w:numPr>
      </w:pPr>
      <w:r w:rsidRPr="00490C53">
        <w:t>HMRC Time to Pay</w:t>
      </w:r>
    </w:p>
    <w:p w14:paraId="6D80CECF" w14:textId="77777777" w:rsidR="003A5CB4" w:rsidRPr="00490C53" w:rsidRDefault="003A5CB4" w:rsidP="003A5CB4">
      <w:r w:rsidRPr="00490C53">
        <w:t>Businesses are placed in the ‘no support’ category if they did not receive funds from any of the schemes outlined above.</w:t>
      </w:r>
    </w:p>
    <w:p w14:paraId="018AD290" w14:textId="77777777" w:rsidR="003A5CB4" w:rsidRPr="005D5D23" w:rsidRDefault="003A5CB4" w:rsidP="00236B73">
      <w:r w:rsidRPr="00236B73">
        <w:rPr>
          <w:color w:val="142855" w:themeColor="text2"/>
        </w:rPr>
        <w:lastRenderedPageBreak/>
        <w:t>Use of a government loan in other questions</w:t>
      </w:r>
    </w:p>
    <w:p w14:paraId="45BC9F6D" w14:textId="5DF3727E" w:rsidR="003A5CB4" w:rsidRPr="00490C53" w:rsidRDefault="003A5CB4" w:rsidP="003A5CB4">
      <w:r w:rsidRPr="00490C53">
        <w:t>Regarding most topics, the analysis of questions is broken down by whether the business was a borrower (</w:t>
      </w:r>
      <w:proofErr w:type="gramStart"/>
      <w:r w:rsidRPr="00490C53">
        <w:t>i.e.</w:t>
      </w:r>
      <w:proofErr w:type="gramEnd"/>
      <w:r w:rsidRPr="00490C53">
        <w:t xml:space="preserve"> whether it used a government-backed loan). Three categories are used for whether the business was a borrower: used a loan, did not use a loan and not sure</w:t>
      </w:r>
      <w:r w:rsidR="00603C78" w:rsidRPr="00490C53">
        <w:t xml:space="preserve"> (respondents in this group are dropped from the analysis)</w:t>
      </w:r>
      <w:r w:rsidRPr="00490C53">
        <w:t>. For Waves 5 to 16, this category is based on answers to the following question:</w:t>
      </w:r>
    </w:p>
    <w:p w14:paraId="703CEC84" w14:textId="77777777" w:rsidR="003A5CB4" w:rsidRPr="00490C53" w:rsidRDefault="003A5CB4" w:rsidP="003A5CB4">
      <w:pPr>
        <w:rPr>
          <w:i/>
          <w:iCs/>
        </w:rPr>
      </w:pPr>
      <w:r w:rsidRPr="00490C53">
        <w:rPr>
          <w:i/>
          <w:iCs/>
        </w:rPr>
        <w:t>Has your business received funds from any of the following schemes?</w:t>
      </w:r>
    </w:p>
    <w:p w14:paraId="0F89F9C1" w14:textId="77777777" w:rsidR="00E83820" w:rsidRPr="00490C53" w:rsidRDefault="003A5CB4" w:rsidP="00DC55F7">
      <w:pPr>
        <w:pStyle w:val="ListParagraph"/>
        <w:numPr>
          <w:ilvl w:val="0"/>
          <w:numId w:val="29"/>
        </w:numPr>
      </w:pPr>
      <w:r w:rsidRPr="00490C53">
        <w:t>Coronavirus Job Retention Scheme</w:t>
      </w:r>
    </w:p>
    <w:p w14:paraId="014866C0" w14:textId="77777777" w:rsidR="00E83820" w:rsidRPr="00490C53" w:rsidRDefault="003A5CB4" w:rsidP="00DC55F7">
      <w:pPr>
        <w:pStyle w:val="ListParagraph"/>
        <w:numPr>
          <w:ilvl w:val="0"/>
          <w:numId w:val="29"/>
        </w:numPr>
      </w:pPr>
      <w:r w:rsidRPr="00490C53">
        <w:t>Government-backed accredited loans or finance agreements</w:t>
      </w:r>
    </w:p>
    <w:p w14:paraId="1A9E011E" w14:textId="46C4A706" w:rsidR="003A5CB4" w:rsidRPr="00490C53" w:rsidRDefault="003A5CB4" w:rsidP="00DC55F7">
      <w:pPr>
        <w:pStyle w:val="ListParagraph"/>
        <w:numPr>
          <w:ilvl w:val="0"/>
          <w:numId w:val="29"/>
        </w:numPr>
      </w:pPr>
      <w:r w:rsidRPr="00490C53">
        <w:t>Not received any funds from these schemes</w:t>
      </w:r>
    </w:p>
    <w:p w14:paraId="3A9DA4E1" w14:textId="30B34A1C" w:rsidR="003A5CB4" w:rsidRPr="00490C53" w:rsidRDefault="003A5CB4" w:rsidP="003A5CB4">
      <w:r w:rsidRPr="00490C53">
        <w:t>If option b) is ticked, then the business is placed in the borrower category, otherwise the business is placed in the non-borrower category. For Wave 17 onwards, due to changes in the survey, the following question is used:</w:t>
      </w:r>
    </w:p>
    <w:p w14:paraId="4CCB30CC" w14:textId="77777777" w:rsidR="003A5CB4" w:rsidRPr="00490C53" w:rsidRDefault="003A5CB4" w:rsidP="003A5CB4">
      <w:pPr>
        <w:rPr>
          <w:rFonts w:eastAsia="Times New Roman" w:cs="Calibri"/>
          <w:i/>
          <w:iCs/>
          <w:lang w:eastAsia="en-GB"/>
        </w:rPr>
      </w:pPr>
      <w:r w:rsidRPr="00490C53">
        <w:rPr>
          <w:rFonts w:eastAsia="Times New Roman" w:cs="Calibri"/>
          <w:i/>
          <w:iCs/>
          <w:lang w:eastAsia="en-GB"/>
        </w:rPr>
        <w:t>Has your business received any government-backed loans or finance agreements during the coronavirus (COVID-19) pandemic?</w:t>
      </w:r>
    </w:p>
    <w:p w14:paraId="2A1BE517" w14:textId="77777777" w:rsidR="003A5CB4" w:rsidRPr="00490C53" w:rsidRDefault="003A5CB4" w:rsidP="00DC55F7">
      <w:pPr>
        <w:pStyle w:val="ListParagraph"/>
        <w:numPr>
          <w:ilvl w:val="0"/>
          <w:numId w:val="30"/>
        </w:numPr>
        <w:rPr>
          <w:lang w:eastAsia="en-GB"/>
        </w:rPr>
      </w:pPr>
      <w:r w:rsidRPr="00490C53">
        <w:t>Yes</w:t>
      </w:r>
    </w:p>
    <w:p w14:paraId="0B307B2D" w14:textId="77777777" w:rsidR="003A5CB4" w:rsidRPr="00490C53" w:rsidRDefault="003A5CB4" w:rsidP="00DC55F7">
      <w:pPr>
        <w:pStyle w:val="ListParagraph"/>
        <w:numPr>
          <w:ilvl w:val="0"/>
          <w:numId w:val="30"/>
        </w:numPr>
      </w:pPr>
      <w:r w:rsidRPr="00490C53">
        <w:t>No</w:t>
      </w:r>
    </w:p>
    <w:p w14:paraId="5DF21C54" w14:textId="77777777" w:rsidR="003A5CB4" w:rsidRPr="00490C53" w:rsidRDefault="003A5CB4" w:rsidP="00DC55F7">
      <w:pPr>
        <w:pStyle w:val="ListParagraph"/>
        <w:numPr>
          <w:ilvl w:val="0"/>
          <w:numId w:val="30"/>
        </w:numPr>
      </w:pPr>
      <w:r w:rsidRPr="00490C53">
        <w:t>Not sure</w:t>
      </w:r>
    </w:p>
    <w:p w14:paraId="2C359816" w14:textId="3D18003C" w:rsidR="003A5CB4" w:rsidRPr="00490C53" w:rsidRDefault="003A5CB4" w:rsidP="003A5CB4">
      <w:pPr>
        <w:rPr>
          <w:lang w:eastAsia="en-GB"/>
        </w:rPr>
      </w:pPr>
      <w:r w:rsidRPr="00490C53">
        <w:rPr>
          <w:lang w:eastAsia="en-GB"/>
        </w:rPr>
        <w:t>If option a) is ticked, then the business is placed in the borrower category. If option b) is ticked, then the business is placed in the non-borrower category. Lastly, if option c) is ticked, then the business is placed in the ‘not sure’ group. The ‘not sure’ is not presented in the analysis due to a small sample size.</w:t>
      </w:r>
    </w:p>
    <w:p w14:paraId="19DB73A9" w14:textId="16E38B99" w:rsidR="003E413C" w:rsidRPr="00490C53" w:rsidRDefault="00692432" w:rsidP="00E83820">
      <w:pPr>
        <w:rPr>
          <w:lang w:eastAsia="en-GB"/>
        </w:rPr>
      </w:pPr>
      <w:r w:rsidRPr="00490C53">
        <w:rPr>
          <w:lang w:eastAsia="en-GB"/>
        </w:rPr>
        <w:t>Waves 1-4 cannot be used for analysis by loan recipient group as the question regarding businesses’ use a government-backed loan does not enter the survey until Wave 5. After Wave 33, the question starts to only be asked in every other wave, so some waves after this point also cannot be used.</w:t>
      </w:r>
      <w:r w:rsidR="003E413C" w:rsidRPr="00490C53">
        <w:br w:type="page"/>
      </w:r>
    </w:p>
    <w:p w14:paraId="75F81A27" w14:textId="0534C984" w:rsidR="00933AFD" w:rsidRPr="00490C53" w:rsidRDefault="00933AFD" w:rsidP="00933AFD">
      <w:pPr>
        <w:pStyle w:val="Heading1"/>
      </w:pPr>
      <w:bookmarkStart w:id="325" w:name="_Ref126237253"/>
      <w:bookmarkStart w:id="326" w:name="_Ref124178554"/>
      <w:bookmarkStart w:id="327" w:name="_Ref124178560"/>
      <w:bookmarkStart w:id="328" w:name="_Toc151549909"/>
      <w:r w:rsidRPr="00490C53">
        <w:lastRenderedPageBreak/>
        <w:t xml:space="preserve">Annex </w:t>
      </w:r>
      <w:r w:rsidR="00ED5728">
        <w:t>6</w:t>
      </w:r>
      <w:bookmarkEnd w:id="325"/>
      <w:bookmarkEnd w:id="326"/>
      <w:bookmarkEnd w:id="327"/>
      <w:r w:rsidR="00A11E9A">
        <w:t xml:space="preserve"> – Product Market Displacement</w:t>
      </w:r>
      <w:bookmarkEnd w:id="328"/>
    </w:p>
    <w:p w14:paraId="21D18FFE" w14:textId="0B7CB4E0" w:rsidR="006A3892" w:rsidRPr="00490C53" w:rsidRDefault="00631C05" w:rsidP="006A3892">
      <w:r w:rsidRPr="00490C53">
        <w:t>This annex</w:t>
      </w:r>
      <w:r w:rsidR="00BA1DE0" w:rsidRPr="00490C53">
        <w:t xml:space="preserve"> outlines </w:t>
      </w:r>
      <w:r w:rsidR="00137F85" w:rsidRPr="00490C53">
        <w:t xml:space="preserve">how </w:t>
      </w:r>
      <w:r w:rsidR="00BA1DE0" w:rsidRPr="00490C53">
        <w:t xml:space="preserve">the </w:t>
      </w:r>
      <w:r w:rsidR="001E7870" w:rsidRPr="00490C53">
        <w:t>observed measure of market competition was estimated, first by describing the data source used (the Business Structure Database)</w:t>
      </w:r>
      <w:r w:rsidR="000C34B4">
        <w:rPr>
          <w:rStyle w:val="FootnoteReference"/>
        </w:rPr>
        <w:footnoteReference w:id="193"/>
      </w:r>
      <w:r w:rsidR="001E7870" w:rsidRPr="00490C53">
        <w:t xml:space="preserve"> and then the calculations required to obtain the HHIs.</w:t>
      </w:r>
      <w:r w:rsidR="009B3338" w:rsidRPr="00490C53">
        <w:t xml:space="preserve"> It then shows </w:t>
      </w:r>
      <w:r w:rsidR="00B47E97" w:rsidRPr="00490C53">
        <w:t>how</w:t>
      </w:r>
      <w:r w:rsidR="00AE4BA4" w:rsidRPr="00490C53">
        <w:t xml:space="preserve"> </w:t>
      </w:r>
      <w:r w:rsidR="009B3338" w:rsidRPr="00490C53">
        <w:t xml:space="preserve">the </w:t>
      </w:r>
      <w:proofErr w:type="gramStart"/>
      <w:r w:rsidR="009B3338" w:rsidRPr="00490C53">
        <w:t>HHIs</w:t>
      </w:r>
      <w:proofErr w:type="gramEnd"/>
      <w:r w:rsidR="009B3338" w:rsidRPr="00490C53">
        <w:t xml:space="preserve"> and the survey questions </w:t>
      </w:r>
      <w:r w:rsidR="00B47E97" w:rsidRPr="00490C53">
        <w:t>were mapped to</w:t>
      </w:r>
      <w:r w:rsidR="003F3A51" w:rsidRPr="00490C53">
        <w:t xml:space="preserve"> </w:t>
      </w:r>
      <w:r w:rsidR="009B3338" w:rsidRPr="00490C53">
        <w:t>displacement factors used to calculate product market displacement.</w:t>
      </w:r>
    </w:p>
    <w:p w14:paraId="3ACB0BA4" w14:textId="77777777" w:rsidR="009B3338" w:rsidRPr="005D5D23" w:rsidRDefault="009B3338" w:rsidP="00236B73">
      <w:bookmarkStart w:id="329" w:name="_Toc149801280"/>
      <w:bookmarkStart w:id="330" w:name="_Toc151016599"/>
      <w:r w:rsidRPr="00236B73">
        <w:rPr>
          <w:color w:val="142855" w:themeColor="text2"/>
        </w:rPr>
        <w:t>Calculating the Herfindahl–Hirschman Index (HHI)</w:t>
      </w:r>
      <w:bookmarkEnd w:id="329"/>
      <w:bookmarkEnd w:id="330"/>
    </w:p>
    <w:p w14:paraId="4B207A09" w14:textId="3090D130" w:rsidR="009B3338" w:rsidRPr="00490C53" w:rsidRDefault="009B3338" w:rsidP="009B3338">
      <w:r w:rsidRPr="00490C53">
        <w:t>To calculate the HHIs the Business Structure Database (BSD) is used, which provides a snapshot of data from the IDBR. The BSD is released yearly, based on an extract of the IDBR taken in March.</w:t>
      </w:r>
      <w:r w:rsidRPr="00490C53">
        <w:rPr>
          <w:rStyle w:val="FootnoteReference"/>
        </w:rPr>
        <w:footnoteReference w:id="194"/>
      </w:r>
      <w:r w:rsidRPr="00490C53">
        <w:t xml:space="preserve"> With regards to turnover, most data in the IDBR is based on survey data or VAT returns, </w:t>
      </w:r>
      <w:r w:rsidR="0030529E" w:rsidRPr="00490C53">
        <w:t>and</w:t>
      </w:r>
      <w:r w:rsidRPr="00490C53">
        <w:t xml:space="preserve"> is broadly updated annually in September</w:t>
      </w:r>
      <w:r w:rsidR="0050422E" w:rsidRPr="00490C53">
        <w:t xml:space="preserve">, referring </w:t>
      </w:r>
      <w:r w:rsidRPr="00490C53">
        <w:t>to the preceding calendar year.</w:t>
      </w:r>
      <w:r w:rsidRPr="00490C53">
        <w:rPr>
          <w:rStyle w:val="FootnoteReference"/>
        </w:rPr>
        <w:footnoteReference w:id="195"/>
      </w:r>
      <w:r w:rsidRPr="00490C53">
        <w:t xml:space="preserve"> Therefore, </w:t>
      </w:r>
      <w:r w:rsidR="00082FB4" w:rsidRPr="00490C53">
        <w:t xml:space="preserve">for most businesses, </w:t>
      </w:r>
      <w:r w:rsidRPr="00490C53">
        <w:t xml:space="preserve">there is </w:t>
      </w:r>
      <w:r w:rsidR="00C41AFC" w:rsidRPr="00490C53">
        <w:t xml:space="preserve">likely to be </w:t>
      </w:r>
      <w:r w:rsidRPr="00490C53">
        <w:t xml:space="preserve">a two-year lag between the year the BSD is released and the </w:t>
      </w:r>
      <w:r w:rsidR="00D820CC" w:rsidRPr="00490C53">
        <w:t xml:space="preserve">reference </w:t>
      </w:r>
      <w:r w:rsidRPr="00490C53">
        <w:t xml:space="preserve">year </w:t>
      </w:r>
      <w:r w:rsidR="00D820CC" w:rsidRPr="00490C53">
        <w:t xml:space="preserve">of </w:t>
      </w:r>
      <w:r w:rsidRPr="00490C53">
        <w:t>turnover data. For example, the 2021 BSD uses the March 2021 extract of the IDBR, which</w:t>
      </w:r>
      <w:r w:rsidR="00CF3731" w:rsidRPr="00490C53">
        <w:t xml:space="preserve">, in most cases, </w:t>
      </w:r>
      <w:r w:rsidR="002856D0" w:rsidRPr="00490C53">
        <w:t>is likely to</w:t>
      </w:r>
      <w:r w:rsidRPr="00490C53">
        <w:t xml:space="preserve"> use turnover data updated in September 2020 </w:t>
      </w:r>
      <w:r w:rsidR="00DE3D78" w:rsidRPr="00490C53">
        <w:t>referring</w:t>
      </w:r>
      <w:r w:rsidRPr="00490C53">
        <w:t xml:space="preserve"> to the 2019 calendar year. This two-year lag is also found in the literature.</w:t>
      </w:r>
      <w:r w:rsidRPr="00490C53">
        <w:rPr>
          <w:rStyle w:val="FootnoteReference"/>
        </w:rPr>
        <w:footnoteReference w:id="196"/>
      </w:r>
      <w:r w:rsidRPr="00490C53">
        <w:t xml:space="preserve"> Therefore, turnover from the 2021 BSD is used in this analysis to </w:t>
      </w:r>
      <w:proofErr w:type="gramStart"/>
      <w:r w:rsidRPr="00490C53">
        <w:t>most accurately calculate HHIs referring</w:t>
      </w:r>
      <w:proofErr w:type="gramEnd"/>
      <w:r w:rsidRPr="00490C53">
        <w:t xml:space="preserve"> to 2019.</w:t>
      </w:r>
    </w:p>
    <w:p w14:paraId="06B97C38" w14:textId="3EB5EC4A" w:rsidR="009B3338" w:rsidRPr="00490C53" w:rsidRDefault="009B3338" w:rsidP="009B3338">
      <w:r w:rsidRPr="00490C53">
        <w:t xml:space="preserve">The Herfindahl–Hirschman Index (HHI) is used </w:t>
      </w:r>
      <w:r w:rsidR="005B7279" w:rsidRPr="00490C53">
        <w:t>as a measure of</w:t>
      </w:r>
      <w:r w:rsidRPr="00490C53">
        <w:t xml:space="preserve"> sector-level market competition. It is defined as the sum of the squares of the (percentage) market shares of all </w:t>
      </w:r>
      <w:r w:rsidRPr="00490C53">
        <w:lastRenderedPageBreak/>
        <w:t xml:space="preserve">firms operating in that sector. For example, in a market with four firms of equal size the HHI would be calculated as:  </w:t>
      </w:r>
    </w:p>
    <w:p w14:paraId="14DF2818" w14:textId="77777777" w:rsidR="009B3338" w:rsidRPr="00490C53" w:rsidRDefault="00406CD8" w:rsidP="009B3338">
      <w:pPr>
        <w:rPr>
          <w:rFonts w:eastAsiaTheme="minorEastAsia"/>
        </w:rPr>
      </w:pPr>
      <m:oMathPara>
        <m:oMath>
          <m:r>
            <w:rPr>
              <w:rFonts w:ascii="Cambria Math" w:hAnsi="Cambria Math"/>
            </w:rPr>
            <m:t>HHI=</m:t>
          </m:r>
          <m:sSup>
            <m:sSupPr>
              <m:ctrlPr>
                <w:rPr>
                  <w:rFonts w:ascii="Cambria Math" w:hAnsi="Cambria Math"/>
                  <w:i/>
                </w:rPr>
              </m:ctrlPr>
            </m:sSupPr>
            <m:e>
              <m:r>
                <w:rPr>
                  <w:rFonts w:ascii="Cambria Math" w:hAnsi="Cambria Math"/>
                </w:rPr>
                <m:t>25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25</m:t>
              </m:r>
            </m:e>
            <m:sup>
              <m:r>
                <w:rPr>
                  <w:rFonts w:ascii="Cambria Math" w:hAnsi="Cambria Math"/>
                </w:rPr>
                <m:t>2</m:t>
              </m:r>
            </m:sup>
          </m:sSup>
          <m:r>
            <w:rPr>
              <w:rFonts w:ascii="Cambria Math" w:hAnsi="Cambria Math"/>
            </w:rPr>
            <m:t>=2500</m:t>
          </m:r>
        </m:oMath>
      </m:oMathPara>
    </w:p>
    <w:p w14:paraId="5011D997" w14:textId="20856C8C" w:rsidR="009B3338" w:rsidRPr="00490C53" w:rsidRDefault="009B3338" w:rsidP="009B3338">
      <w:r w:rsidRPr="00490C53">
        <w:t>A market with a HHI of less than 1,500 is considered a competitive marketplace, a HHI of 1,500 to 2,500 is moderately concentrated, and a HHI of 2,500 or greater is highly concentrated.</w:t>
      </w:r>
    </w:p>
    <w:p w14:paraId="57D54A86" w14:textId="1293B7DA" w:rsidR="009B3338" w:rsidRPr="00490C53" w:rsidRDefault="009B3338" w:rsidP="009B3338">
      <w:r w:rsidRPr="00490C53">
        <w:t xml:space="preserve">In this context, each firm’s </w:t>
      </w:r>
      <w:r w:rsidR="004C7CB3" w:rsidRPr="00490C53">
        <w:t xml:space="preserve">market share is calculated </w:t>
      </w:r>
      <w:r w:rsidR="00026292" w:rsidRPr="00490C53">
        <w:t xml:space="preserve">by expressing its </w:t>
      </w:r>
      <w:r w:rsidRPr="00490C53">
        <w:t xml:space="preserve">turnover as a percentage of the total turnover in the firm’s sector. Sectors are defined </w:t>
      </w:r>
      <w:r w:rsidR="000B7428" w:rsidRPr="00490C53">
        <w:t>using the SIC 2007 classification</w:t>
      </w:r>
      <w:r w:rsidR="00492100" w:rsidRPr="00490C53">
        <w:t xml:space="preserve">, </w:t>
      </w:r>
      <w:r w:rsidRPr="00490C53">
        <w:t xml:space="preserve">at the 5-digit level </w:t>
      </w:r>
      <w:r w:rsidR="00725B57" w:rsidRPr="00490C53">
        <w:t>– the most</w:t>
      </w:r>
      <w:r w:rsidRPr="00490C53">
        <w:t xml:space="preserve"> granular </w:t>
      </w:r>
      <w:r w:rsidR="0051044B" w:rsidRPr="00490C53">
        <w:t xml:space="preserve">level </w:t>
      </w:r>
      <w:r w:rsidRPr="00490C53">
        <w:t xml:space="preserve">available within the BSD. </w:t>
      </w:r>
      <w:r w:rsidR="005637CF" w:rsidRPr="00490C53">
        <w:t xml:space="preserve">HHIs are calculated </w:t>
      </w:r>
      <w:r w:rsidR="00751898" w:rsidRPr="00490C53">
        <w:t xml:space="preserve">within the most granular sectors available </w:t>
      </w:r>
      <w:r w:rsidRPr="00490C53">
        <w:t xml:space="preserve">because firms are more likely to compete within more </w:t>
      </w:r>
      <w:r w:rsidR="00751898" w:rsidRPr="00490C53">
        <w:t>narrowly de</w:t>
      </w:r>
      <w:r w:rsidR="00711AE5" w:rsidRPr="00490C53">
        <w:t>fined</w:t>
      </w:r>
      <w:r w:rsidR="00751898" w:rsidRPr="00490C53">
        <w:t xml:space="preserve"> </w:t>
      </w:r>
      <w:r w:rsidRPr="00490C53">
        <w:t>sectors</w:t>
      </w:r>
      <w:r w:rsidR="00956E8D" w:rsidRPr="00490C53">
        <w:t xml:space="preserve"> (based on the SIC 2007 classification)</w:t>
      </w:r>
      <w:r w:rsidRPr="00490C53">
        <w:t xml:space="preserve">. For example, the 2-digit sector ‘specialised construction activities’ contains </w:t>
      </w:r>
      <w:proofErr w:type="gramStart"/>
      <w:r w:rsidRPr="00490C53">
        <w:t>a number of</w:t>
      </w:r>
      <w:proofErr w:type="gramEnd"/>
      <w:r w:rsidRPr="00490C53">
        <w:t xml:space="preserve"> 5-digit sectors, including ‘painting’ and ‘plumbing, heat and air-conditioning installation’. </w:t>
      </w:r>
      <w:r w:rsidR="00AC3433" w:rsidRPr="00490C53">
        <w:t>A p</w:t>
      </w:r>
      <w:r w:rsidR="00E103A5" w:rsidRPr="00490C53">
        <w:t xml:space="preserve">ainting and </w:t>
      </w:r>
      <w:r w:rsidR="00F872DB" w:rsidRPr="00490C53">
        <w:t xml:space="preserve">a </w:t>
      </w:r>
      <w:r w:rsidR="00E103A5" w:rsidRPr="00490C53">
        <w:t xml:space="preserve">plumbing business are less likely to compete against one another than </w:t>
      </w:r>
      <w:r w:rsidR="00D16FF0" w:rsidRPr="00490C53">
        <w:t>two plumbing businesses</w:t>
      </w:r>
      <w:r w:rsidRPr="00490C53">
        <w:t xml:space="preserve">, so calculating the HHIs at the 2-digit level would </w:t>
      </w:r>
      <w:r w:rsidR="00F872DB" w:rsidRPr="00490C53">
        <w:t xml:space="preserve">give an inaccurate estimate of </w:t>
      </w:r>
      <w:r w:rsidRPr="00490C53">
        <w:t xml:space="preserve">the competition that </w:t>
      </w:r>
      <w:proofErr w:type="gramStart"/>
      <w:r w:rsidRPr="00490C53">
        <w:t>either firm</w:t>
      </w:r>
      <w:proofErr w:type="gramEnd"/>
      <w:r w:rsidRPr="00490C53">
        <w:t xml:space="preserve"> faces. </w:t>
      </w:r>
    </w:p>
    <w:p w14:paraId="48ADC74F" w14:textId="0DEF86D5" w:rsidR="007727A0" w:rsidRPr="00490C53" w:rsidRDefault="009B3338" w:rsidP="00720EA7">
      <w:r w:rsidRPr="00490C53">
        <w:t xml:space="preserve">However, whilst the HHIs calculated using the BSD are available at the 5-digit SIC sector level, </w:t>
      </w:r>
      <w:r w:rsidR="0097550B" w:rsidRPr="00490C53">
        <w:t xml:space="preserve">the survey-based measure of </w:t>
      </w:r>
      <w:r w:rsidRPr="00490C53">
        <w:t xml:space="preserve">market competitiveness </w:t>
      </w:r>
      <w:r w:rsidR="00983AD9">
        <w:t>used is</w:t>
      </w:r>
      <w:r w:rsidRPr="00490C53">
        <w:t xml:space="preserve"> at the</w:t>
      </w:r>
      <w:r w:rsidR="00983AD9">
        <w:t xml:space="preserve"> SIC section level</w:t>
      </w:r>
      <w:r w:rsidRPr="00490C53">
        <w:t xml:space="preserve">. Therefore, an average of the HHIs </w:t>
      </w:r>
      <w:r w:rsidR="00D833C9" w:rsidRPr="00490C53">
        <w:t xml:space="preserve">across </w:t>
      </w:r>
      <w:r w:rsidRPr="00490C53">
        <w:t xml:space="preserve">all 5-digit sectors within each </w:t>
      </w:r>
      <w:r w:rsidR="00983AD9">
        <w:t>SIC section</w:t>
      </w:r>
      <w:r w:rsidRPr="00490C53">
        <w:t xml:space="preserve"> is calculated. These averages are weighted </w:t>
      </w:r>
      <w:r w:rsidR="007B472C" w:rsidRPr="00490C53">
        <w:t xml:space="preserve">based on the distribution of </w:t>
      </w:r>
      <w:r w:rsidRPr="00490C53">
        <w:t xml:space="preserve">the number of firms </w:t>
      </w:r>
      <w:r w:rsidR="00D711A1" w:rsidRPr="00490C53">
        <w:t xml:space="preserve">across </w:t>
      </w:r>
      <w:r w:rsidRPr="00490C53">
        <w:t>5-digit sector</w:t>
      </w:r>
      <w:r w:rsidR="00D711A1" w:rsidRPr="00490C53">
        <w:t>s</w:t>
      </w:r>
      <w:r w:rsidRPr="00490C53">
        <w:t>.</w:t>
      </w:r>
    </w:p>
    <w:p w14:paraId="27005705" w14:textId="2ECBE914" w:rsidR="00F62A6C" w:rsidRPr="00236B73" w:rsidRDefault="007727A0" w:rsidP="00720EA7">
      <w:pPr>
        <w:rPr>
          <w:color w:val="142855" w:themeColor="text2"/>
        </w:rPr>
      </w:pPr>
      <w:bookmarkStart w:id="331" w:name="_Toc149801281"/>
      <w:bookmarkStart w:id="332" w:name="_Toc151016600"/>
      <w:r w:rsidRPr="00236B73">
        <w:t>Mea</w:t>
      </w:r>
      <w:r w:rsidR="00F62A6C" w:rsidRPr="00236B73">
        <w:t>suring product market displacement</w:t>
      </w:r>
      <w:bookmarkEnd w:id="331"/>
      <w:bookmarkEnd w:id="332"/>
    </w:p>
    <w:p w14:paraId="2C1493A6" w14:textId="1772F609" w:rsidR="007C47FE" w:rsidRDefault="00F62A6C" w:rsidP="00720EA7">
      <w:r w:rsidRPr="00490C53">
        <w:rPr>
          <w:rStyle w:val="Heading3Char"/>
        </w:rPr>
        <w:fldChar w:fldCharType="begin"/>
      </w:r>
      <w:r w:rsidRPr="00490C53">
        <w:rPr>
          <w:rStyle w:val="Heading3Char"/>
        </w:rPr>
        <w:instrText xml:space="preserve"> REF _Ref122100663 \h  \* MERGEFORMAT </w:instrText>
      </w:r>
      <w:r w:rsidRPr="00490C53">
        <w:rPr>
          <w:rStyle w:val="Heading3Char"/>
        </w:rPr>
      </w:r>
      <w:r w:rsidRPr="00490C53">
        <w:rPr>
          <w:rStyle w:val="Heading3Char"/>
        </w:rPr>
        <w:fldChar w:fldCharType="separate"/>
      </w:r>
      <w:r w:rsidR="00397D49" w:rsidRPr="00490C53">
        <w:t xml:space="preserve">Table </w:t>
      </w:r>
      <w:r w:rsidR="00397D49">
        <w:t>54</w:t>
      </w:r>
      <w:r w:rsidRPr="00490C53">
        <w:rPr>
          <w:rStyle w:val="Heading3Char"/>
        </w:rPr>
        <w:fldChar w:fldCharType="end"/>
      </w:r>
      <w:r w:rsidRPr="00490C53">
        <w:rPr>
          <w:rStyle w:val="Heading3Char"/>
        </w:rPr>
        <w:t xml:space="preserve"> </w:t>
      </w:r>
      <w:r w:rsidRPr="00490C53">
        <w:t xml:space="preserve">shows how the </w:t>
      </w:r>
      <w:r w:rsidR="00104640" w:rsidRPr="00490C53">
        <w:t xml:space="preserve">HHIs and the responses to the relevant survey questions were mapped to quantitative figures (or </w:t>
      </w:r>
      <w:r w:rsidR="00525C0D" w:rsidRPr="00490C53">
        <w:t xml:space="preserve">‘displacement factors’). </w:t>
      </w:r>
      <w:r w:rsidR="007C47FE">
        <w:t>Intuitively, higher displacement factors are mapped to outcomes with more intense</w:t>
      </w:r>
      <w:r w:rsidR="00B4676E">
        <w:t xml:space="preserve"> competition</w:t>
      </w:r>
      <w:r w:rsidR="007C47FE">
        <w:t xml:space="preserve"> and/or UK-based competition.</w:t>
      </w:r>
    </w:p>
    <w:p w14:paraId="15461D01" w14:textId="7EC37962" w:rsidR="00933AFD" w:rsidRPr="00490C53" w:rsidRDefault="002D1FFB" w:rsidP="00720EA7">
      <w:r w:rsidRPr="00490C53">
        <w:t xml:space="preserve">Given there is little evidence in the literature on an appropriate </w:t>
      </w:r>
      <w:r w:rsidR="007C47FE">
        <w:t xml:space="preserve">HHI </w:t>
      </w:r>
      <w:r w:rsidRPr="00490C53">
        <w:t xml:space="preserve">cut-off for assigning a displacement factor of 0% or 25%, two different thresholds were used. Results for product market displacement are therefore presented as a range. </w:t>
      </w:r>
      <w:r w:rsidR="00B47E97" w:rsidRPr="00490C53">
        <w:t xml:space="preserve"> </w:t>
      </w:r>
    </w:p>
    <w:p w14:paraId="61F18E47" w14:textId="23BAEDF8" w:rsidR="009B4F4B" w:rsidRPr="00490C53" w:rsidRDefault="009B4F4B" w:rsidP="004A5F5D">
      <w:pPr>
        <w:pStyle w:val="Heading5"/>
      </w:pPr>
      <w:bookmarkStart w:id="333" w:name="_Ref122100663"/>
      <w:r w:rsidRPr="00490C53">
        <w:lastRenderedPageBreak/>
        <w:t xml:space="preserve">Table </w:t>
      </w:r>
      <w:r w:rsidR="00B6604F" w:rsidRPr="00846F78">
        <w:fldChar w:fldCharType="begin"/>
      </w:r>
      <w:r w:rsidR="00B6604F" w:rsidRPr="00490C53">
        <w:instrText xml:space="preserve"> SEQ Table \* ARABIC </w:instrText>
      </w:r>
      <w:r w:rsidR="00B6604F" w:rsidRPr="00846F78">
        <w:fldChar w:fldCharType="separate"/>
      </w:r>
      <w:r w:rsidR="00397D49">
        <w:rPr>
          <w:noProof/>
        </w:rPr>
        <w:t>54</w:t>
      </w:r>
      <w:r w:rsidR="00B6604F" w:rsidRPr="00846F78">
        <w:fldChar w:fldCharType="end"/>
      </w:r>
      <w:bookmarkEnd w:id="333"/>
      <w:r w:rsidR="003B1E05" w:rsidRPr="00490C53">
        <w:t xml:space="preserve">: </w:t>
      </w:r>
      <w:r w:rsidR="00AC18D7" w:rsidRPr="00490C53">
        <w:t xml:space="preserve">Adjustments for product market displacement – based on </w:t>
      </w:r>
      <w:r w:rsidR="00720EA7" w:rsidRPr="00490C53">
        <w:t xml:space="preserve">HHI calculations and </w:t>
      </w:r>
      <w:r w:rsidR="00AC18D7" w:rsidRPr="00490C53">
        <w:t>survey responses</w:t>
      </w:r>
    </w:p>
    <w:tbl>
      <w:tblPr>
        <w:tblStyle w:val="TableGrid"/>
        <w:tblW w:w="5000" w:type="pct"/>
        <w:tblLook w:val="04A0" w:firstRow="1" w:lastRow="0" w:firstColumn="1" w:lastColumn="0" w:noHBand="0" w:noVBand="1"/>
      </w:tblPr>
      <w:tblGrid>
        <w:gridCol w:w="3869"/>
        <w:gridCol w:w="3292"/>
        <w:gridCol w:w="2993"/>
      </w:tblGrid>
      <w:tr w:rsidR="00D8664F" w:rsidRPr="00490C53" w14:paraId="571C58C3" w14:textId="77777777">
        <w:trPr>
          <w:cnfStyle w:val="100000000000" w:firstRow="1" w:lastRow="0" w:firstColumn="0" w:lastColumn="0" w:oddVBand="0" w:evenVBand="0" w:oddHBand="0" w:evenHBand="0" w:firstRowFirstColumn="0" w:firstRowLastColumn="0" w:lastRowFirstColumn="0" w:lastRowLastColumn="0"/>
          <w:trHeight w:val="439"/>
          <w:tblHeader/>
        </w:trPr>
        <w:tc>
          <w:tcPr>
            <w:tcW w:w="1905" w:type="pct"/>
            <w:hideMark/>
          </w:tcPr>
          <w:p w14:paraId="26013535" w14:textId="33F41C75" w:rsidR="00D8664F" w:rsidRPr="00490C53" w:rsidRDefault="00D8664F">
            <w:pPr>
              <w:pStyle w:val="Tabletext"/>
              <w:rPr>
                <w:b w:val="0"/>
                <w:bCs/>
                <w:color w:val="FFFFFF" w:themeColor="background1"/>
              </w:rPr>
            </w:pPr>
            <w:r w:rsidRPr="00490C53">
              <w:rPr>
                <w:color w:val="FFFFFF" w:themeColor="background1"/>
              </w:rPr>
              <w:t xml:space="preserve">Question </w:t>
            </w:r>
            <w:r w:rsidR="009B3338" w:rsidRPr="00490C53">
              <w:rPr>
                <w:color w:val="FFFFFF" w:themeColor="background1"/>
              </w:rPr>
              <w:t>/ Calculation</w:t>
            </w:r>
          </w:p>
        </w:tc>
        <w:tc>
          <w:tcPr>
            <w:tcW w:w="1621" w:type="pct"/>
            <w:hideMark/>
          </w:tcPr>
          <w:p w14:paraId="1762ED3A" w14:textId="7F7E2ADE" w:rsidR="00D8664F" w:rsidRPr="00490C53" w:rsidRDefault="00D8664F">
            <w:pPr>
              <w:pStyle w:val="Tabletext"/>
              <w:rPr>
                <w:b w:val="0"/>
                <w:bCs/>
                <w:color w:val="FFFFFF" w:themeColor="background1"/>
              </w:rPr>
            </w:pPr>
            <w:r w:rsidRPr="00490C53">
              <w:rPr>
                <w:color w:val="FFFFFF" w:themeColor="background1"/>
              </w:rPr>
              <w:t>Response</w:t>
            </w:r>
            <w:r w:rsidR="009B3338" w:rsidRPr="00490C53">
              <w:rPr>
                <w:color w:val="FFFFFF" w:themeColor="background1"/>
              </w:rPr>
              <w:t xml:space="preserve"> / Value</w:t>
            </w:r>
          </w:p>
        </w:tc>
        <w:tc>
          <w:tcPr>
            <w:tcW w:w="1474" w:type="pct"/>
            <w:hideMark/>
          </w:tcPr>
          <w:p w14:paraId="49337BAC" w14:textId="77777777" w:rsidR="00D8664F" w:rsidRPr="00490C53" w:rsidRDefault="00D8664F">
            <w:pPr>
              <w:pStyle w:val="Tabletext"/>
              <w:rPr>
                <w:b w:val="0"/>
                <w:bCs/>
                <w:color w:val="FFFFFF" w:themeColor="background1"/>
              </w:rPr>
            </w:pPr>
            <w:r w:rsidRPr="00490C53">
              <w:rPr>
                <w:color w:val="FFFFFF" w:themeColor="background1"/>
              </w:rPr>
              <w:t>Displacement factor</w:t>
            </w:r>
          </w:p>
        </w:tc>
      </w:tr>
      <w:tr w:rsidR="00D8664F" w:rsidRPr="00490C53" w14:paraId="5AD7B0F2" w14:textId="77777777" w:rsidTr="00846F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01"/>
        </w:trPr>
        <w:tc>
          <w:tcPr>
            <w:tcW w:w="1905" w:type="pct"/>
            <w:vMerge w:val="restart"/>
            <w:vAlign w:val="center"/>
            <w:hideMark/>
          </w:tcPr>
          <w:p w14:paraId="36343A44" w14:textId="64718907" w:rsidR="00D8664F" w:rsidRPr="00490C53" w:rsidRDefault="009B3338" w:rsidP="00183388">
            <w:pPr>
              <w:pStyle w:val="Tabletext"/>
              <w:rPr>
                <w:bCs/>
              </w:rPr>
            </w:pPr>
            <w:r w:rsidRPr="00490C53">
              <w:t xml:space="preserve">Herfindahl–Hirschman Index calculated at the </w:t>
            </w:r>
            <w:r w:rsidRPr="00490C53">
              <w:rPr>
                <w:bCs/>
              </w:rPr>
              <w:t>sector-level.</w:t>
            </w:r>
          </w:p>
        </w:tc>
        <w:tc>
          <w:tcPr>
            <w:tcW w:w="1621" w:type="pct"/>
            <w:vAlign w:val="top"/>
            <w:hideMark/>
          </w:tcPr>
          <w:p w14:paraId="0CAC19D9" w14:textId="7C5A79D1" w:rsidR="00D8664F" w:rsidRPr="00490C53" w:rsidRDefault="009B3338">
            <w:pPr>
              <w:pStyle w:val="Tabletext"/>
            </w:pPr>
            <w:r w:rsidRPr="00490C53">
              <w:t xml:space="preserve">HHI under </w:t>
            </w:r>
            <w:r w:rsidR="002D1FFB" w:rsidRPr="00490C53">
              <w:t xml:space="preserve">1 (or </w:t>
            </w:r>
            <w:r w:rsidRPr="00490C53">
              <w:t>100</w:t>
            </w:r>
            <w:r w:rsidR="002D1FFB" w:rsidRPr="00490C53">
              <w:t>)</w:t>
            </w:r>
          </w:p>
        </w:tc>
        <w:tc>
          <w:tcPr>
            <w:tcW w:w="1474" w:type="pct"/>
            <w:vAlign w:val="top"/>
            <w:hideMark/>
          </w:tcPr>
          <w:p w14:paraId="416856D3" w14:textId="77777777" w:rsidR="00D8664F" w:rsidRPr="00490C53" w:rsidRDefault="00D8664F">
            <w:pPr>
              <w:pStyle w:val="Tabletext"/>
            </w:pPr>
            <w:r w:rsidRPr="00490C53">
              <w:t>100% displacement</w:t>
            </w:r>
          </w:p>
        </w:tc>
      </w:tr>
      <w:tr w:rsidR="00D8664F" w:rsidRPr="00490C53" w14:paraId="091EBC43" w14:textId="77777777">
        <w:tblPrEx>
          <w:tblCellMar>
            <w:left w:w="108" w:type="dxa"/>
            <w:right w:w="108" w:type="dxa"/>
          </w:tblCellMar>
        </w:tblPrEx>
        <w:trPr>
          <w:trHeight w:val="101"/>
        </w:trPr>
        <w:tc>
          <w:tcPr>
            <w:tcW w:w="1905" w:type="pct"/>
            <w:vMerge/>
            <w:shd w:val="clear" w:color="auto" w:fill="CCDDEF"/>
            <w:vAlign w:val="top"/>
            <w:hideMark/>
          </w:tcPr>
          <w:p w14:paraId="1FAC1B05" w14:textId="77777777" w:rsidR="00D8664F" w:rsidRPr="00490C53" w:rsidRDefault="00D8664F">
            <w:pPr>
              <w:pStyle w:val="Tabletext"/>
              <w:rPr>
                <w:sz w:val="20"/>
              </w:rPr>
            </w:pPr>
          </w:p>
        </w:tc>
        <w:tc>
          <w:tcPr>
            <w:tcW w:w="1621" w:type="pct"/>
            <w:shd w:val="clear" w:color="auto" w:fill="CCDDEF"/>
            <w:vAlign w:val="top"/>
            <w:hideMark/>
          </w:tcPr>
          <w:p w14:paraId="28953FE5" w14:textId="1ABD0ACD" w:rsidR="00D8664F" w:rsidRPr="00490C53" w:rsidRDefault="009B3338">
            <w:pPr>
              <w:pStyle w:val="Tabletext"/>
            </w:pPr>
            <w:r w:rsidRPr="00490C53">
              <w:t xml:space="preserve">HHI </w:t>
            </w:r>
            <w:r w:rsidR="00720EA7" w:rsidRPr="00490C53">
              <w:t>of at least</w:t>
            </w:r>
            <w:r w:rsidRPr="00490C53">
              <w:t xml:space="preserve"> 1</w:t>
            </w:r>
            <w:r w:rsidR="002D1FFB" w:rsidRPr="00490C53">
              <w:t xml:space="preserve"> (or 1</w:t>
            </w:r>
            <w:r w:rsidRPr="00490C53">
              <w:t>00</w:t>
            </w:r>
            <w:r w:rsidR="002D1FFB" w:rsidRPr="00490C53">
              <w:t>)</w:t>
            </w:r>
            <w:r w:rsidRPr="00490C53">
              <w:t xml:space="preserve"> and</w:t>
            </w:r>
            <w:r w:rsidR="00720EA7" w:rsidRPr="00490C53">
              <w:t xml:space="preserve"> less than</w:t>
            </w:r>
            <w:r w:rsidRPr="00490C53">
              <w:t xml:space="preserve"> 1,500</w:t>
            </w:r>
          </w:p>
        </w:tc>
        <w:tc>
          <w:tcPr>
            <w:tcW w:w="1474" w:type="pct"/>
            <w:shd w:val="clear" w:color="auto" w:fill="CCDDEF"/>
            <w:vAlign w:val="top"/>
            <w:hideMark/>
          </w:tcPr>
          <w:p w14:paraId="00C10D0F" w14:textId="77777777" w:rsidR="00D8664F" w:rsidRPr="00490C53" w:rsidRDefault="00D8664F">
            <w:pPr>
              <w:pStyle w:val="Tabletext"/>
            </w:pPr>
            <w:r w:rsidRPr="00490C53">
              <w:t>75% displacement</w:t>
            </w:r>
          </w:p>
        </w:tc>
      </w:tr>
      <w:tr w:rsidR="00D8664F" w:rsidRPr="00490C53" w14:paraId="59DF3AB9"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01"/>
        </w:trPr>
        <w:tc>
          <w:tcPr>
            <w:tcW w:w="1905" w:type="pct"/>
            <w:vMerge/>
            <w:vAlign w:val="top"/>
            <w:hideMark/>
          </w:tcPr>
          <w:p w14:paraId="7B291893" w14:textId="77777777" w:rsidR="00D8664F" w:rsidRPr="00490C53" w:rsidRDefault="00D8664F">
            <w:pPr>
              <w:pStyle w:val="Tabletext"/>
              <w:rPr>
                <w:sz w:val="20"/>
              </w:rPr>
            </w:pPr>
          </w:p>
        </w:tc>
        <w:tc>
          <w:tcPr>
            <w:tcW w:w="1621" w:type="pct"/>
            <w:vAlign w:val="top"/>
            <w:hideMark/>
          </w:tcPr>
          <w:p w14:paraId="72A0BA9F" w14:textId="3600203D" w:rsidR="00D8664F" w:rsidRPr="00490C53" w:rsidRDefault="009B3338">
            <w:pPr>
              <w:pStyle w:val="Tabletext"/>
            </w:pPr>
            <w:r w:rsidRPr="00490C53">
              <w:t xml:space="preserve">HHI </w:t>
            </w:r>
            <w:r w:rsidR="00720EA7" w:rsidRPr="00490C53">
              <w:t>of at least</w:t>
            </w:r>
            <w:r w:rsidRPr="00490C53">
              <w:t xml:space="preserve"> 1</w:t>
            </w:r>
            <w:r w:rsidR="002A5FA8" w:rsidRPr="00490C53">
              <w:t>,5</w:t>
            </w:r>
            <w:r w:rsidRPr="00490C53">
              <w:t xml:space="preserve">00 and </w:t>
            </w:r>
            <w:r w:rsidR="00720EA7" w:rsidRPr="00490C53">
              <w:t xml:space="preserve">less than </w:t>
            </w:r>
            <w:r w:rsidR="002A5FA8" w:rsidRPr="00490C53">
              <w:t>2</w:t>
            </w:r>
            <w:r w:rsidRPr="00490C53">
              <w:t>,500</w:t>
            </w:r>
          </w:p>
        </w:tc>
        <w:tc>
          <w:tcPr>
            <w:tcW w:w="1474" w:type="pct"/>
            <w:vAlign w:val="top"/>
            <w:hideMark/>
          </w:tcPr>
          <w:p w14:paraId="1B2447B2" w14:textId="77777777" w:rsidR="00D8664F" w:rsidRPr="00490C53" w:rsidRDefault="00D8664F">
            <w:pPr>
              <w:pStyle w:val="Tabletext"/>
            </w:pPr>
            <w:r w:rsidRPr="00490C53">
              <w:t>50% displacement</w:t>
            </w:r>
          </w:p>
        </w:tc>
      </w:tr>
      <w:tr w:rsidR="00D8664F" w:rsidRPr="00490C53" w14:paraId="0310FFD8" w14:textId="77777777">
        <w:tblPrEx>
          <w:tblCellMar>
            <w:left w:w="108" w:type="dxa"/>
            <w:right w:w="108" w:type="dxa"/>
          </w:tblCellMar>
        </w:tblPrEx>
        <w:trPr>
          <w:trHeight w:val="101"/>
        </w:trPr>
        <w:tc>
          <w:tcPr>
            <w:tcW w:w="1905" w:type="pct"/>
            <w:vMerge/>
            <w:shd w:val="clear" w:color="auto" w:fill="CCDDEF"/>
            <w:vAlign w:val="top"/>
            <w:hideMark/>
          </w:tcPr>
          <w:p w14:paraId="63DCBAD9" w14:textId="77777777" w:rsidR="00D8664F" w:rsidRPr="00490C53" w:rsidRDefault="00D8664F">
            <w:pPr>
              <w:pStyle w:val="Tabletext"/>
              <w:rPr>
                <w:sz w:val="20"/>
              </w:rPr>
            </w:pPr>
          </w:p>
        </w:tc>
        <w:tc>
          <w:tcPr>
            <w:tcW w:w="1621" w:type="pct"/>
            <w:shd w:val="clear" w:color="auto" w:fill="CCDDEF"/>
            <w:vAlign w:val="top"/>
            <w:hideMark/>
          </w:tcPr>
          <w:p w14:paraId="25F90966" w14:textId="10E2156C" w:rsidR="00D8664F" w:rsidRPr="00490C53" w:rsidRDefault="009B3338">
            <w:pPr>
              <w:pStyle w:val="Tabletext"/>
            </w:pPr>
            <w:r w:rsidRPr="00490C53">
              <w:t xml:space="preserve">HHI </w:t>
            </w:r>
            <w:r w:rsidR="00720EA7" w:rsidRPr="00490C53">
              <w:t>of at least</w:t>
            </w:r>
            <w:r w:rsidRPr="00490C53">
              <w:t xml:space="preserve"> </w:t>
            </w:r>
            <w:r w:rsidR="002A5FA8" w:rsidRPr="00490C53">
              <w:t>2,50</w:t>
            </w:r>
            <w:r w:rsidRPr="00490C53">
              <w:t xml:space="preserve">0 and </w:t>
            </w:r>
            <w:r w:rsidR="00720EA7" w:rsidRPr="00490C53">
              <w:t xml:space="preserve">less than </w:t>
            </w:r>
            <w:r w:rsidRPr="00490C53">
              <w:t>1</w:t>
            </w:r>
            <w:r w:rsidR="002A5FA8" w:rsidRPr="00490C53">
              <w:t>0,0</w:t>
            </w:r>
            <w:r w:rsidRPr="00490C53">
              <w:t>00</w:t>
            </w:r>
          </w:p>
        </w:tc>
        <w:tc>
          <w:tcPr>
            <w:tcW w:w="1474" w:type="pct"/>
            <w:shd w:val="clear" w:color="auto" w:fill="CCDDEF"/>
            <w:vAlign w:val="top"/>
            <w:hideMark/>
          </w:tcPr>
          <w:p w14:paraId="5DEA5D7A" w14:textId="77777777" w:rsidR="00D8664F" w:rsidRPr="00490C53" w:rsidRDefault="00D8664F">
            <w:pPr>
              <w:pStyle w:val="Tabletext"/>
            </w:pPr>
            <w:r w:rsidRPr="00490C53">
              <w:t>25% displacement</w:t>
            </w:r>
          </w:p>
        </w:tc>
      </w:tr>
      <w:tr w:rsidR="00D8664F" w:rsidRPr="00490C53" w14:paraId="6A3C744F"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2"/>
        </w:trPr>
        <w:tc>
          <w:tcPr>
            <w:tcW w:w="1905" w:type="pct"/>
            <w:vMerge/>
            <w:vAlign w:val="top"/>
            <w:hideMark/>
          </w:tcPr>
          <w:p w14:paraId="3E33B1DF" w14:textId="77777777" w:rsidR="00D8664F" w:rsidRPr="00490C53" w:rsidRDefault="00D8664F">
            <w:pPr>
              <w:pStyle w:val="Tabletext"/>
              <w:rPr>
                <w:sz w:val="20"/>
              </w:rPr>
            </w:pPr>
          </w:p>
        </w:tc>
        <w:tc>
          <w:tcPr>
            <w:tcW w:w="1621" w:type="pct"/>
            <w:vAlign w:val="top"/>
            <w:hideMark/>
          </w:tcPr>
          <w:p w14:paraId="603B9EE4" w14:textId="4C5C7805" w:rsidR="00D8664F" w:rsidRPr="00490C53" w:rsidRDefault="002A5FA8">
            <w:pPr>
              <w:pStyle w:val="Tabletext"/>
            </w:pPr>
            <w:r w:rsidRPr="00490C53">
              <w:t>HHI of 10,000</w:t>
            </w:r>
          </w:p>
        </w:tc>
        <w:tc>
          <w:tcPr>
            <w:tcW w:w="1474" w:type="pct"/>
            <w:vAlign w:val="top"/>
            <w:hideMark/>
          </w:tcPr>
          <w:p w14:paraId="6A4B6A5D" w14:textId="77777777" w:rsidR="00D8664F" w:rsidRPr="00490C53" w:rsidRDefault="00D8664F">
            <w:pPr>
              <w:pStyle w:val="Tabletext"/>
            </w:pPr>
            <w:r w:rsidRPr="00490C53">
              <w:t>0% displacement</w:t>
            </w:r>
          </w:p>
        </w:tc>
      </w:tr>
      <w:tr w:rsidR="00D8664F" w:rsidRPr="00490C53" w14:paraId="165F6254" w14:textId="77777777">
        <w:tblPrEx>
          <w:tblCellMar>
            <w:left w:w="108" w:type="dxa"/>
            <w:right w:w="108" w:type="dxa"/>
          </w:tblCellMar>
        </w:tblPrEx>
        <w:trPr>
          <w:trHeight w:val="251"/>
        </w:trPr>
        <w:tc>
          <w:tcPr>
            <w:tcW w:w="1905" w:type="pct"/>
            <w:vMerge w:val="restart"/>
            <w:shd w:val="clear" w:color="auto" w:fill="auto"/>
            <w:vAlign w:val="top"/>
            <w:hideMark/>
          </w:tcPr>
          <w:p w14:paraId="2C46E493" w14:textId="77777777" w:rsidR="00D8664F" w:rsidRPr="00490C53" w:rsidRDefault="00D8664F">
            <w:pPr>
              <w:pStyle w:val="Tabletext"/>
              <w:rPr>
                <w:bCs/>
              </w:rPr>
            </w:pPr>
            <w:r w:rsidRPr="00490C53">
              <w:t>Thinking about your business in January 2020, before the Covid-19 outbreak, if your business was to permanently cease trading do you think any of your competitors would take up your sales?</w:t>
            </w:r>
          </w:p>
          <w:p w14:paraId="36BBA821" w14:textId="77777777" w:rsidR="00D8664F" w:rsidRPr="00490C53" w:rsidRDefault="00D8664F">
            <w:pPr>
              <w:pStyle w:val="Tabletext"/>
            </w:pPr>
          </w:p>
        </w:tc>
        <w:tc>
          <w:tcPr>
            <w:tcW w:w="1621" w:type="pct"/>
            <w:shd w:val="clear" w:color="auto" w:fill="auto"/>
            <w:vAlign w:val="top"/>
            <w:hideMark/>
          </w:tcPr>
          <w:p w14:paraId="582DD3D3" w14:textId="77777777" w:rsidR="00D8664F" w:rsidRPr="00490C53" w:rsidRDefault="00D8664F">
            <w:pPr>
              <w:pStyle w:val="Tabletext"/>
            </w:pPr>
            <w:r w:rsidRPr="00490C53">
              <w:t xml:space="preserve">Yes, </w:t>
            </w:r>
            <w:proofErr w:type="gramStart"/>
            <w:r w:rsidRPr="00490C53">
              <w:t>all of</w:t>
            </w:r>
            <w:proofErr w:type="gramEnd"/>
            <w:r w:rsidRPr="00490C53">
              <w:t xml:space="preserve"> our sales</w:t>
            </w:r>
          </w:p>
        </w:tc>
        <w:tc>
          <w:tcPr>
            <w:tcW w:w="1474" w:type="pct"/>
            <w:shd w:val="clear" w:color="auto" w:fill="auto"/>
            <w:vAlign w:val="top"/>
            <w:hideMark/>
          </w:tcPr>
          <w:p w14:paraId="71243DAF" w14:textId="77777777" w:rsidR="00D8664F" w:rsidRPr="00490C53" w:rsidRDefault="00D8664F">
            <w:pPr>
              <w:pStyle w:val="Tabletext"/>
            </w:pPr>
            <w:r w:rsidRPr="00490C53">
              <w:t>100% displacement</w:t>
            </w:r>
          </w:p>
        </w:tc>
      </w:tr>
      <w:tr w:rsidR="00D8664F" w:rsidRPr="00490C53" w14:paraId="04D94828"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25"/>
        </w:trPr>
        <w:tc>
          <w:tcPr>
            <w:tcW w:w="1905" w:type="pct"/>
            <w:vMerge/>
            <w:shd w:val="clear" w:color="auto" w:fill="auto"/>
            <w:vAlign w:val="top"/>
            <w:hideMark/>
          </w:tcPr>
          <w:p w14:paraId="644BFED0" w14:textId="77777777" w:rsidR="00D8664F" w:rsidRPr="00490C53" w:rsidRDefault="00D8664F">
            <w:pPr>
              <w:pStyle w:val="Tabletext"/>
              <w:rPr>
                <w:sz w:val="20"/>
              </w:rPr>
            </w:pPr>
          </w:p>
        </w:tc>
        <w:tc>
          <w:tcPr>
            <w:tcW w:w="1621" w:type="pct"/>
            <w:shd w:val="clear" w:color="auto" w:fill="auto"/>
            <w:vAlign w:val="top"/>
            <w:hideMark/>
          </w:tcPr>
          <w:p w14:paraId="527B6AA5" w14:textId="77777777" w:rsidR="00D8664F" w:rsidRPr="00490C53" w:rsidRDefault="00D8664F">
            <w:pPr>
              <w:pStyle w:val="Tabletext"/>
            </w:pPr>
            <w:r w:rsidRPr="00490C53">
              <w:t>Yes, some of our sales</w:t>
            </w:r>
          </w:p>
        </w:tc>
        <w:tc>
          <w:tcPr>
            <w:tcW w:w="1474" w:type="pct"/>
            <w:shd w:val="clear" w:color="auto" w:fill="auto"/>
            <w:vAlign w:val="top"/>
            <w:hideMark/>
          </w:tcPr>
          <w:p w14:paraId="63B72A29" w14:textId="77777777" w:rsidR="00D8664F" w:rsidRPr="00490C53" w:rsidRDefault="00D8664F">
            <w:pPr>
              <w:pStyle w:val="Tabletext"/>
            </w:pPr>
            <w:r w:rsidRPr="00490C53">
              <w:t>50% displacement</w:t>
            </w:r>
          </w:p>
        </w:tc>
      </w:tr>
      <w:tr w:rsidR="00D8664F" w:rsidRPr="00490C53" w14:paraId="247115B7" w14:textId="77777777">
        <w:tblPrEx>
          <w:tblCellMar>
            <w:left w:w="108" w:type="dxa"/>
            <w:right w:w="108" w:type="dxa"/>
          </w:tblCellMar>
        </w:tblPrEx>
        <w:trPr>
          <w:trHeight w:val="701"/>
        </w:trPr>
        <w:tc>
          <w:tcPr>
            <w:tcW w:w="1905" w:type="pct"/>
            <w:vMerge/>
            <w:shd w:val="clear" w:color="auto" w:fill="auto"/>
            <w:vAlign w:val="top"/>
            <w:hideMark/>
          </w:tcPr>
          <w:p w14:paraId="1EB1D12B" w14:textId="77777777" w:rsidR="00D8664F" w:rsidRPr="00490C53" w:rsidRDefault="00D8664F">
            <w:pPr>
              <w:pStyle w:val="Tabletext"/>
              <w:rPr>
                <w:sz w:val="20"/>
              </w:rPr>
            </w:pPr>
          </w:p>
        </w:tc>
        <w:tc>
          <w:tcPr>
            <w:tcW w:w="1621" w:type="pct"/>
            <w:shd w:val="clear" w:color="auto" w:fill="auto"/>
            <w:vAlign w:val="top"/>
            <w:hideMark/>
          </w:tcPr>
          <w:p w14:paraId="26B21FA9" w14:textId="77777777" w:rsidR="00D8664F" w:rsidRPr="00490C53" w:rsidRDefault="00D8664F">
            <w:pPr>
              <w:pStyle w:val="Tabletext"/>
            </w:pPr>
            <w:r w:rsidRPr="00490C53">
              <w:t>No, no-one would take our sales</w:t>
            </w:r>
          </w:p>
        </w:tc>
        <w:tc>
          <w:tcPr>
            <w:tcW w:w="1474" w:type="pct"/>
            <w:shd w:val="clear" w:color="auto" w:fill="auto"/>
            <w:vAlign w:val="top"/>
            <w:hideMark/>
          </w:tcPr>
          <w:p w14:paraId="1A756359" w14:textId="77777777" w:rsidR="00D8664F" w:rsidRPr="00490C53" w:rsidRDefault="00D8664F">
            <w:pPr>
              <w:pStyle w:val="Tabletext"/>
            </w:pPr>
            <w:r w:rsidRPr="00490C53">
              <w:t>0% displacement</w:t>
            </w:r>
          </w:p>
        </w:tc>
      </w:tr>
      <w:tr w:rsidR="00D8664F" w:rsidRPr="00490C53" w14:paraId="7A93F8A4"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81"/>
        </w:trPr>
        <w:tc>
          <w:tcPr>
            <w:tcW w:w="1905" w:type="pct"/>
            <w:vMerge w:val="restart"/>
            <w:vAlign w:val="top"/>
            <w:hideMark/>
          </w:tcPr>
          <w:p w14:paraId="215AD2CB" w14:textId="77777777" w:rsidR="00D8664F" w:rsidRPr="00490C53" w:rsidRDefault="00D8664F">
            <w:pPr>
              <w:pStyle w:val="Tabletext"/>
            </w:pPr>
            <w:r w:rsidRPr="00490C53">
              <w:t xml:space="preserve">And would this mainly be competitors based…?  </w:t>
            </w:r>
          </w:p>
        </w:tc>
        <w:tc>
          <w:tcPr>
            <w:tcW w:w="1621" w:type="pct"/>
            <w:vAlign w:val="top"/>
            <w:hideMark/>
          </w:tcPr>
          <w:p w14:paraId="345569E6" w14:textId="77777777" w:rsidR="00D8664F" w:rsidRPr="00490C53" w:rsidRDefault="00D8664F">
            <w:pPr>
              <w:pStyle w:val="Tabletext"/>
            </w:pPr>
            <w:r w:rsidRPr="00490C53">
              <w:t xml:space="preserve">Only in UK </w:t>
            </w:r>
          </w:p>
        </w:tc>
        <w:tc>
          <w:tcPr>
            <w:tcW w:w="1474" w:type="pct"/>
            <w:vAlign w:val="top"/>
            <w:hideMark/>
          </w:tcPr>
          <w:p w14:paraId="4BCC6037" w14:textId="77777777" w:rsidR="00D8664F" w:rsidRPr="00490C53" w:rsidRDefault="00D8664F">
            <w:pPr>
              <w:pStyle w:val="Tabletext"/>
            </w:pPr>
            <w:r w:rsidRPr="00490C53">
              <w:t>100% displacement</w:t>
            </w:r>
          </w:p>
        </w:tc>
      </w:tr>
      <w:tr w:rsidR="00D8664F" w:rsidRPr="00490C53" w14:paraId="0646CA19" w14:textId="77777777">
        <w:tblPrEx>
          <w:tblCellMar>
            <w:left w:w="108" w:type="dxa"/>
            <w:right w:w="108" w:type="dxa"/>
          </w:tblCellMar>
        </w:tblPrEx>
        <w:trPr>
          <w:trHeight w:val="219"/>
        </w:trPr>
        <w:tc>
          <w:tcPr>
            <w:tcW w:w="1905" w:type="pct"/>
            <w:vMerge/>
            <w:shd w:val="clear" w:color="auto" w:fill="CCDDEF"/>
            <w:vAlign w:val="top"/>
            <w:hideMark/>
          </w:tcPr>
          <w:p w14:paraId="19B6A38A" w14:textId="77777777" w:rsidR="00D8664F" w:rsidRPr="00490C53" w:rsidRDefault="00D8664F">
            <w:pPr>
              <w:pStyle w:val="Tabletext"/>
              <w:rPr>
                <w:sz w:val="20"/>
              </w:rPr>
            </w:pPr>
          </w:p>
        </w:tc>
        <w:tc>
          <w:tcPr>
            <w:tcW w:w="1621" w:type="pct"/>
            <w:shd w:val="clear" w:color="auto" w:fill="CCDDEF"/>
            <w:vAlign w:val="top"/>
            <w:hideMark/>
          </w:tcPr>
          <w:p w14:paraId="0EACB7A2" w14:textId="77777777" w:rsidR="00D8664F" w:rsidRPr="00490C53" w:rsidRDefault="00D8664F">
            <w:pPr>
              <w:pStyle w:val="Tabletext"/>
            </w:pPr>
            <w:r w:rsidRPr="00490C53">
              <w:t>Outside the UK</w:t>
            </w:r>
          </w:p>
        </w:tc>
        <w:tc>
          <w:tcPr>
            <w:tcW w:w="1474" w:type="pct"/>
            <w:shd w:val="clear" w:color="auto" w:fill="CCDDEF"/>
            <w:vAlign w:val="top"/>
            <w:hideMark/>
          </w:tcPr>
          <w:p w14:paraId="130D74CE" w14:textId="77777777" w:rsidR="00D8664F" w:rsidRPr="00490C53" w:rsidRDefault="00D8664F">
            <w:pPr>
              <w:pStyle w:val="Tabletext"/>
            </w:pPr>
            <w:r w:rsidRPr="00490C53">
              <w:t>0% displacement</w:t>
            </w:r>
          </w:p>
        </w:tc>
      </w:tr>
      <w:tr w:rsidR="00D8664F" w:rsidRPr="00490C53" w14:paraId="7B476F6C"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18"/>
        </w:trPr>
        <w:tc>
          <w:tcPr>
            <w:tcW w:w="1905" w:type="pct"/>
            <w:vMerge/>
            <w:vAlign w:val="top"/>
            <w:hideMark/>
          </w:tcPr>
          <w:p w14:paraId="64C3CA97" w14:textId="77777777" w:rsidR="00D8664F" w:rsidRPr="00490C53" w:rsidRDefault="00D8664F">
            <w:pPr>
              <w:pStyle w:val="Tabletext"/>
              <w:rPr>
                <w:sz w:val="20"/>
              </w:rPr>
            </w:pPr>
          </w:p>
        </w:tc>
        <w:tc>
          <w:tcPr>
            <w:tcW w:w="1621" w:type="pct"/>
            <w:vAlign w:val="top"/>
            <w:hideMark/>
          </w:tcPr>
          <w:p w14:paraId="463FF4D2" w14:textId="77777777" w:rsidR="00D8664F" w:rsidRPr="00490C53" w:rsidRDefault="00D8664F">
            <w:pPr>
              <w:pStyle w:val="Tabletext"/>
            </w:pPr>
            <w:r w:rsidRPr="00490C53">
              <w:t>Both</w:t>
            </w:r>
          </w:p>
        </w:tc>
        <w:tc>
          <w:tcPr>
            <w:tcW w:w="1474" w:type="pct"/>
            <w:vAlign w:val="top"/>
            <w:hideMark/>
          </w:tcPr>
          <w:p w14:paraId="1EA000B2" w14:textId="77777777" w:rsidR="00D8664F" w:rsidRPr="00490C53" w:rsidRDefault="00D8664F">
            <w:pPr>
              <w:pStyle w:val="Tabletext"/>
            </w:pPr>
            <w:r w:rsidRPr="00490C53">
              <w:t>x% displacement, where x is the share of sales located in the UK</w:t>
            </w:r>
          </w:p>
        </w:tc>
      </w:tr>
    </w:tbl>
    <w:p w14:paraId="4E935F53" w14:textId="77777777" w:rsidR="00A22080" w:rsidRPr="00490C53" w:rsidRDefault="00A22080">
      <w:pPr>
        <w:spacing w:after="160" w:line="259" w:lineRule="auto"/>
      </w:pPr>
    </w:p>
    <w:p w14:paraId="553F55A9" w14:textId="4D79677A" w:rsidR="00240A4C" w:rsidRPr="00490C53" w:rsidRDefault="00240A4C" w:rsidP="00240A4C">
      <w:pPr>
        <w:rPr>
          <w:rStyle w:val="Emphasis"/>
        </w:rPr>
      </w:pPr>
    </w:p>
    <w:p w14:paraId="69661B21" w14:textId="77777777" w:rsidR="00240A4C" w:rsidRPr="00490C53" w:rsidRDefault="00240A4C" w:rsidP="00240A4C">
      <w:pPr>
        <w:rPr>
          <w:rStyle w:val="Emphasis"/>
        </w:rPr>
        <w:sectPr w:rsidR="00240A4C" w:rsidRPr="00490C53" w:rsidSect="00240A4C">
          <w:pgSz w:w="11906" w:h="16838" w:code="9"/>
          <w:pgMar w:top="1701" w:right="845" w:bottom="1531" w:left="907" w:header="624" w:footer="454" w:gutter="0"/>
          <w:cols w:space="720"/>
          <w:titlePg/>
          <w:docGrid w:linePitch="360"/>
        </w:sectPr>
      </w:pPr>
    </w:p>
    <w:p w14:paraId="75AAD9FA" w14:textId="52A25642" w:rsidR="009E00AB" w:rsidRPr="00490C53" w:rsidRDefault="009E00AB" w:rsidP="009E00AB">
      <w:pPr>
        <w:pStyle w:val="BlockText"/>
      </w:pPr>
      <w:r w:rsidRPr="00490C53">
        <w:rPr>
          <w:rStyle w:val="Bold"/>
        </w:rPr>
        <w:lastRenderedPageBreak/>
        <w:t>British Business Bank plc</w:t>
      </w:r>
      <w:r w:rsidRPr="00490C53">
        <w:br/>
        <w:t>Steel City House</w:t>
      </w:r>
      <w:r w:rsidRPr="00490C53">
        <w:br/>
        <w:t>West Street</w:t>
      </w:r>
      <w:r w:rsidRPr="00490C53">
        <w:br/>
        <w:t>Sheffield S1 2GQ</w:t>
      </w:r>
    </w:p>
    <w:p w14:paraId="367941E9" w14:textId="77777777" w:rsidR="009E00AB" w:rsidRPr="00490C53" w:rsidRDefault="009E00AB" w:rsidP="009E00AB">
      <w:pPr>
        <w:pStyle w:val="BlockText"/>
      </w:pPr>
      <w:r w:rsidRPr="00490C53">
        <w:t>t.</w:t>
      </w:r>
      <w:r w:rsidRPr="00490C53">
        <w:tab/>
        <w:t>+44 (0)114 206 2131</w:t>
      </w:r>
    </w:p>
    <w:p w14:paraId="64E2454F" w14:textId="77777777" w:rsidR="009E00AB" w:rsidRPr="00490C53" w:rsidRDefault="009E00AB" w:rsidP="009E00AB">
      <w:pPr>
        <w:pStyle w:val="BlockText"/>
      </w:pPr>
      <w:r w:rsidRPr="00490C53">
        <w:t>e.</w:t>
      </w:r>
      <w:r w:rsidRPr="00490C53">
        <w:tab/>
        <w:t>info@british-business-bank.co.uk</w:t>
      </w:r>
    </w:p>
    <w:p w14:paraId="5789D458" w14:textId="5544E524" w:rsidR="009E00AB" w:rsidRPr="00490C53" w:rsidRDefault="006924B0" w:rsidP="009E00AB">
      <w:pPr>
        <w:pStyle w:val="BlockText"/>
        <w:rPr>
          <w:rStyle w:val="Bold"/>
        </w:rPr>
      </w:pPr>
      <w:hyperlink r:id="rId65" w:history="1">
        <w:r w:rsidR="009E00AB" w:rsidRPr="00490C53">
          <w:rPr>
            <w:rStyle w:val="Hyperlink"/>
          </w:rPr>
          <w:t>british-business-bank.co.uk</w:t>
        </w:r>
      </w:hyperlink>
    </w:p>
    <w:p w14:paraId="1D199AB5" w14:textId="239ACBB8" w:rsidR="00240A4C" w:rsidRPr="00490C53" w:rsidRDefault="009E00AB" w:rsidP="009E00AB">
      <w:pPr>
        <w:pStyle w:val="BlockText"/>
      </w:pPr>
      <w:r w:rsidRPr="00490C53">
        <w:t xml:space="preserve">Publication date: </w:t>
      </w:r>
      <w:r w:rsidR="00CB24DA">
        <w:t>November 2023</w:t>
      </w:r>
    </w:p>
    <w:p w14:paraId="3DF08D82" w14:textId="5F38A193" w:rsidR="009E00AB" w:rsidRPr="00490C53" w:rsidRDefault="009E00AB" w:rsidP="006A1A04">
      <w:pPr>
        <w:pStyle w:val="Companyinformation"/>
      </w:pPr>
      <w:r w:rsidRPr="00490C53">
        <w:t>British Business Bank plc is a public limited company registered in England and Wales, registration number 08616013, registered office at Steel City House, West Street, Sheffield S1 2GQ. It is a development bank wholly owned by HM Government. British Business Bank plc and its subsidiaries are not banking institutions and do not operate as such. They are not authorised or regulated by the Prudential Regulation Authority</w:t>
      </w:r>
      <w:r w:rsidR="006A1A04" w:rsidRPr="00490C53">
        <w:t xml:space="preserve"> (PRA) or the Financial </w:t>
      </w:r>
      <w:r w:rsidR="006A1A04" w:rsidRPr="00490C53">
        <w:br/>
        <w:t xml:space="preserve">Conduct Authority (FRA). A complete legal structure chart for the group can be found at </w:t>
      </w:r>
      <w:r w:rsidR="006A1A04" w:rsidRPr="00490C53">
        <w:br/>
        <w:t>www.british-business-bank.co.uk</w:t>
      </w:r>
    </w:p>
    <w:sectPr w:rsidR="009E00AB" w:rsidRPr="00490C53" w:rsidSect="006A1A04">
      <w:headerReference w:type="first" r:id="rId66"/>
      <w:footerReference w:type="first" r:id="rId67"/>
      <w:pgSz w:w="11906" w:h="16838" w:code="9"/>
      <w:pgMar w:top="9072" w:right="845" w:bottom="624" w:left="907" w:header="624"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6C4DF" w14:textId="77777777" w:rsidR="004A77DF" w:rsidRDefault="004A77DF" w:rsidP="00016B1D">
      <w:pPr>
        <w:spacing w:after="0" w:line="240" w:lineRule="auto"/>
      </w:pPr>
      <w:r>
        <w:separator/>
      </w:r>
    </w:p>
  </w:endnote>
  <w:endnote w:type="continuationSeparator" w:id="0">
    <w:p w14:paraId="1A068AEE" w14:textId="77777777" w:rsidR="004A77DF" w:rsidRDefault="004A77DF" w:rsidP="00016B1D">
      <w:pPr>
        <w:spacing w:after="0" w:line="240" w:lineRule="auto"/>
      </w:pPr>
      <w:r>
        <w:continuationSeparator/>
      </w:r>
    </w:p>
  </w:endnote>
  <w:endnote w:type="continuationNotice" w:id="1">
    <w:p w14:paraId="61F3F31A" w14:textId="77777777" w:rsidR="004A77DF" w:rsidRDefault="004A77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pitch w:val="variable"/>
    <w:sig w:usb0="00000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utch Roman 11pt">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5000" w:type="pct"/>
      <w:tblLook w:val="04A0" w:firstRow="1" w:lastRow="0" w:firstColumn="1" w:lastColumn="0" w:noHBand="0" w:noVBand="1"/>
    </w:tblPr>
    <w:tblGrid>
      <w:gridCol w:w="3026"/>
      <w:gridCol w:w="3455"/>
      <w:gridCol w:w="158"/>
    </w:tblGrid>
    <w:tr w:rsidR="00176EA1" w14:paraId="3AB3E503" w14:textId="77777777" w:rsidTr="00846F78">
      <w:tc>
        <w:tcPr>
          <w:cnfStyle w:val="001000000000" w:firstRow="0" w:lastRow="0" w:firstColumn="1" w:lastColumn="0" w:oddVBand="0" w:evenVBand="0" w:oddHBand="0" w:evenHBand="0" w:firstRowFirstColumn="0" w:firstRowLastColumn="0" w:lastRowFirstColumn="0" w:lastRowLastColumn="0"/>
          <w:tcW w:w="2279" w:type="pct"/>
          <w:vAlign w:val="bottom"/>
        </w:tcPr>
        <w:p w14:paraId="13CF86A9" w14:textId="77777777" w:rsidR="00176EA1" w:rsidRDefault="00176EA1" w:rsidP="00176EA1">
          <w:pPr>
            <w:pStyle w:val="Footer"/>
          </w:pPr>
          <w:r>
            <w:t>British Business Bank</w:t>
          </w:r>
        </w:p>
      </w:tc>
      <w:tc>
        <w:tcPr>
          <w:tcW w:w="2602" w:type="pct"/>
          <w:vAlign w:val="bottom"/>
        </w:tcPr>
        <w:p w14:paraId="1B6DB21A" w14:textId="548D61D8" w:rsidR="00176EA1" w:rsidRDefault="006924B0" w:rsidP="00176EA1">
          <w:pPr>
            <w:pStyle w:val="Footer"/>
            <w:cnfStyle w:val="000000000000" w:firstRow="0" w:lastRow="0" w:firstColumn="0" w:lastColumn="0" w:oddVBand="0" w:evenVBand="0" w:oddHBand="0" w:evenHBand="0" w:firstRowFirstColumn="0" w:firstRowLastColumn="0" w:lastRowFirstColumn="0" w:lastRowLastColumn="0"/>
          </w:pPr>
          <w:hyperlink r:id="rId1" w:history="1">
            <w:r w:rsidR="000869B5" w:rsidRPr="000869B5">
              <w:rPr>
                <w:rStyle w:val="Hyperlink"/>
              </w:rPr>
              <w:t>british-business-bank.co.uk</w:t>
            </w:r>
          </w:hyperlink>
        </w:p>
      </w:tc>
      <w:tc>
        <w:tcPr>
          <w:tcW w:w="119" w:type="pct"/>
          <w:vAlign w:val="bottom"/>
        </w:tcPr>
        <w:p w14:paraId="5A564578" w14:textId="77777777" w:rsidR="00176EA1" w:rsidRDefault="00176EA1" w:rsidP="00176EA1">
          <w:pPr>
            <w:pStyle w:val="Footer"/>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2</w:t>
          </w:r>
          <w:r>
            <w:rPr>
              <w:noProof/>
            </w:rPr>
            <w:fldChar w:fldCharType="end"/>
          </w:r>
        </w:p>
      </w:tc>
    </w:tr>
  </w:tbl>
  <w:p w14:paraId="136CA646" w14:textId="77777777" w:rsidR="00BC44D7" w:rsidRPr="00176EA1" w:rsidRDefault="00BC44D7" w:rsidP="00176EA1">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7613" w:type="pct"/>
      <w:tblLook w:val="04A0" w:firstRow="1" w:lastRow="0" w:firstColumn="1" w:lastColumn="0" w:noHBand="0" w:noVBand="1"/>
    </w:tblPr>
    <w:tblGrid>
      <w:gridCol w:w="5159"/>
      <w:gridCol w:w="3249"/>
      <w:gridCol w:w="1701"/>
    </w:tblGrid>
    <w:tr w:rsidR="00877B1E" w14:paraId="03B6D35E" w14:textId="77777777" w:rsidTr="00877B1E">
      <w:tc>
        <w:tcPr>
          <w:cnfStyle w:val="001000000000" w:firstRow="0" w:lastRow="0" w:firstColumn="1" w:lastColumn="0" w:oddVBand="0" w:evenVBand="0" w:oddHBand="0" w:evenHBand="0" w:firstRowFirstColumn="0" w:firstRowLastColumn="0" w:lastRowFirstColumn="0" w:lastRowLastColumn="0"/>
          <w:tcW w:w="5159" w:type="dxa"/>
        </w:tcPr>
        <w:p w14:paraId="61356E67" w14:textId="423EA446" w:rsidR="00877B1E" w:rsidRDefault="00877B1E" w:rsidP="00877B1E">
          <w:pPr>
            <w:pStyle w:val="Footer"/>
            <w:tabs>
              <w:tab w:val="clear" w:pos="4513"/>
              <w:tab w:val="clear" w:pos="9026"/>
            </w:tabs>
          </w:pPr>
          <w:r>
            <w:t>British Business Bank</w:t>
          </w:r>
        </w:p>
      </w:tc>
      <w:tc>
        <w:tcPr>
          <w:tcW w:w="3249" w:type="dxa"/>
          <w:vAlign w:val="bottom"/>
        </w:tcPr>
        <w:p w14:paraId="15AA6A21" w14:textId="534ECB0D" w:rsidR="00877B1E" w:rsidRDefault="006924B0" w:rsidP="00877B1E">
          <w:pPr>
            <w:pStyle w:val="Footer"/>
            <w:tabs>
              <w:tab w:val="clear" w:pos="4513"/>
              <w:tab w:val="clear" w:pos="9026"/>
            </w:tabs>
            <w:cnfStyle w:val="000000000000" w:firstRow="0" w:lastRow="0" w:firstColumn="0" w:lastColumn="0" w:oddVBand="0" w:evenVBand="0" w:oddHBand="0" w:evenHBand="0" w:firstRowFirstColumn="0" w:firstRowLastColumn="0" w:lastRowFirstColumn="0" w:lastRowLastColumn="0"/>
          </w:pPr>
          <w:hyperlink r:id="rId1" w:history="1">
            <w:r w:rsidR="00877B1E" w:rsidRPr="000869B5">
              <w:rPr>
                <w:rStyle w:val="Hyperlink"/>
              </w:rPr>
              <w:t>british-business-bank.co.uk</w:t>
            </w:r>
          </w:hyperlink>
        </w:p>
      </w:tc>
      <w:tc>
        <w:tcPr>
          <w:tcW w:w="1701" w:type="dxa"/>
          <w:vAlign w:val="bottom"/>
        </w:tcPr>
        <w:p w14:paraId="01E3300B" w14:textId="725A2E80" w:rsidR="00877B1E" w:rsidRDefault="00877B1E" w:rsidP="00877B1E">
          <w:pPr>
            <w:pStyle w:val="Footer"/>
            <w:tabs>
              <w:tab w:val="clear" w:pos="4513"/>
              <w:tab w:val="clear" w:pos="9026"/>
            </w:tabs>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3</w:t>
          </w:r>
          <w:r>
            <w:rPr>
              <w:noProof/>
            </w:rPr>
            <w:fldChar w:fldCharType="end"/>
          </w:r>
        </w:p>
      </w:tc>
    </w:tr>
  </w:tbl>
  <w:p w14:paraId="49A83633" w14:textId="77777777" w:rsidR="00BC44D7" w:rsidRPr="00176EA1" w:rsidRDefault="00BC44D7" w:rsidP="00176EA1">
    <w:pPr>
      <w:pStyle w:val="Footer"/>
      <w:tabs>
        <w:tab w:val="clear" w:pos="4513"/>
        <w:tab w:val="clear" w:pos="9026"/>
      </w:tabs>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5000" w:type="pct"/>
      <w:tblLook w:val="04A0" w:firstRow="1" w:lastRow="0" w:firstColumn="1" w:lastColumn="0" w:noHBand="0" w:noVBand="1"/>
    </w:tblPr>
    <w:tblGrid>
      <w:gridCol w:w="4628"/>
      <w:gridCol w:w="5012"/>
      <w:gridCol w:w="514"/>
    </w:tblGrid>
    <w:tr w:rsidR="00ED5728" w14:paraId="3D9BFF92" w14:textId="77777777" w:rsidTr="002D323B">
      <w:tc>
        <w:tcPr>
          <w:cnfStyle w:val="001000000000" w:firstRow="0" w:lastRow="0" w:firstColumn="1" w:lastColumn="0" w:oddVBand="0" w:evenVBand="0" w:oddHBand="0" w:evenHBand="0" w:firstRowFirstColumn="0" w:firstRowLastColumn="0" w:lastRowFirstColumn="0" w:lastRowLastColumn="0"/>
          <w:tcW w:w="2279" w:type="pct"/>
          <w:vAlign w:val="bottom"/>
        </w:tcPr>
        <w:p w14:paraId="6AB96464" w14:textId="1283E25E" w:rsidR="00ED5728" w:rsidRDefault="00ED5728" w:rsidP="00176EA1">
          <w:pPr>
            <w:pStyle w:val="Footer"/>
          </w:pPr>
          <w:r>
            <w:t>British Business Bank</w:t>
          </w:r>
        </w:p>
      </w:tc>
      <w:tc>
        <w:tcPr>
          <w:tcW w:w="2468" w:type="pct"/>
          <w:vAlign w:val="bottom"/>
        </w:tcPr>
        <w:p w14:paraId="654D4A89" w14:textId="52C17C5B" w:rsidR="00ED5728" w:rsidRDefault="006924B0" w:rsidP="00176EA1">
          <w:pPr>
            <w:pStyle w:val="Footer"/>
            <w:cnfStyle w:val="000000000000" w:firstRow="0" w:lastRow="0" w:firstColumn="0" w:lastColumn="0" w:oddVBand="0" w:evenVBand="0" w:oddHBand="0" w:evenHBand="0" w:firstRowFirstColumn="0" w:firstRowLastColumn="0" w:lastRowFirstColumn="0" w:lastRowLastColumn="0"/>
          </w:pPr>
          <w:hyperlink r:id="rId1" w:history="1">
            <w:r w:rsidR="00ED5728" w:rsidRPr="000869B5">
              <w:rPr>
                <w:rStyle w:val="Hyperlink"/>
              </w:rPr>
              <w:t>british-business-bank.co.uk</w:t>
            </w:r>
          </w:hyperlink>
        </w:p>
      </w:tc>
      <w:tc>
        <w:tcPr>
          <w:tcW w:w="254" w:type="pct"/>
          <w:vAlign w:val="bottom"/>
        </w:tcPr>
        <w:p w14:paraId="61315BCF" w14:textId="77777777" w:rsidR="00ED5728" w:rsidRDefault="00ED5728" w:rsidP="00176EA1">
          <w:pPr>
            <w:pStyle w:val="Footer"/>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2</w:t>
          </w:r>
          <w:r>
            <w:rPr>
              <w:noProof/>
            </w:rPr>
            <w:fldChar w:fldCharType="end"/>
          </w:r>
        </w:p>
      </w:tc>
    </w:tr>
  </w:tbl>
  <w:p w14:paraId="24A8690B" w14:textId="77777777" w:rsidR="00ED5728" w:rsidRPr="00176EA1" w:rsidRDefault="00ED5728" w:rsidP="00176EA1">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5000" w:type="pct"/>
      <w:tblLook w:val="04A0" w:firstRow="1" w:lastRow="0" w:firstColumn="1" w:lastColumn="0" w:noHBand="0" w:noVBand="1"/>
    </w:tblPr>
    <w:tblGrid>
      <w:gridCol w:w="5183"/>
      <w:gridCol w:w="3263"/>
      <w:gridCol w:w="1708"/>
    </w:tblGrid>
    <w:tr w:rsidR="005240E1" w14:paraId="77DA2AAA" w14:textId="77777777" w:rsidTr="005240E1">
      <w:tc>
        <w:tcPr>
          <w:cnfStyle w:val="001000000000" w:firstRow="0" w:lastRow="0" w:firstColumn="1" w:lastColumn="0" w:oddVBand="0" w:evenVBand="0" w:oddHBand="0" w:evenHBand="0" w:firstRowFirstColumn="0" w:firstRowLastColumn="0" w:lastRowFirstColumn="0" w:lastRowLastColumn="0"/>
          <w:tcW w:w="2552" w:type="pct"/>
        </w:tcPr>
        <w:p w14:paraId="20D73AC5" w14:textId="77777777" w:rsidR="005240E1" w:rsidRDefault="005240E1" w:rsidP="00877B1E">
          <w:pPr>
            <w:pStyle w:val="Footer"/>
            <w:tabs>
              <w:tab w:val="clear" w:pos="4513"/>
              <w:tab w:val="clear" w:pos="9026"/>
            </w:tabs>
          </w:pPr>
          <w:r>
            <w:t>British Business Bank</w:t>
          </w:r>
        </w:p>
      </w:tc>
      <w:tc>
        <w:tcPr>
          <w:tcW w:w="1607" w:type="pct"/>
          <w:vAlign w:val="bottom"/>
        </w:tcPr>
        <w:p w14:paraId="7BF65B00" w14:textId="3A19C0CE" w:rsidR="005240E1" w:rsidRDefault="006924B0" w:rsidP="00877B1E">
          <w:pPr>
            <w:pStyle w:val="Footer"/>
            <w:tabs>
              <w:tab w:val="clear" w:pos="4513"/>
              <w:tab w:val="clear" w:pos="9026"/>
            </w:tabs>
            <w:cnfStyle w:val="000000000000" w:firstRow="0" w:lastRow="0" w:firstColumn="0" w:lastColumn="0" w:oddVBand="0" w:evenVBand="0" w:oddHBand="0" w:evenHBand="0" w:firstRowFirstColumn="0" w:firstRowLastColumn="0" w:lastRowFirstColumn="0" w:lastRowLastColumn="0"/>
          </w:pPr>
          <w:hyperlink r:id="rId1" w:history="1">
            <w:r w:rsidR="005240E1" w:rsidRPr="000869B5">
              <w:rPr>
                <w:rStyle w:val="Hyperlink"/>
              </w:rPr>
              <w:t>british-business-bank.co.uk</w:t>
            </w:r>
          </w:hyperlink>
        </w:p>
      </w:tc>
      <w:tc>
        <w:tcPr>
          <w:tcW w:w="841" w:type="pct"/>
          <w:vAlign w:val="bottom"/>
        </w:tcPr>
        <w:p w14:paraId="350E1220" w14:textId="77777777" w:rsidR="005240E1" w:rsidRDefault="005240E1" w:rsidP="00877B1E">
          <w:pPr>
            <w:pStyle w:val="Footer"/>
            <w:tabs>
              <w:tab w:val="clear" w:pos="4513"/>
              <w:tab w:val="clear" w:pos="9026"/>
            </w:tabs>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3</w:t>
          </w:r>
          <w:r>
            <w:rPr>
              <w:noProof/>
            </w:rPr>
            <w:fldChar w:fldCharType="end"/>
          </w:r>
        </w:p>
      </w:tc>
    </w:tr>
  </w:tbl>
  <w:p w14:paraId="07A3C22F" w14:textId="77777777" w:rsidR="005240E1" w:rsidRPr="00176EA1" w:rsidRDefault="005240E1" w:rsidP="00176EA1">
    <w:pPr>
      <w:pStyle w:val="Footer"/>
      <w:tabs>
        <w:tab w:val="clear" w:pos="4513"/>
        <w:tab w:val="clear" w:pos="9026"/>
      </w:tabs>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DFB9" w14:textId="77777777" w:rsidR="00240A4C" w:rsidRPr="00240A4C" w:rsidRDefault="00240A4C" w:rsidP="00240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74502" w14:textId="77777777" w:rsidR="004A77DF" w:rsidRDefault="004A77DF" w:rsidP="00016B1D">
      <w:pPr>
        <w:spacing w:after="0" w:line="240" w:lineRule="auto"/>
      </w:pPr>
      <w:r>
        <w:separator/>
      </w:r>
    </w:p>
  </w:footnote>
  <w:footnote w:type="continuationSeparator" w:id="0">
    <w:p w14:paraId="6D101561" w14:textId="77777777" w:rsidR="004A77DF" w:rsidRDefault="004A77DF" w:rsidP="00016B1D">
      <w:pPr>
        <w:spacing w:after="0" w:line="240" w:lineRule="auto"/>
      </w:pPr>
      <w:r>
        <w:continuationSeparator/>
      </w:r>
    </w:p>
  </w:footnote>
  <w:footnote w:type="continuationNotice" w:id="1">
    <w:p w14:paraId="3337A999" w14:textId="77777777" w:rsidR="004A77DF" w:rsidRDefault="004A77DF">
      <w:pPr>
        <w:spacing w:after="0" w:line="240" w:lineRule="auto"/>
      </w:pPr>
    </w:p>
  </w:footnote>
  <w:footnote w:id="2">
    <w:p w14:paraId="0D56FB0A" w14:textId="77777777" w:rsidR="00C132D2" w:rsidRDefault="00C132D2" w:rsidP="00C132D2">
      <w:pPr>
        <w:pStyle w:val="FootnoteText"/>
      </w:pPr>
      <w:r>
        <w:rPr>
          <w:rStyle w:val="FootnoteReference"/>
        </w:rPr>
        <w:footnoteRef/>
      </w:r>
      <w:r>
        <w:t xml:space="preserve"> Experian (2023) Experian UK SME Credit Trends Index (January to March 2023)</w:t>
      </w:r>
    </w:p>
  </w:footnote>
  <w:footnote w:id="3">
    <w:p w14:paraId="1E6EFAFF" w14:textId="77777777" w:rsidR="00862D83" w:rsidRDefault="00862D83" w:rsidP="00862D83">
      <w:pPr>
        <w:pStyle w:val="FootnoteText"/>
      </w:pPr>
      <w:r>
        <w:rPr>
          <w:rStyle w:val="FootnoteReference"/>
        </w:rPr>
        <w:footnoteRef/>
      </w:r>
      <w:r>
        <w:t xml:space="preserve"> Experian (2023) Experian UK SME Credit Trends Index (January to March 2023)</w:t>
      </w:r>
    </w:p>
  </w:footnote>
  <w:footnote w:id="4">
    <w:p w14:paraId="0387ED38" w14:textId="0631F4AE" w:rsidR="00B92DA4" w:rsidRPr="00B92DA4" w:rsidRDefault="00B92DA4">
      <w:pPr>
        <w:pStyle w:val="FootnoteText"/>
      </w:pPr>
      <w:r>
        <w:rPr>
          <w:rStyle w:val="FootnoteReference"/>
        </w:rPr>
        <w:footnoteRef/>
      </w:r>
      <w:r>
        <w:t xml:space="preserve"> Specifically, up to </w:t>
      </w:r>
      <w:r w:rsidR="00381F89">
        <w:t>December</w:t>
      </w:r>
      <w:r>
        <w:t xml:space="preserve"> 2021 in the case of the business survival analysis, and the latest completed financial year as of </w:t>
      </w:r>
      <w:r w:rsidR="00381F89">
        <w:t>the survey fieldwork (</w:t>
      </w:r>
      <w:r w:rsidR="00381F89" w:rsidRPr="00B11453">
        <w:rPr>
          <w:lang w:val="en-US"/>
        </w:rPr>
        <w:t>August to October 2022</w:t>
      </w:r>
      <w:r w:rsidR="00381F89">
        <w:t>)</w:t>
      </w:r>
      <w:r>
        <w:t xml:space="preserve"> in the case of the analysis of turnover and employment</w:t>
      </w:r>
      <w:r w:rsidR="00381F89">
        <w:t xml:space="preserve"> (see </w:t>
      </w:r>
      <w:r w:rsidR="00651324">
        <w:t xml:space="preserve">Approach </w:t>
      </w:r>
      <w:r w:rsidR="00381F89">
        <w:t>for more detail on reference periods)</w:t>
      </w:r>
      <w:r>
        <w:t>.</w:t>
      </w:r>
      <w:r w:rsidR="007C5495">
        <w:t xml:space="preserve"> </w:t>
      </w:r>
    </w:p>
  </w:footnote>
  <w:footnote w:id="5">
    <w:p w14:paraId="509B3401" w14:textId="6D9C2733" w:rsidR="004441C1" w:rsidRPr="00A36500" w:rsidRDefault="004441C1">
      <w:pPr>
        <w:pStyle w:val="FootnoteText"/>
        <w:rPr>
          <w:lang w:val="en-US"/>
        </w:rPr>
      </w:pPr>
      <w:r>
        <w:rPr>
          <w:rStyle w:val="FootnoteReference"/>
        </w:rPr>
        <w:footnoteRef/>
      </w:r>
      <w:r>
        <w:t xml:space="preserve"> </w:t>
      </w:r>
      <w:r>
        <w:rPr>
          <w:lang w:val="en-US"/>
        </w:rPr>
        <w:t>This refers to the counterfactual closure rate, not to be confused with the survival impact which also takes the observed closure rate of borrowers into account.</w:t>
      </w:r>
    </w:p>
  </w:footnote>
  <w:footnote w:id="6">
    <w:p w14:paraId="62CAB3A3" w14:textId="458471E1" w:rsidR="009C41D0" w:rsidRPr="00AB131F" w:rsidRDefault="009C41D0" w:rsidP="009C41D0">
      <w:pPr>
        <w:pStyle w:val="FootnoteText"/>
        <w:rPr>
          <w:lang w:val="en-US"/>
        </w:rPr>
      </w:pPr>
      <w:r>
        <w:rPr>
          <w:rStyle w:val="FootnoteReference"/>
        </w:rPr>
        <w:footnoteRef/>
      </w:r>
      <w:r>
        <w:t xml:space="preserve"> The width of the ranges of the estimates </w:t>
      </w:r>
      <w:r w:rsidR="00757B29">
        <w:t>reflects</w:t>
      </w:r>
      <w:r>
        <w:t xml:space="preserve"> the difficulties businesses may have in assessing their likelihood of survival without the loan. </w:t>
      </w:r>
    </w:p>
  </w:footnote>
  <w:footnote w:id="7">
    <w:p w14:paraId="53058EAE" w14:textId="70D6671A" w:rsidR="00B540DE" w:rsidRPr="00B540DE" w:rsidRDefault="00B540DE">
      <w:pPr>
        <w:pStyle w:val="FootnoteText"/>
      </w:pPr>
      <w:r>
        <w:rPr>
          <w:rStyle w:val="FootnoteReference"/>
        </w:rPr>
        <w:footnoteRef/>
      </w:r>
      <w:r>
        <w:t xml:space="preserve"> The Year 1 survey-based survival impacts are measured up to December 2020. </w:t>
      </w:r>
    </w:p>
  </w:footnote>
  <w:footnote w:id="8">
    <w:p w14:paraId="0A2101E1" w14:textId="6ED411A1" w:rsidR="00B540DE" w:rsidRPr="00A36500" w:rsidRDefault="00B540DE">
      <w:pPr>
        <w:pStyle w:val="FootnoteText"/>
        <w:rPr>
          <w:lang w:val="en-US"/>
        </w:rPr>
      </w:pPr>
      <w:r>
        <w:rPr>
          <w:rStyle w:val="FootnoteReference"/>
        </w:rPr>
        <w:footnoteRef/>
      </w:r>
      <w:r>
        <w:t xml:space="preserve"> The Year 2 survey-based survival impacts are measured up to December 2021. </w:t>
      </w:r>
    </w:p>
  </w:footnote>
  <w:footnote w:id="9">
    <w:p w14:paraId="79934449" w14:textId="663777A5" w:rsidR="00B474F7" w:rsidRPr="00B474F7" w:rsidRDefault="00B474F7">
      <w:pPr>
        <w:pStyle w:val="FootnoteText"/>
      </w:pPr>
      <w:r>
        <w:rPr>
          <w:rStyle w:val="FootnoteReference"/>
        </w:rPr>
        <w:footnoteRef/>
      </w:r>
      <w:r>
        <w:t xml:space="preserve"> </w:t>
      </w:r>
      <w:r w:rsidR="00427CDD">
        <w:t xml:space="preserve">A statistically significant impact on CBILS/CLBILS borrowers’ turnover was detected, but this was not robust to the inclusion of important control variables (i.e., the impact was no longer statistically significant after these control variables were included in the econometric model). </w:t>
      </w:r>
    </w:p>
  </w:footnote>
  <w:footnote w:id="10">
    <w:p w14:paraId="3E4A9185" w14:textId="593AFB94" w:rsidR="0086717A" w:rsidRPr="0086717A" w:rsidRDefault="0086717A">
      <w:pPr>
        <w:pStyle w:val="FootnoteText"/>
      </w:pPr>
      <w:r>
        <w:rPr>
          <w:rStyle w:val="FootnoteReference"/>
        </w:rPr>
        <w:footnoteRef/>
      </w:r>
      <w:r>
        <w:t xml:space="preserve"> </w:t>
      </w:r>
      <w:r w:rsidRPr="0086717A">
        <w:t>In other words, given that non-borrowers that permanently closed are mostly absent from this analysis, any difference</w:t>
      </w:r>
      <w:r w:rsidR="0006670D">
        <w:t>s</w:t>
      </w:r>
      <w:r w:rsidRPr="0086717A">
        <w:t xml:space="preserve"> </w:t>
      </w:r>
      <w:r w:rsidR="0006670D">
        <w:t xml:space="preserve">between borrowers and non-borrowers </w:t>
      </w:r>
      <w:r w:rsidRPr="0086717A">
        <w:t xml:space="preserve">due to higher survival rates among borrowers would not be detected in this analysis. Instead, business survival impacts are estimated separately, as described above. </w:t>
      </w:r>
    </w:p>
  </w:footnote>
  <w:footnote w:id="11">
    <w:p w14:paraId="742E9E6A" w14:textId="0511A733" w:rsidR="00396952" w:rsidRPr="00396952" w:rsidRDefault="00396952">
      <w:pPr>
        <w:pStyle w:val="FootnoteText"/>
      </w:pPr>
      <w:r>
        <w:rPr>
          <w:rStyle w:val="FootnoteReference"/>
        </w:rPr>
        <w:footnoteRef/>
      </w:r>
      <w:r>
        <w:t xml:space="preserve"> For more detail on the reference periods used in the </w:t>
      </w:r>
      <w:r w:rsidR="006A6A95">
        <w:t>secondary analysis</w:t>
      </w:r>
      <w:r>
        <w:t xml:space="preserve"> of the Year 1 early impact evaluation, see “</w:t>
      </w:r>
      <w:r w:rsidR="00836CE0">
        <w:t>Approach</w:t>
      </w:r>
      <w:r>
        <w:t>” at the beginning of this report.</w:t>
      </w:r>
      <w:r w:rsidR="00533CCA">
        <w:t xml:space="preserve"> </w:t>
      </w:r>
    </w:p>
  </w:footnote>
  <w:footnote w:id="12">
    <w:p w14:paraId="13C8007E" w14:textId="77777777" w:rsidR="003A522E" w:rsidRDefault="003A522E" w:rsidP="003A522E">
      <w:pPr>
        <w:pStyle w:val="FootnoteText"/>
      </w:pPr>
      <w:r>
        <w:rPr>
          <w:rStyle w:val="FootnoteReference"/>
        </w:rPr>
        <w:footnoteRef/>
      </w:r>
      <w:r>
        <w:t xml:space="preserve"> 5.7% with a 95% confidence interval of 5.0%-6.5%</w:t>
      </w:r>
    </w:p>
  </w:footnote>
  <w:footnote w:id="13">
    <w:p w14:paraId="7E3E1335" w14:textId="77777777" w:rsidR="003A522E" w:rsidRDefault="003A522E" w:rsidP="003A522E">
      <w:pPr>
        <w:pStyle w:val="FootnoteText"/>
      </w:pPr>
      <w:r>
        <w:rPr>
          <w:rStyle w:val="FootnoteReference"/>
        </w:rPr>
        <w:footnoteRef/>
      </w:r>
      <w:r>
        <w:t xml:space="preserve"> 85,262 businesses with a 95% confidence interval of 74,158-96,367</w:t>
      </w:r>
    </w:p>
  </w:footnote>
  <w:footnote w:id="14">
    <w:p w14:paraId="46F3D730" w14:textId="77777777" w:rsidR="003A522E" w:rsidRDefault="003A522E" w:rsidP="003A522E">
      <w:pPr>
        <w:pStyle w:val="FootnoteText"/>
      </w:pPr>
      <w:r>
        <w:rPr>
          <w:rStyle w:val="FootnoteReference"/>
        </w:rPr>
        <w:footnoteRef/>
      </w:r>
      <w:r>
        <w:t xml:space="preserve"> 4.4% with a 95% confidence interval of 4.0%-4.7%</w:t>
      </w:r>
    </w:p>
  </w:footnote>
  <w:footnote w:id="15">
    <w:p w14:paraId="12B0E173" w14:textId="77777777" w:rsidR="003A522E" w:rsidRDefault="003A522E" w:rsidP="003A522E">
      <w:pPr>
        <w:pStyle w:val="FootnoteText"/>
      </w:pPr>
      <w:r>
        <w:rPr>
          <w:rStyle w:val="FootnoteReference"/>
        </w:rPr>
        <w:footnoteRef/>
      </w:r>
      <w:r>
        <w:t xml:space="preserve"> 3,252 businesses with a 95% confidence interval of 2,974-3,530</w:t>
      </w:r>
    </w:p>
  </w:footnote>
  <w:footnote w:id="16">
    <w:p w14:paraId="4EC3C065" w14:textId="4A1C5F59" w:rsidR="00E861AD" w:rsidRDefault="00E861AD" w:rsidP="00E861AD">
      <w:pPr>
        <w:pStyle w:val="FootnoteText"/>
      </w:pPr>
      <w:r>
        <w:rPr>
          <w:rStyle w:val="FootnoteReference"/>
        </w:rPr>
        <w:footnoteRef/>
      </w:r>
      <w:r>
        <w:t xml:space="preserve"> The associated point estimate is 290,713 within an estimated range of 255,721-325,704. </w:t>
      </w:r>
      <w:r w:rsidR="003D3C06">
        <w:t xml:space="preserve">The range reflects the level of uncertainty around the </w:t>
      </w:r>
      <w:r>
        <w:t xml:space="preserve">schemes’ impact on business </w:t>
      </w:r>
      <w:r w:rsidR="004550ED">
        <w:t xml:space="preserve">closure </w:t>
      </w:r>
      <w:r>
        <w:t>rates</w:t>
      </w:r>
      <w:r w:rsidR="003D3C06">
        <w:t xml:space="preserve"> but is not a confidence interval due to the complexity of the estimation method. See </w:t>
      </w:r>
      <w:r w:rsidR="003D3C06">
        <w:fldChar w:fldCharType="begin"/>
      </w:r>
      <w:r w:rsidR="003D3C06">
        <w:instrText xml:space="preserve"> REF _Ref126237016 \h </w:instrText>
      </w:r>
      <w:r w:rsidR="003D3C06">
        <w:fldChar w:fldCharType="separate"/>
      </w:r>
      <w:r w:rsidR="003D3C06" w:rsidRPr="00490C53">
        <w:t xml:space="preserve">Annex </w:t>
      </w:r>
      <w:r w:rsidR="003D3C06">
        <w:t>4</w:t>
      </w:r>
      <w:r w:rsidR="003D3C06">
        <w:fldChar w:fldCharType="end"/>
      </w:r>
      <w:r w:rsidR="003D3C06">
        <w:t xml:space="preserve"> for details. </w:t>
      </w:r>
    </w:p>
  </w:footnote>
  <w:footnote w:id="17">
    <w:p w14:paraId="3344E42B" w14:textId="7179E3FD" w:rsidR="00533A25" w:rsidRPr="00BD0AAE" w:rsidRDefault="00533A25" w:rsidP="00533A25">
      <w:pPr>
        <w:pStyle w:val="FootnoteText"/>
      </w:pPr>
      <w:r>
        <w:rPr>
          <w:rStyle w:val="FootnoteReference"/>
        </w:rPr>
        <w:footnoteRef/>
      </w:r>
      <w:r>
        <w:t xml:space="preserve"> </w:t>
      </w:r>
      <w:r w:rsidRPr="00BD0AAE">
        <w:t xml:space="preserve">It should be noted that, due to the way that employment is reported in the IDBR, a business that </w:t>
      </w:r>
      <w:r w:rsidR="004550ED">
        <w:t>permanently closed</w:t>
      </w:r>
      <w:r w:rsidR="004550ED" w:rsidRPr="00BD0AAE">
        <w:t xml:space="preserve"> </w:t>
      </w:r>
      <w:r w:rsidRPr="00BD0AAE">
        <w:t xml:space="preserve">in </w:t>
      </w:r>
      <w:r w:rsidR="006D4172">
        <w:t>the first year of the pandemic</w:t>
      </w:r>
      <w:r w:rsidR="006D4172" w:rsidRPr="00BD0AAE">
        <w:t xml:space="preserve"> </w:t>
      </w:r>
      <w:r w:rsidRPr="00BD0AAE">
        <w:t xml:space="preserve">may show positive employment. Therefore, the impact of avoided business </w:t>
      </w:r>
      <w:r w:rsidR="004550ED">
        <w:t>closure</w:t>
      </w:r>
      <w:r w:rsidR="004550ED" w:rsidRPr="00BD0AAE">
        <w:t xml:space="preserve"> </w:t>
      </w:r>
      <w:r w:rsidRPr="00BD0AAE">
        <w:t xml:space="preserve">on jobs as </w:t>
      </w:r>
      <w:r>
        <w:t>estimated</w:t>
      </w:r>
      <w:r w:rsidRPr="00BD0AAE">
        <w:t xml:space="preserve"> in this econometric analysis is unlikely to be fully captured.</w:t>
      </w:r>
      <w:r>
        <w:t xml:space="preserve"> </w:t>
      </w:r>
    </w:p>
  </w:footnote>
  <w:footnote w:id="18">
    <w:p w14:paraId="3563C009" w14:textId="77777777" w:rsidR="00BA4CCE" w:rsidRPr="008B5581" w:rsidRDefault="00BA4CCE" w:rsidP="00BA4CCE">
      <w:pPr>
        <w:pStyle w:val="FootnoteText"/>
      </w:pPr>
      <w:r>
        <w:rPr>
          <w:rStyle w:val="FootnoteReference"/>
        </w:rPr>
        <w:footnoteRef/>
      </w:r>
      <w:r>
        <w:t xml:space="preserve"> Indeed, the counterfactual outcome in the absence of the covid-19 Loan Guarantee Schemes was estimated as the closure rate of a set of non-borrowers that were </w:t>
      </w:r>
      <w:proofErr w:type="gramStart"/>
      <w:r>
        <w:t>similar to</w:t>
      </w:r>
      <w:proofErr w:type="gramEnd"/>
      <w:r>
        <w:t xml:space="preserve"> borrowers based on a set of observable business characteristics. </w:t>
      </w:r>
    </w:p>
  </w:footnote>
  <w:footnote w:id="19">
    <w:p w14:paraId="74F20DED" w14:textId="77777777" w:rsidR="00533A25" w:rsidRPr="001860CC" w:rsidRDefault="00533A25" w:rsidP="00533A25">
      <w:pPr>
        <w:pStyle w:val="FootnoteText"/>
      </w:pPr>
      <w:r>
        <w:rPr>
          <w:rStyle w:val="FootnoteReference"/>
        </w:rPr>
        <w:footnoteRef/>
      </w:r>
      <w:r>
        <w:t xml:space="preserve"> Nevertheless, as the BICS analysis is purely descriptive, its results should not be interpreted as the causal impact of government-backed loans, but rather as providing additional context to results from other strands of the analysis. </w:t>
      </w:r>
    </w:p>
  </w:footnote>
  <w:footnote w:id="20">
    <w:p w14:paraId="3D9EC04B" w14:textId="77777777" w:rsidR="00162AC7" w:rsidRPr="00141DB5" w:rsidRDefault="00162AC7" w:rsidP="00162AC7">
      <w:pPr>
        <w:pStyle w:val="FootnoteText"/>
        <w:rPr>
          <w:lang w:val="en-US"/>
        </w:rPr>
      </w:pPr>
      <w:r>
        <w:rPr>
          <w:rStyle w:val="FootnoteReference"/>
        </w:rPr>
        <w:footnoteRef/>
      </w:r>
      <w:r>
        <w:t xml:space="preserve"> Collected by the Office of National Statistics (ONS) and previously known as the </w:t>
      </w:r>
      <w:r w:rsidRPr="0010793D">
        <w:t xml:space="preserve">Business Impact of </w:t>
      </w:r>
      <w:r>
        <w:t>Covid-19</w:t>
      </w:r>
      <w:r w:rsidRPr="0010793D">
        <w:t xml:space="preserve"> Survey (BICS)</w:t>
      </w:r>
      <w:r>
        <w:t>.</w:t>
      </w:r>
    </w:p>
  </w:footnote>
  <w:footnote w:id="21">
    <w:p w14:paraId="118DA549" w14:textId="493EB6C9" w:rsidR="00162AC7" w:rsidRDefault="00162AC7">
      <w:pPr>
        <w:pStyle w:val="FootnoteText"/>
      </w:pPr>
      <w:r>
        <w:rPr>
          <w:rStyle w:val="FootnoteReference"/>
        </w:rPr>
        <w:footnoteRef/>
      </w:r>
      <w:r>
        <w:t xml:space="preserve"> Pages 29-3</w:t>
      </w:r>
      <w:r w:rsidR="005C4CBE">
        <w:t>7</w:t>
      </w:r>
      <w:r>
        <w:t xml:space="preserve">. </w:t>
      </w:r>
    </w:p>
  </w:footnote>
  <w:footnote w:id="22">
    <w:p w14:paraId="265D14CB" w14:textId="61A88242" w:rsidR="00162AC7" w:rsidRDefault="00162AC7">
      <w:pPr>
        <w:pStyle w:val="FootnoteText"/>
      </w:pPr>
      <w:r>
        <w:rPr>
          <w:rStyle w:val="FootnoteReference"/>
        </w:rPr>
        <w:footnoteRef/>
      </w:r>
      <w:r>
        <w:t xml:space="preserve"> British Business Bank (2021) Bounce Back Loan Scheme (BBLS). Available at: </w:t>
      </w:r>
      <w:hyperlink r:id="rId1" w:history="1">
        <w:r w:rsidRPr="00994BE7">
          <w:rPr>
            <w:rStyle w:val="Hyperlink"/>
          </w:rPr>
          <w:t>https://www.</w:t>
        </w:r>
        <w:r w:rsidR="7756797F" w:rsidRPr="00994BE7">
          <w:rPr>
            <w:rStyle w:val="Hyperlink"/>
          </w:rPr>
          <w:t>british-business-</w:t>
        </w:r>
        <w:r w:rsidRPr="00994BE7">
          <w:rPr>
            <w:rStyle w:val="Hyperlink"/>
          </w:rPr>
          <w:t>bank.co.uk/ourpartners/coronavirus-business-interruption-loan-schemes/bounce-back-loans/</w:t>
        </w:r>
      </w:hyperlink>
      <w:r>
        <w:t xml:space="preserve">; British Business Bank (2021) Coronavirus Business Interruption Loan Schemes and Future Fund. Available at: </w:t>
      </w:r>
      <w:hyperlink r:id="rId2" w:history="1">
        <w:r w:rsidR="00994BE7" w:rsidRPr="00994BE7">
          <w:rPr>
            <w:rStyle w:val="Hyperlink"/>
          </w:rPr>
          <w:t>https://www.british-business-bank.co.uk/ourpartners/coronavirus-business-interruption-loan-scheme-cbils-2/</w:t>
        </w:r>
      </w:hyperlink>
      <w:r>
        <w:t>.</w:t>
      </w:r>
    </w:p>
  </w:footnote>
  <w:footnote w:id="23">
    <w:p w14:paraId="71FF31DE" w14:textId="77777777" w:rsidR="00455804" w:rsidRPr="00E17B16" w:rsidRDefault="00455804" w:rsidP="00455804">
      <w:pPr>
        <w:pStyle w:val="FootnoteText"/>
      </w:pPr>
      <w:r>
        <w:rPr>
          <w:rStyle w:val="FootnoteReference"/>
        </w:rPr>
        <w:footnoteRef/>
      </w:r>
      <w:r>
        <w:t xml:space="preserve"> Labour productivity, measured as turnover divided by employment, is not included as a business outcome in previous years because employment figures include furloughed staff under the G</w:t>
      </w:r>
      <w:r w:rsidRPr="001809BA">
        <w:t>overnment’s Coronavirus Job Retention Scheme (CJRS)</w:t>
      </w:r>
      <w:r>
        <w:t>. Indeed, businesses that</w:t>
      </w:r>
      <w:r w:rsidRPr="001809BA">
        <w:t xml:space="preserve"> have reduced their production and furloughed some of their employees will have experienced a reduction in turnover, but their employment may have remained constant (as furloughed workers are still employees). Hence, their labour productivity, as proxied by turnover divided by employment, may appear misleadingly low. </w:t>
      </w:r>
      <w:r>
        <w:t>T</w:t>
      </w:r>
      <w:r w:rsidRPr="001809BA">
        <w:t xml:space="preserve">he impact of the </w:t>
      </w:r>
      <w:r>
        <w:rPr>
          <w:rFonts w:cstheme="minorHAnsi"/>
          <w:szCs w:val="24"/>
        </w:rPr>
        <w:t>Covid-19</w:t>
      </w:r>
      <w:r w:rsidRPr="00FE4FBA">
        <w:rPr>
          <w:rFonts w:cstheme="minorHAnsi"/>
          <w:szCs w:val="24"/>
        </w:rPr>
        <w:t xml:space="preserve"> Loan Guarantee Schemes</w:t>
      </w:r>
      <w:r>
        <w:rPr>
          <w:rFonts w:cstheme="minorHAnsi"/>
          <w:szCs w:val="24"/>
        </w:rPr>
        <w:t xml:space="preserve"> </w:t>
      </w:r>
      <w:r w:rsidRPr="001809BA">
        <w:t xml:space="preserve">on that outcome will </w:t>
      </w:r>
      <w:r>
        <w:t xml:space="preserve">therefore </w:t>
      </w:r>
      <w:r w:rsidRPr="001809BA">
        <w:t>be estimated for reference year 2022</w:t>
      </w:r>
      <w:r>
        <w:t>/2023</w:t>
      </w:r>
      <w:r w:rsidRPr="001809BA">
        <w:t>.</w:t>
      </w:r>
    </w:p>
  </w:footnote>
  <w:footnote w:id="24">
    <w:p w14:paraId="33DF5C46" w14:textId="71B897F5" w:rsidR="00EC2542" w:rsidRDefault="00EC2542">
      <w:pPr>
        <w:pStyle w:val="FootnoteText"/>
      </w:pPr>
      <w:r>
        <w:rPr>
          <w:rStyle w:val="FootnoteReference"/>
        </w:rPr>
        <w:footnoteRef/>
      </w:r>
      <w:r>
        <w:t xml:space="preserve"> The first year process evaluation findings for the Bounce Back Loan Scheme, Coronavirus Business Interruption Loan Scheme, and Coronavirus Large Business Interruption Loan Scheme are available at: </w:t>
      </w:r>
      <w:hyperlink r:id="rId3" w:history="1">
        <w:r w:rsidRPr="0028023A">
          <w:rPr>
            <w:rStyle w:val="Hyperlink"/>
          </w:rPr>
          <w:t>https://www.british-business-bank.co.uk/wp-content/uploads/2022/06/Evaluation_of_BBLS_CBILS_and_CLBILS___Yr1_Report__accessible_.pdf</w:t>
        </w:r>
      </w:hyperlink>
      <w:r>
        <w:t>. See pages 44-92.</w:t>
      </w:r>
    </w:p>
  </w:footnote>
  <w:footnote w:id="25">
    <w:p w14:paraId="0C82E8F1" w14:textId="32CE9D26" w:rsidR="00681D82" w:rsidRDefault="00681D82" w:rsidP="00336E34">
      <w:pPr>
        <w:pStyle w:val="FootnoteText"/>
      </w:pPr>
      <w:r>
        <w:rPr>
          <w:rStyle w:val="FootnoteReference"/>
        </w:rPr>
        <w:footnoteRef/>
      </w:r>
      <w:r>
        <w:t xml:space="preserve"> The data which has been published can be seen at:</w:t>
      </w:r>
      <w:r w:rsidR="00336E34">
        <w:t xml:space="preserve"> </w:t>
      </w:r>
      <w:hyperlink r:id="rId4" w:history="1">
        <w:r w:rsidR="00336E34" w:rsidRPr="003A2D43">
          <w:rPr>
            <w:rStyle w:val="Hyperlink"/>
          </w:rPr>
          <w:t>https://www.gov.uk/government/publications/covid-19-loan-guarantee-schemes-repayment-data</w:t>
        </w:r>
      </w:hyperlink>
      <w:r w:rsidR="00336E34">
        <w:t xml:space="preserve"> </w:t>
      </w:r>
    </w:p>
  </w:footnote>
  <w:footnote w:id="26">
    <w:p w14:paraId="152F2684" w14:textId="7B1B9A40" w:rsidR="00681D82" w:rsidRDefault="00681D82" w:rsidP="00681D82">
      <w:pPr>
        <w:pStyle w:val="FootnoteText"/>
      </w:pPr>
      <w:r>
        <w:rPr>
          <w:rStyle w:val="FootnoteReference"/>
        </w:rPr>
        <w:footnoteRef/>
      </w:r>
      <w:r>
        <w:t xml:space="preserve"> It has not been possible to access data on the number of lender challenges or volume of disputes</w:t>
      </w:r>
      <w:r w:rsidR="7AC760E7">
        <w:t>.</w:t>
      </w:r>
    </w:p>
  </w:footnote>
  <w:footnote w:id="27">
    <w:p w14:paraId="17DEB8C5" w14:textId="5CE21DAC" w:rsidR="002D7A5F" w:rsidRDefault="002D7A5F">
      <w:pPr>
        <w:pStyle w:val="FootnoteText"/>
      </w:pPr>
      <w:r>
        <w:rPr>
          <w:rStyle w:val="FootnoteReference"/>
        </w:rPr>
        <w:footnoteRef/>
      </w:r>
      <w:r>
        <w:t xml:space="preserve"> Figure 5 only includes the value of fully repaid facilities and the remaining outstanding balance. It does not include the value of facilities that have been partially repaid – this data is not published. It should not be concluded that the remaining percentages for each scheme will not be repaid.</w:t>
      </w:r>
    </w:p>
  </w:footnote>
  <w:footnote w:id="28">
    <w:p w14:paraId="00DBE7CC" w14:textId="77777777" w:rsidR="00681D82" w:rsidRDefault="00681D82" w:rsidP="00681D82">
      <w:pPr>
        <w:pStyle w:val="FootnoteText"/>
      </w:pPr>
      <w:r>
        <w:rPr>
          <w:rStyle w:val="FootnoteReference"/>
        </w:rPr>
        <w:footnoteRef/>
      </w:r>
      <w:r>
        <w:t xml:space="preserve"> Experian (2023) Experian UK SME Credit Trends Index (January to March 2023)</w:t>
      </w:r>
    </w:p>
  </w:footnote>
  <w:footnote w:id="29">
    <w:p w14:paraId="0F582187" w14:textId="77777777" w:rsidR="00681D82" w:rsidRDefault="00681D82" w:rsidP="00681D82">
      <w:pPr>
        <w:pStyle w:val="FootnoteText"/>
      </w:pPr>
      <w:r>
        <w:rPr>
          <w:rStyle w:val="FootnoteReference"/>
        </w:rPr>
        <w:footnoteRef/>
      </w:r>
      <w:r>
        <w:t xml:space="preserve"> The research team have not been able to access objective data on the appropriateness of repayment processes used by lenders. These were assessed in the lender audit, but due to commercial sensitivities, the results from the lender audit were not available to the research team.</w:t>
      </w:r>
    </w:p>
  </w:footnote>
  <w:footnote w:id="30">
    <w:p w14:paraId="430AF629" w14:textId="58828347" w:rsidR="00681D82" w:rsidRDefault="00681D82" w:rsidP="00681D82">
      <w:pPr>
        <w:pStyle w:val="FootnoteText"/>
      </w:pPr>
      <w:r>
        <w:rPr>
          <w:rStyle w:val="FootnoteReference"/>
        </w:rPr>
        <w:footnoteRef/>
      </w:r>
      <w:r>
        <w:t xml:space="preserve"> It has not been possible to access objective data on the number of guarantees which have been removed or the number of guarantees which have been discussed and not removed by accredited lenders.</w:t>
      </w:r>
    </w:p>
  </w:footnote>
  <w:footnote w:id="31">
    <w:p w14:paraId="0B810500" w14:textId="4F26247C" w:rsidR="00681D82" w:rsidRDefault="00681D82" w:rsidP="00681D82">
      <w:pPr>
        <w:pStyle w:val="FootnoteText"/>
      </w:pPr>
      <w:r>
        <w:rPr>
          <w:rStyle w:val="FootnoteReference"/>
        </w:rPr>
        <w:footnoteRef/>
      </w:r>
      <w:r>
        <w:t xml:space="preserve"> The assessment of suspected cases of fraud is presented here in terms of monetary value, rather than actual cases. This is due to the research team only accessing the value of fraud for the BBLS. </w:t>
      </w:r>
    </w:p>
  </w:footnote>
  <w:footnote w:id="32">
    <w:p w14:paraId="6FA9806D" w14:textId="77777777" w:rsidR="00681D82" w:rsidRDefault="00681D82" w:rsidP="00681D82">
      <w:pPr>
        <w:pStyle w:val="FootnoteText"/>
      </w:pPr>
      <w:r>
        <w:rPr>
          <w:rStyle w:val="FootnoteReference"/>
        </w:rPr>
        <w:footnoteRef/>
      </w:r>
      <w:r>
        <w:t xml:space="preserve"> It has not been possible to objectively measure the additional impact of this exercise, as it would require a complete list of facilities suspected of fraud identified by lenders, then the complete list of facilities identified by the modelling work to compare the two lists. This centralised data does not exist.</w:t>
      </w:r>
    </w:p>
  </w:footnote>
  <w:footnote w:id="33">
    <w:p w14:paraId="54B0D4FA" w14:textId="406ED1BF" w:rsidR="00681D82" w:rsidRDefault="00681D82" w:rsidP="00681D82">
      <w:pPr>
        <w:pStyle w:val="FootnoteText"/>
      </w:pPr>
      <w:r>
        <w:rPr>
          <w:rStyle w:val="FootnoteReference"/>
        </w:rPr>
        <w:footnoteRef/>
      </w:r>
      <w:r>
        <w:t xml:space="preserve"> Information </w:t>
      </w:r>
      <w:r w:rsidR="00565003" w:rsidRPr="00692238">
        <w:t>provided</w:t>
      </w:r>
      <w:r w:rsidR="00565003">
        <w:t xml:space="preserve"> by NATIS in October 2023.</w:t>
      </w:r>
    </w:p>
  </w:footnote>
  <w:footnote w:id="34">
    <w:p w14:paraId="026F4BEC" w14:textId="77777777" w:rsidR="00681D82" w:rsidRDefault="00681D82" w:rsidP="00681D82">
      <w:pPr>
        <w:pStyle w:val="FootnoteText"/>
      </w:pPr>
      <w:r>
        <w:rPr>
          <w:rStyle w:val="FootnoteReference"/>
        </w:rPr>
        <w:footnoteRef/>
      </w:r>
      <w:r>
        <w:t xml:space="preserve"> Experian (2023) Experian UK SME Credit Trends Index (January to March 2023)</w:t>
      </w:r>
    </w:p>
  </w:footnote>
  <w:footnote w:id="35">
    <w:p w14:paraId="2934B713" w14:textId="1F3EED81" w:rsidR="009D25B6" w:rsidRPr="009D25B6" w:rsidRDefault="009D25B6">
      <w:pPr>
        <w:pStyle w:val="FootnoteText"/>
      </w:pPr>
      <w:r>
        <w:rPr>
          <w:rStyle w:val="FootnoteReference"/>
        </w:rPr>
        <w:footnoteRef/>
      </w:r>
      <w:r>
        <w:t xml:space="preserve"> There were 954 telephone responses and 7 online responses. </w:t>
      </w:r>
    </w:p>
  </w:footnote>
  <w:footnote w:id="36">
    <w:p w14:paraId="1CB25367" w14:textId="77777777" w:rsidR="00080FB6" w:rsidRPr="00B14816" w:rsidRDefault="00080FB6" w:rsidP="00080FB6">
      <w:pPr>
        <w:pStyle w:val="FootnoteText"/>
        <w:rPr>
          <w:lang w:val="en-US"/>
        </w:rPr>
      </w:pPr>
      <w:r>
        <w:rPr>
          <w:rStyle w:val="FootnoteReference"/>
        </w:rPr>
        <w:footnoteRef/>
      </w:r>
      <w:r>
        <w:t xml:space="preserve"> </w:t>
      </w:r>
      <w:r>
        <w:rPr>
          <w:lang w:val="en-US"/>
        </w:rPr>
        <w:t>This process was also followed in the Year 1 impact evaluation.</w:t>
      </w:r>
    </w:p>
  </w:footnote>
  <w:footnote w:id="37">
    <w:p w14:paraId="246810E3" w14:textId="78786721" w:rsidR="001714B3" w:rsidRPr="00054F0A" w:rsidRDefault="001714B3">
      <w:pPr>
        <w:pStyle w:val="FootnoteText"/>
      </w:pPr>
      <w:r>
        <w:rPr>
          <w:rStyle w:val="FootnoteReference"/>
        </w:rPr>
        <w:footnoteRef/>
      </w:r>
      <w:r>
        <w:t xml:space="preserve"> </w:t>
      </w:r>
      <w:r w:rsidR="00B14816">
        <w:rPr>
          <w:lang w:val="en-US"/>
        </w:rPr>
        <w:t xml:space="preserve">Technical details of the primary data collection are provided in </w:t>
      </w:r>
      <w:r w:rsidR="00B14816">
        <w:rPr>
          <w:lang w:val="en-US"/>
        </w:rPr>
        <w:fldChar w:fldCharType="begin"/>
      </w:r>
      <w:r w:rsidR="00B14816">
        <w:rPr>
          <w:lang w:val="en-US"/>
        </w:rPr>
        <w:instrText xml:space="preserve"> REF _Ref92922539 \h </w:instrText>
      </w:r>
      <w:r w:rsidR="00B14816">
        <w:rPr>
          <w:lang w:val="en-US"/>
        </w:rPr>
      </w:r>
      <w:r w:rsidR="00B14816">
        <w:rPr>
          <w:lang w:val="en-US"/>
        </w:rPr>
        <w:fldChar w:fldCharType="separate"/>
      </w:r>
      <w:r w:rsidR="00B14816">
        <w:t>Annex 2</w:t>
      </w:r>
      <w:r w:rsidR="00B14816">
        <w:rPr>
          <w:lang w:val="en-US"/>
        </w:rPr>
        <w:fldChar w:fldCharType="end"/>
      </w:r>
      <w:r w:rsidR="00B14816">
        <w:rPr>
          <w:lang w:val="en-US"/>
        </w:rPr>
        <w:t xml:space="preserve">. </w:t>
      </w:r>
    </w:p>
  </w:footnote>
  <w:footnote w:id="38">
    <w:p w14:paraId="435B166E" w14:textId="77777777" w:rsidR="00B06A11" w:rsidRDefault="00B06A11" w:rsidP="00B06A11">
      <w:pPr>
        <w:pStyle w:val="FootnoteText"/>
      </w:pPr>
      <w:r>
        <w:rPr>
          <w:rStyle w:val="FootnoteReference"/>
        </w:rPr>
        <w:footnoteRef/>
      </w:r>
      <w:r>
        <w:t xml:space="preserve"> Businesses that did not know if they experienced challenges or opportunities arising from the pandemic were also screened out. </w:t>
      </w:r>
    </w:p>
  </w:footnote>
  <w:footnote w:id="39">
    <w:p w14:paraId="7E15A6FB" w14:textId="77777777" w:rsidR="00F40D90" w:rsidRDefault="00F40D90" w:rsidP="00F40D90">
      <w:pPr>
        <w:pStyle w:val="FootnoteText"/>
      </w:pPr>
      <w:r>
        <w:rPr>
          <w:rStyle w:val="FootnoteReference"/>
        </w:rPr>
        <w:footnoteRef/>
      </w:r>
      <w:r>
        <w:t xml:space="preserve"> Being affected by the Covid-19 pandemic was one of the eligibility criteria of the Covid-19 Loan Guarantee Schemes. </w:t>
      </w:r>
    </w:p>
  </w:footnote>
  <w:footnote w:id="40">
    <w:p w14:paraId="79A41AAF" w14:textId="024F682D" w:rsidR="00F40D90" w:rsidRDefault="00F40D90">
      <w:pPr>
        <w:pStyle w:val="FootnoteText"/>
      </w:pPr>
      <w:r>
        <w:rPr>
          <w:rStyle w:val="FootnoteReference"/>
        </w:rPr>
        <w:footnoteRef/>
      </w:r>
      <w:r>
        <w:t xml:space="preserve"> See </w:t>
      </w:r>
      <w:r>
        <w:fldChar w:fldCharType="begin"/>
      </w:r>
      <w:r>
        <w:instrText xml:space="preserve"> REF _Ref121909617 \h </w:instrText>
      </w:r>
      <w:r>
        <w:fldChar w:fldCharType="separate"/>
      </w:r>
      <w:r w:rsidRPr="00490C53">
        <w:t>Annex 3</w:t>
      </w:r>
      <w:r>
        <w:fldChar w:fldCharType="end"/>
      </w:r>
      <w:r>
        <w:t xml:space="preserve"> for details. </w:t>
      </w:r>
    </w:p>
  </w:footnote>
  <w:footnote w:id="41">
    <w:p w14:paraId="79C658E2" w14:textId="75068A2F" w:rsidR="00231D06" w:rsidRDefault="00231D06" w:rsidP="00231D06">
      <w:pPr>
        <w:pStyle w:val="FootnoteText"/>
      </w:pPr>
      <w:r>
        <w:rPr>
          <w:rStyle w:val="FootnoteReference"/>
        </w:rPr>
        <w:footnoteRef/>
      </w:r>
      <w:r>
        <w:t xml:space="preserve"> </w:t>
      </w:r>
      <w:r w:rsidRPr="008C6513">
        <w:t xml:space="preserve">The use of self-reported data carries limitations – for instance, businesses may not recall precisely their financial situation during the reference </w:t>
      </w:r>
      <w:proofErr w:type="gramStart"/>
      <w:r w:rsidRPr="008C6513">
        <w:t>period, and</w:t>
      </w:r>
      <w:proofErr w:type="gramEnd"/>
      <w:r w:rsidRPr="008C6513">
        <w:t xml:space="preserve"> may remember it as having been worse or better than it was in practice.</w:t>
      </w:r>
    </w:p>
  </w:footnote>
  <w:footnote w:id="42">
    <w:p w14:paraId="24583B5E" w14:textId="43FEDA8A" w:rsidR="00C6208D" w:rsidRPr="002D323B" w:rsidRDefault="00C6208D">
      <w:pPr>
        <w:pStyle w:val="FootnoteText"/>
        <w:rPr>
          <w:lang w:val="en-US"/>
        </w:rPr>
      </w:pPr>
      <w:r>
        <w:rPr>
          <w:rStyle w:val="FootnoteReference"/>
        </w:rPr>
        <w:footnoteRef/>
      </w:r>
      <w:r>
        <w:t xml:space="preserve"> </w:t>
      </w:r>
      <w:r>
        <w:rPr>
          <w:lang w:val="en-US"/>
        </w:rPr>
        <w:t xml:space="preserve">The </w:t>
      </w:r>
      <w:r w:rsidR="002B0547">
        <w:rPr>
          <w:lang w:val="en-US"/>
        </w:rPr>
        <w:t xml:space="preserve">95% </w:t>
      </w:r>
      <w:r>
        <w:rPr>
          <w:lang w:val="en-US"/>
        </w:rPr>
        <w:t xml:space="preserve">confidence interval for the lower bound is </w:t>
      </w:r>
      <w:r w:rsidR="00B2046B">
        <w:rPr>
          <w:lang w:val="en-US"/>
        </w:rPr>
        <w:t>8</w:t>
      </w:r>
      <w:r w:rsidR="002B0547">
        <w:rPr>
          <w:lang w:val="en-US"/>
        </w:rPr>
        <w:t>% to 18% and for the upper bound is 3</w:t>
      </w:r>
      <w:r w:rsidR="00B2046B">
        <w:rPr>
          <w:lang w:val="en-US"/>
        </w:rPr>
        <w:t>6</w:t>
      </w:r>
      <w:r w:rsidR="002B0547">
        <w:rPr>
          <w:lang w:val="en-US"/>
        </w:rPr>
        <w:t xml:space="preserve">% to 51%. </w:t>
      </w:r>
    </w:p>
  </w:footnote>
  <w:footnote w:id="43">
    <w:p w14:paraId="338956F1" w14:textId="71B20521" w:rsidR="002B0547" w:rsidRPr="002D323B" w:rsidRDefault="002B0547">
      <w:pPr>
        <w:pStyle w:val="FootnoteText"/>
        <w:rPr>
          <w:lang w:val="en-US"/>
        </w:rPr>
      </w:pPr>
      <w:r>
        <w:rPr>
          <w:rStyle w:val="FootnoteReference"/>
        </w:rPr>
        <w:footnoteRef/>
      </w:r>
      <w:r>
        <w:t xml:space="preserve"> </w:t>
      </w:r>
      <w:r>
        <w:rPr>
          <w:lang w:val="en-US"/>
        </w:rPr>
        <w:t xml:space="preserve">The 95% confidence interval for the lower bound is </w:t>
      </w:r>
      <w:r w:rsidR="00B2046B">
        <w:rPr>
          <w:lang w:val="en-US"/>
        </w:rPr>
        <w:t>3</w:t>
      </w:r>
      <w:r w:rsidR="00866395">
        <w:rPr>
          <w:lang w:val="en-US"/>
        </w:rPr>
        <w:t xml:space="preserve"> </w:t>
      </w:r>
      <w:r>
        <w:rPr>
          <w:lang w:val="en-US"/>
        </w:rPr>
        <w:t>% to 1</w:t>
      </w:r>
      <w:r w:rsidR="00B2046B">
        <w:rPr>
          <w:lang w:val="en-US"/>
        </w:rPr>
        <w:t>3</w:t>
      </w:r>
      <w:r>
        <w:rPr>
          <w:lang w:val="en-US"/>
        </w:rPr>
        <w:t>% and for the upper bound is 2</w:t>
      </w:r>
      <w:r w:rsidR="00B2046B">
        <w:rPr>
          <w:lang w:val="en-US"/>
        </w:rPr>
        <w:t>6</w:t>
      </w:r>
      <w:r>
        <w:rPr>
          <w:lang w:val="en-US"/>
        </w:rPr>
        <w:t>% to 45%.</w:t>
      </w:r>
    </w:p>
  </w:footnote>
  <w:footnote w:id="44">
    <w:p w14:paraId="07A10CD2" w14:textId="3A8BD5D9" w:rsidR="00994BE7" w:rsidRPr="00994BE7" w:rsidRDefault="00994BE7">
      <w:pPr>
        <w:pStyle w:val="FootnoteText"/>
      </w:pPr>
      <w:r>
        <w:rPr>
          <w:rStyle w:val="FootnoteReference"/>
        </w:rPr>
        <w:footnoteRef/>
      </w:r>
      <w:r>
        <w:t xml:space="preserve"> </w:t>
      </w:r>
      <w:r w:rsidRPr="0092386E">
        <w:t>The share of respondents expecting that they would have permanently closed in the absence of funding from BBLS is 29</w:t>
      </w:r>
      <w:r>
        <w:t>%</w:t>
      </w:r>
      <w:r w:rsidRPr="0092386E">
        <w:t>-88% for businesses with turnover under £50,000, 10</w:t>
      </w:r>
      <w:r>
        <w:t>%</w:t>
      </w:r>
      <w:r w:rsidRPr="0092386E">
        <w:t>-46% for businesses with turnover between £50,000 and £250,000, 11</w:t>
      </w:r>
      <w:r>
        <w:t>%</w:t>
      </w:r>
      <w:r w:rsidRPr="0092386E">
        <w:t>-37% for businesses with turnover between £250,000 and £1m, and 0</w:t>
      </w:r>
      <w:r>
        <w:t>%</w:t>
      </w:r>
      <w:r w:rsidRPr="0092386E">
        <w:t>-14% for businesses with turnover over £1m. The share of respondents expecting that they would have permanently closed in the absence of funding from CBILS/CLBILS is 14</w:t>
      </w:r>
      <w:r>
        <w:t>%</w:t>
      </w:r>
      <w:r w:rsidRPr="0092386E">
        <w:t>-31% for businesses with turnover under £500,000, 3</w:t>
      </w:r>
      <w:r>
        <w:t>%</w:t>
      </w:r>
      <w:r w:rsidRPr="0092386E">
        <w:t>-40% for businesses with turnover between £500,000 and £5m, 7</w:t>
      </w:r>
      <w:r>
        <w:t>%</w:t>
      </w:r>
      <w:r w:rsidRPr="0092386E">
        <w:t>-24% for businesses with turnover between £5m and £25m, and 0</w:t>
      </w:r>
      <w:r>
        <w:t>%</w:t>
      </w:r>
      <w:r w:rsidRPr="0092386E">
        <w:t>-11% for businesses with turnover over £25m</w:t>
      </w:r>
      <w:r>
        <w:t>.</w:t>
      </w:r>
    </w:p>
  </w:footnote>
  <w:footnote w:id="45">
    <w:p w14:paraId="68ECA53F" w14:textId="343DFAAA" w:rsidR="00994BE7" w:rsidRPr="00236B73" w:rsidRDefault="00994BE7">
      <w:pPr>
        <w:pStyle w:val="FootnoteText"/>
        <w:rPr>
          <w:lang w:val="en-US"/>
        </w:rPr>
      </w:pPr>
      <w:r>
        <w:rPr>
          <w:rStyle w:val="FootnoteReference"/>
        </w:rPr>
        <w:footnoteRef/>
      </w:r>
      <w:r>
        <w:t xml:space="preserve"> </w:t>
      </w:r>
      <w:r w:rsidRPr="00DF382F">
        <w:t xml:space="preserve">The share of respondents expecting they would have permanently closed in the absence of funding from BBLS is </w:t>
      </w:r>
      <w:r>
        <w:t>13%</w:t>
      </w:r>
      <w:r w:rsidRPr="00DF382F">
        <w:t>-</w:t>
      </w:r>
      <w:r>
        <w:t>43</w:t>
      </w:r>
      <w:r w:rsidRPr="00DF382F">
        <w:t>% for businesses majority owned by females and 1</w:t>
      </w:r>
      <w:r>
        <w:t>3%</w:t>
      </w:r>
      <w:r w:rsidRPr="00DF382F">
        <w:t>-</w:t>
      </w:r>
      <w:r>
        <w:t>46</w:t>
      </w:r>
      <w:r w:rsidRPr="00DF382F">
        <w:t xml:space="preserve">% for other businesses. </w:t>
      </w:r>
    </w:p>
  </w:footnote>
  <w:footnote w:id="46">
    <w:p w14:paraId="304AF626" w14:textId="7BBFB3AC" w:rsidR="00994BE7" w:rsidRPr="00236B73" w:rsidRDefault="00994BE7">
      <w:pPr>
        <w:pStyle w:val="FootnoteText"/>
        <w:rPr>
          <w:lang w:val="en-US"/>
        </w:rPr>
      </w:pPr>
      <w:r>
        <w:rPr>
          <w:rStyle w:val="FootnoteReference"/>
        </w:rPr>
        <w:footnoteRef/>
      </w:r>
      <w:r>
        <w:t xml:space="preserve"> </w:t>
      </w:r>
      <w:r w:rsidRPr="00F138B2">
        <w:t>The share of respondents expecting they would have permanently closed in the absence of funding from CBILS/CLBILS is 4</w:t>
      </w:r>
      <w:r>
        <w:t>%</w:t>
      </w:r>
      <w:r w:rsidRPr="00F138B2">
        <w:t>-26% for businesses majority owned by females and 6</w:t>
      </w:r>
      <w:r>
        <w:t>%</w:t>
      </w:r>
      <w:r w:rsidRPr="00F138B2">
        <w:t>-38% for other businesses.</w:t>
      </w:r>
    </w:p>
  </w:footnote>
  <w:footnote w:id="47">
    <w:p w14:paraId="779A0664" w14:textId="3894BFEB" w:rsidR="00994BE7" w:rsidRPr="00994BE7" w:rsidRDefault="00994BE7">
      <w:pPr>
        <w:pStyle w:val="FootnoteText"/>
      </w:pPr>
      <w:r>
        <w:rPr>
          <w:rStyle w:val="FootnoteReference"/>
        </w:rPr>
        <w:footnoteRef/>
      </w:r>
      <w:r>
        <w:t xml:space="preserve"> </w:t>
      </w:r>
      <w:r w:rsidRPr="00500938">
        <w:t xml:space="preserve">The share of respondents expecting they would have permanently closed in the absence of funding from BBLS is </w:t>
      </w:r>
      <w:r>
        <w:t>2</w:t>
      </w:r>
      <w:r w:rsidRPr="00500938">
        <w:t>8</w:t>
      </w:r>
      <w:r>
        <w:t>%</w:t>
      </w:r>
      <w:r w:rsidRPr="00500938">
        <w:t>-5</w:t>
      </w:r>
      <w:r>
        <w:t>0</w:t>
      </w:r>
      <w:r w:rsidRPr="00500938">
        <w:t xml:space="preserve">% for businesses majority owned by ethnic minority individuals and </w:t>
      </w:r>
      <w:r>
        <w:t>11%</w:t>
      </w:r>
      <w:r w:rsidRPr="00500938">
        <w:t>-</w:t>
      </w:r>
      <w:r>
        <w:t>44</w:t>
      </w:r>
      <w:r w:rsidRPr="00500938">
        <w:t xml:space="preserve">% for other businesses. The share of respondents expecting they would have permanently closed in the absence of funding from CBILS/CLBILS is </w:t>
      </w:r>
      <w:r>
        <w:t>41%</w:t>
      </w:r>
      <w:r w:rsidRPr="00500938">
        <w:t>-</w:t>
      </w:r>
      <w:r>
        <w:t>86</w:t>
      </w:r>
      <w:r w:rsidRPr="00500938">
        <w:t xml:space="preserve">% for businesses majority owned by ethnic minority individuals and </w:t>
      </w:r>
      <w:r>
        <w:t>4%</w:t>
      </w:r>
      <w:r w:rsidRPr="00500938">
        <w:t>-</w:t>
      </w:r>
      <w:r>
        <w:t>31</w:t>
      </w:r>
      <w:r w:rsidRPr="00500938">
        <w:t>% for other businesses.</w:t>
      </w:r>
    </w:p>
  </w:footnote>
  <w:footnote w:id="48">
    <w:p w14:paraId="06318A6E" w14:textId="57395089" w:rsidR="00794069" w:rsidRPr="00794069" w:rsidRDefault="00794069">
      <w:pPr>
        <w:pStyle w:val="FootnoteText"/>
      </w:pPr>
      <w:r>
        <w:rPr>
          <w:rStyle w:val="FootnoteReference"/>
        </w:rPr>
        <w:footnoteRef/>
      </w:r>
      <w:r>
        <w:t xml:space="preserve"> </w:t>
      </w:r>
      <w:r w:rsidRPr="005229A4">
        <w:t xml:space="preserve">Northern Irish businesses borrowing from BBLS had the lowest counterfactual </w:t>
      </w:r>
      <w:r>
        <w:t>closure</w:t>
      </w:r>
      <w:r w:rsidRPr="005229A4">
        <w:t xml:space="preserve"> rate (in terms of lower bound) with an estimated counterfactual </w:t>
      </w:r>
      <w:r>
        <w:t>closure</w:t>
      </w:r>
      <w:r w:rsidRPr="005229A4">
        <w:t xml:space="preserve"> rate of 0%</w:t>
      </w:r>
      <w:r>
        <w:t xml:space="preserve">. With regards to CBILS/CLBILS, both Northern Irish and Welsh businesses had the lowest counterfactual closure rate (in terms of lower bound) of 0%. Scottish </w:t>
      </w:r>
      <w:r w:rsidRPr="004B75AD">
        <w:t>businesses borrowing from BBLS (2</w:t>
      </w:r>
      <w:r>
        <w:t>0</w:t>
      </w:r>
      <w:r w:rsidRPr="004B75AD">
        <w:t>%), and London based businesses borrowing from CBILS/CLBILS (1</w:t>
      </w:r>
      <w:r>
        <w:t>4</w:t>
      </w:r>
      <w:r w:rsidRPr="004B75AD">
        <w:t xml:space="preserve">%) had the highest counterfactual </w:t>
      </w:r>
      <w:r>
        <w:t>closure</w:t>
      </w:r>
      <w:r w:rsidRPr="004B75AD">
        <w:t xml:space="preserve"> rate (in terms of lower bound).</w:t>
      </w:r>
      <w:r>
        <w:t xml:space="preserve"> </w:t>
      </w:r>
      <w:r w:rsidRPr="00E76E28">
        <w:t xml:space="preserve">In terms of the lower bound, BBLS businesses in the </w:t>
      </w:r>
      <w:r>
        <w:t>Construction</w:t>
      </w:r>
      <w:r w:rsidRPr="00E76E28">
        <w:t xml:space="preserve"> sector had the lowest counterfactual </w:t>
      </w:r>
      <w:r>
        <w:t>closure</w:t>
      </w:r>
      <w:r w:rsidRPr="00E76E28">
        <w:t xml:space="preserve"> rate (</w:t>
      </w:r>
      <w:r>
        <w:t>8</w:t>
      </w:r>
      <w:r w:rsidRPr="00E76E28">
        <w:t xml:space="preserve">%) and BBLS businesses in the </w:t>
      </w:r>
      <w:r>
        <w:t>Production</w:t>
      </w:r>
      <w:r w:rsidRPr="00E76E28">
        <w:t xml:space="preserve"> sector had the highest counterfactual </w:t>
      </w:r>
      <w:r>
        <w:t>closure</w:t>
      </w:r>
      <w:r w:rsidRPr="00E76E28">
        <w:t xml:space="preserve"> rate (1</w:t>
      </w:r>
      <w:r>
        <w:t>9</w:t>
      </w:r>
      <w:r w:rsidRPr="00E76E28">
        <w:t xml:space="preserve">%). In terms of the lower bound, CBILS/CLBILS businesses in the </w:t>
      </w:r>
      <w:r>
        <w:t>Business</w:t>
      </w:r>
      <w:r w:rsidRPr="00E76E28">
        <w:t xml:space="preserve"> Services sector had the lowest counterfactual </w:t>
      </w:r>
      <w:r>
        <w:t>closure</w:t>
      </w:r>
      <w:r w:rsidRPr="00E76E28">
        <w:t xml:space="preserve"> rate (</w:t>
      </w:r>
      <w:r>
        <w:t>0</w:t>
      </w:r>
      <w:r w:rsidRPr="00E76E28">
        <w:t xml:space="preserve">%) and CBILS/CLBILS businesses in the </w:t>
      </w:r>
      <w:r>
        <w:t>Distribution</w:t>
      </w:r>
      <w:r w:rsidRPr="00E76E28">
        <w:t xml:space="preserve"> sector had the highest counterfactual </w:t>
      </w:r>
      <w:r>
        <w:t>closure</w:t>
      </w:r>
      <w:r w:rsidRPr="00E76E28">
        <w:t xml:space="preserve"> rate (</w:t>
      </w:r>
      <w:r>
        <w:t>12</w:t>
      </w:r>
      <w:r w:rsidRPr="00E76E28">
        <w:t>%).</w:t>
      </w:r>
    </w:p>
  </w:footnote>
  <w:footnote w:id="49">
    <w:p w14:paraId="040A113B" w14:textId="1D14A660" w:rsidR="00961BAB" w:rsidRDefault="00961BAB">
      <w:pPr>
        <w:pStyle w:val="FootnoteText"/>
      </w:pPr>
      <w:r>
        <w:rPr>
          <w:rStyle w:val="FootnoteReference"/>
        </w:rPr>
        <w:footnoteRef/>
      </w:r>
      <w:r>
        <w:t xml:space="preserve"> </w:t>
      </w:r>
      <w:r w:rsidR="005D6D07" w:rsidRPr="005D6D07">
        <w:t>This is based on a total BBLS borrower population of 1,479,</w:t>
      </w:r>
      <w:r w:rsidR="00AB1B6F">
        <w:t>362</w:t>
      </w:r>
      <w:r w:rsidR="005D6D07" w:rsidRPr="005D6D07">
        <w:t xml:space="preserve"> businesses.</w:t>
      </w:r>
    </w:p>
  </w:footnote>
  <w:footnote w:id="50">
    <w:p w14:paraId="66C0902D" w14:textId="7ACA67AC" w:rsidR="005D6D07" w:rsidRDefault="005D6D07">
      <w:pPr>
        <w:pStyle w:val="FootnoteText"/>
      </w:pPr>
      <w:r>
        <w:rPr>
          <w:rStyle w:val="FootnoteReference"/>
        </w:rPr>
        <w:footnoteRef/>
      </w:r>
      <w:r>
        <w:t xml:space="preserve"> </w:t>
      </w:r>
      <w:r w:rsidR="008937EA" w:rsidRPr="008937EA">
        <w:t>This is based on a total CBILS/CLBILS borrower population of 7</w:t>
      </w:r>
      <w:r w:rsidR="00AB1B6F">
        <w:t>3,572</w:t>
      </w:r>
      <w:r w:rsidR="008937EA" w:rsidRPr="008937EA">
        <w:t xml:space="preserve"> businesses.</w:t>
      </w:r>
    </w:p>
  </w:footnote>
  <w:footnote w:id="51">
    <w:p w14:paraId="0AED7C8C" w14:textId="7897F9B1" w:rsidR="003E36B9" w:rsidRDefault="003E36B9">
      <w:pPr>
        <w:pStyle w:val="FootnoteText"/>
      </w:pPr>
      <w:r>
        <w:rPr>
          <w:rStyle w:val="FootnoteReference"/>
        </w:rPr>
        <w:footnoteRef/>
      </w:r>
      <w:r>
        <w:t xml:space="preserve"> </w:t>
      </w:r>
      <w:r w:rsidR="00A9742A" w:rsidRPr="00A9742A">
        <w:t xml:space="preserve">The calculation is explained in more detail in </w:t>
      </w:r>
      <w:r w:rsidR="00FB73A6">
        <w:fldChar w:fldCharType="begin"/>
      </w:r>
      <w:r w:rsidR="00FB73A6">
        <w:instrText xml:space="preserve"> REF _Ref121909655 \h </w:instrText>
      </w:r>
      <w:r w:rsidR="00FB73A6">
        <w:fldChar w:fldCharType="separate"/>
      </w:r>
      <w:r w:rsidR="00FB73A6">
        <w:t>Annex 3</w:t>
      </w:r>
      <w:r w:rsidR="00FB73A6">
        <w:fldChar w:fldCharType="end"/>
      </w:r>
      <w:r w:rsidR="00A9742A" w:rsidRPr="00A9742A">
        <w:t>.</w:t>
      </w:r>
    </w:p>
  </w:footnote>
  <w:footnote w:id="52">
    <w:p w14:paraId="07500F95" w14:textId="77777777" w:rsidR="00BF74C8" w:rsidRDefault="00BF74C8" w:rsidP="00BF74C8">
      <w:pPr>
        <w:pStyle w:val="FootnoteText"/>
      </w:pPr>
      <w:r>
        <w:rPr>
          <w:rStyle w:val="FootnoteReference"/>
        </w:rPr>
        <w:footnoteRef/>
      </w:r>
      <w:r>
        <w:t xml:space="preserve"> </w:t>
      </w:r>
      <w:r w:rsidRPr="005704BE">
        <w:t xml:space="preserve">Brown, R., and Cowling, M. (2020). </w:t>
      </w:r>
      <w:r w:rsidRPr="00846F78">
        <w:rPr>
          <w:i/>
          <w:iCs/>
        </w:rPr>
        <w:t>Did you save some cash for a rainy Covid-19 day? The crisis and SMEs.</w:t>
      </w:r>
    </w:p>
  </w:footnote>
  <w:footnote w:id="53">
    <w:p w14:paraId="25726DA5" w14:textId="77777777" w:rsidR="00BF74C8" w:rsidRPr="00846F78" w:rsidRDefault="00BF74C8" w:rsidP="00BF74C8">
      <w:pPr>
        <w:pStyle w:val="FootnoteText"/>
        <w:rPr>
          <w:i/>
          <w:iCs/>
        </w:rPr>
      </w:pPr>
      <w:r>
        <w:rPr>
          <w:rStyle w:val="FootnoteReference"/>
        </w:rPr>
        <w:footnoteRef/>
      </w:r>
      <w:r>
        <w:t xml:space="preserve"> Calabrese, R., Cowling, M., and Liu, W. (2022). </w:t>
      </w:r>
      <w:r w:rsidRPr="00846F78">
        <w:rPr>
          <w:i/>
          <w:iCs/>
        </w:rPr>
        <w:t>Understand the Dynamics of UK Covid-19 SME Financing</w:t>
      </w:r>
      <w:r>
        <w:rPr>
          <w:i/>
          <w:iCs/>
        </w:rPr>
        <w:t>.</w:t>
      </w:r>
    </w:p>
  </w:footnote>
  <w:footnote w:id="54">
    <w:p w14:paraId="3C4AB07D" w14:textId="495A314D" w:rsidR="00BF74C8" w:rsidRDefault="00BF74C8" w:rsidP="00BF74C8">
      <w:pPr>
        <w:pStyle w:val="FootnoteText"/>
      </w:pPr>
      <w:r>
        <w:rPr>
          <w:rStyle w:val="FootnoteReference"/>
        </w:rPr>
        <w:footnoteRef/>
      </w:r>
      <w:r>
        <w:t xml:space="preserve"> BEIS. (202</w:t>
      </w:r>
      <w:r w:rsidR="00CB24DA">
        <w:t>3</w:t>
      </w:r>
      <w:r>
        <w:t xml:space="preserve">). </w:t>
      </w:r>
      <w:r w:rsidRPr="00845DEA">
        <w:rPr>
          <w:i/>
          <w:iCs/>
        </w:rPr>
        <w:t>Business population estimates 202</w:t>
      </w:r>
      <w:r w:rsidR="00CB24DA">
        <w:rPr>
          <w:i/>
          <w:iCs/>
        </w:rPr>
        <w:t>3</w:t>
      </w:r>
      <w:r>
        <w:t xml:space="preserve">. Available at: </w:t>
      </w:r>
      <w:hyperlink r:id="rId5" w:history="1">
        <w:r w:rsidRPr="00F61C22">
          <w:rPr>
            <w:rStyle w:val="Hyperlink"/>
          </w:rPr>
          <w:t>https://www.gov.uk/government/collections/business-population-estimates</w:t>
        </w:r>
      </w:hyperlink>
      <w:r>
        <w:t xml:space="preserve"> </w:t>
      </w:r>
    </w:p>
  </w:footnote>
  <w:footnote w:id="55">
    <w:p w14:paraId="05D80C84" w14:textId="708F7AFF" w:rsidR="00D26547" w:rsidRPr="00D26547" w:rsidRDefault="00D26547">
      <w:pPr>
        <w:pStyle w:val="FootnoteText"/>
      </w:pPr>
      <w:r>
        <w:rPr>
          <w:rStyle w:val="FootnoteReference"/>
        </w:rPr>
        <w:footnoteRef/>
      </w:r>
      <w:r>
        <w:t xml:space="preserve"> BEIS. (202</w:t>
      </w:r>
      <w:r w:rsidR="00CB24DA">
        <w:t>3</w:t>
      </w:r>
      <w:r>
        <w:t xml:space="preserve">). </w:t>
      </w:r>
      <w:r w:rsidRPr="00D26547">
        <w:rPr>
          <w:i/>
          <w:iCs/>
        </w:rPr>
        <w:t>Business population estimates for the UK and regions 202</w:t>
      </w:r>
      <w:r w:rsidR="00CB24DA">
        <w:rPr>
          <w:i/>
          <w:iCs/>
        </w:rPr>
        <w:t>3</w:t>
      </w:r>
      <w:r w:rsidRPr="00D26547">
        <w:rPr>
          <w:i/>
          <w:iCs/>
        </w:rPr>
        <w:t>: methodology note</w:t>
      </w:r>
      <w:r>
        <w:rPr>
          <w:i/>
          <w:iCs/>
        </w:rPr>
        <w:t>.</w:t>
      </w:r>
      <w:r>
        <w:t xml:space="preserve"> Available at: </w:t>
      </w:r>
      <w:hyperlink r:id="rId6" w:history="1">
        <w:r w:rsidR="00CB24DA">
          <w:rPr>
            <w:rStyle w:val="Hyperlink"/>
          </w:rPr>
          <w:t>https://www.gov.uk/government/statistics/business-population-estimates-2023</w:t>
        </w:r>
      </w:hyperlink>
    </w:p>
  </w:footnote>
  <w:footnote w:id="56">
    <w:p w14:paraId="1861858D" w14:textId="2FC32390" w:rsidR="00BF74C8" w:rsidRDefault="00BF74C8" w:rsidP="00BF74C8">
      <w:pPr>
        <w:pStyle w:val="FootnoteText"/>
      </w:pPr>
      <w:r>
        <w:rPr>
          <w:rStyle w:val="FootnoteReference"/>
        </w:rPr>
        <w:footnoteRef/>
      </w:r>
      <w:r>
        <w:t xml:space="preserve"> Office for National Statistics. (2022). </w:t>
      </w:r>
      <w:r w:rsidRPr="00845DEA">
        <w:rPr>
          <w:i/>
          <w:iCs/>
        </w:rPr>
        <w:t>Business</w:t>
      </w:r>
      <w:r>
        <w:t xml:space="preserve"> </w:t>
      </w:r>
      <w:r>
        <w:rPr>
          <w:i/>
          <w:iCs/>
        </w:rPr>
        <w:t>demography, UK: 2021</w:t>
      </w:r>
      <w:r>
        <w:t xml:space="preserve">. Available at: </w:t>
      </w:r>
      <w:hyperlink r:id="rId7" w:history="1">
        <w:r w:rsidRPr="00A16C1A">
          <w:rPr>
            <w:rStyle w:val="Hyperlink"/>
          </w:rPr>
          <w:t>https://www.ons.gov.uk/businessindustryandtrade/business/activitysizeandlocation/bulletins/businessdemography/2021</w:t>
        </w:r>
      </w:hyperlink>
      <w:r>
        <w:t xml:space="preserve"> </w:t>
      </w:r>
    </w:p>
  </w:footnote>
  <w:footnote w:id="57">
    <w:p w14:paraId="704D3967" w14:textId="4B6E7F06" w:rsidR="00BF74C8" w:rsidRPr="002C044F" w:rsidRDefault="00BF74C8" w:rsidP="00BF74C8">
      <w:pPr>
        <w:pStyle w:val="FootnoteText"/>
      </w:pPr>
      <w:r>
        <w:rPr>
          <w:rStyle w:val="FootnoteReference"/>
        </w:rPr>
        <w:footnoteRef/>
      </w:r>
      <w:r>
        <w:t xml:space="preserve"> Office for National Statistics. (202</w:t>
      </w:r>
      <w:r w:rsidR="00CB24DA">
        <w:t>3</w:t>
      </w:r>
      <w:r>
        <w:t xml:space="preserve">). </w:t>
      </w:r>
      <w:r w:rsidRPr="00845DEA">
        <w:rPr>
          <w:i/>
          <w:iCs/>
        </w:rPr>
        <w:t>Business demography, quarterly experimental statistics, UK.</w:t>
      </w:r>
      <w:r>
        <w:rPr>
          <w:i/>
          <w:iCs/>
        </w:rPr>
        <w:t xml:space="preserve"> </w:t>
      </w:r>
      <w:r>
        <w:t xml:space="preserve">Available at: </w:t>
      </w:r>
      <w:hyperlink r:id="rId8" w:history="1">
        <w:r w:rsidRPr="00F61C22">
          <w:rPr>
            <w:rStyle w:val="Hyperlink"/>
          </w:rPr>
          <w:t>https://www.ons.gov.uk/businessindustryandtrade/business/activitysizeandlocation/datasets/businessdemographyquarterlyexperimentalstatisticsuk</w:t>
        </w:r>
      </w:hyperlink>
      <w:r>
        <w:t xml:space="preserve"> </w:t>
      </w:r>
    </w:p>
  </w:footnote>
  <w:footnote w:id="58">
    <w:p w14:paraId="511F238E" w14:textId="77777777" w:rsidR="009A445F" w:rsidRPr="00373904" w:rsidRDefault="009A445F" w:rsidP="009A445F">
      <w:pPr>
        <w:pStyle w:val="FootnoteText"/>
        <w:rPr>
          <w:lang w:val="en-US"/>
        </w:rPr>
      </w:pPr>
      <w:r>
        <w:rPr>
          <w:rStyle w:val="FootnoteReference"/>
        </w:rPr>
        <w:footnoteRef/>
      </w:r>
      <w:r>
        <w:t xml:space="preserve"> </w:t>
      </w:r>
      <w:r>
        <w:rPr>
          <w:lang w:val="en-US"/>
        </w:rPr>
        <w:t xml:space="preserve">Indeed, being affected by the Covid-19 pandemic was one of the eligibility criteria of the </w:t>
      </w:r>
      <w:r>
        <w:rPr>
          <w:rFonts w:cstheme="minorHAnsi"/>
          <w:szCs w:val="24"/>
        </w:rPr>
        <w:t>Covid-19</w:t>
      </w:r>
      <w:r w:rsidRPr="00FE4FBA">
        <w:rPr>
          <w:rFonts w:cstheme="minorHAnsi"/>
          <w:szCs w:val="24"/>
        </w:rPr>
        <w:t xml:space="preserve"> Loan Guarantee Schemes</w:t>
      </w:r>
      <w:r>
        <w:rPr>
          <w:lang w:val="en-US"/>
        </w:rPr>
        <w:t xml:space="preserve">. </w:t>
      </w:r>
    </w:p>
  </w:footnote>
  <w:footnote w:id="59">
    <w:p w14:paraId="32A3DDBF" w14:textId="3CF941C0" w:rsidR="009A445F" w:rsidRPr="00630B6C" w:rsidRDefault="009A445F" w:rsidP="009A445F">
      <w:pPr>
        <w:pStyle w:val="FootnoteText"/>
        <w:rPr>
          <w:lang w:val="en-US"/>
        </w:rPr>
      </w:pPr>
      <w:r>
        <w:rPr>
          <w:rStyle w:val="FootnoteReference"/>
        </w:rPr>
        <w:footnoteRef/>
      </w:r>
      <w:r>
        <w:t xml:space="preserve"> </w:t>
      </w:r>
      <w:r w:rsidR="000548A5">
        <w:fldChar w:fldCharType="begin"/>
      </w:r>
      <w:r w:rsidR="000548A5">
        <w:instrText xml:space="preserve"> REF _Ref151544525 \h </w:instrText>
      </w:r>
      <w:r w:rsidR="000548A5">
        <w:fldChar w:fldCharType="separate"/>
      </w:r>
      <w:r w:rsidR="000548A5" w:rsidRPr="00490C53">
        <w:t xml:space="preserve">Table </w:t>
      </w:r>
      <w:r w:rsidR="000548A5">
        <w:rPr>
          <w:noProof/>
        </w:rPr>
        <w:t>43</w:t>
      </w:r>
      <w:r w:rsidR="000548A5">
        <w:fldChar w:fldCharType="end"/>
      </w:r>
      <w:r w:rsidR="001B3942">
        <w:t xml:space="preserve"> and </w:t>
      </w:r>
      <w:r w:rsidR="000548A5">
        <w:fldChar w:fldCharType="begin"/>
      </w:r>
      <w:r w:rsidR="000548A5">
        <w:instrText xml:space="preserve"> REF _Ref151544529 \h </w:instrText>
      </w:r>
      <w:r w:rsidR="000548A5">
        <w:fldChar w:fldCharType="separate"/>
      </w:r>
      <w:r w:rsidR="000548A5" w:rsidRPr="00490C53">
        <w:t xml:space="preserve">Table </w:t>
      </w:r>
      <w:r w:rsidR="000548A5">
        <w:rPr>
          <w:noProof/>
        </w:rPr>
        <w:t>44</w:t>
      </w:r>
      <w:r w:rsidR="000548A5">
        <w:fldChar w:fldCharType="end"/>
      </w:r>
      <w:r w:rsidR="000548A5">
        <w:t xml:space="preserve"> </w:t>
      </w:r>
      <w:r>
        <w:rPr>
          <w:lang w:val="en-US"/>
        </w:rPr>
        <w:t xml:space="preserve">compare the incidence of various characteristics across the borrower and non-borrower samples both before and after </w:t>
      </w:r>
      <w:proofErr w:type="gramStart"/>
      <w:r>
        <w:rPr>
          <w:lang w:val="en-US"/>
        </w:rPr>
        <w:t>PSM, and</w:t>
      </w:r>
      <w:proofErr w:type="gramEnd"/>
      <w:r>
        <w:rPr>
          <w:lang w:val="en-US"/>
        </w:rPr>
        <w:t xml:space="preserve"> show that the matching reduced differences across both samples. </w:t>
      </w:r>
    </w:p>
  </w:footnote>
  <w:footnote w:id="60">
    <w:p w14:paraId="7E17BE10" w14:textId="16F01FF1" w:rsidR="00527D7F" w:rsidRPr="00527D7F" w:rsidRDefault="00527D7F">
      <w:pPr>
        <w:pStyle w:val="FootnoteText"/>
        <w:rPr>
          <w:lang w:val="en-US"/>
        </w:rPr>
      </w:pPr>
      <w:r>
        <w:rPr>
          <w:rStyle w:val="FootnoteReference"/>
        </w:rPr>
        <w:footnoteRef/>
      </w:r>
      <w:r>
        <w:t xml:space="preserve"> </w:t>
      </w:r>
      <w:r w:rsidR="00CE357F">
        <w:t xml:space="preserve">This is because the number of respondents to the survey receiving a loan under CLBILS was insufficient to conduct analysis distinct from CBILS. </w:t>
      </w:r>
    </w:p>
  </w:footnote>
  <w:footnote w:id="61">
    <w:p w14:paraId="5F33FAC8" w14:textId="4DDDAF2E" w:rsidR="003C231D" w:rsidRPr="003C231D" w:rsidRDefault="003C231D">
      <w:pPr>
        <w:pStyle w:val="FootnoteText"/>
        <w:rPr>
          <w:lang w:val="en-US"/>
        </w:rPr>
      </w:pPr>
      <w:r>
        <w:rPr>
          <w:rStyle w:val="FootnoteReference"/>
        </w:rPr>
        <w:footnoteRef/>
      </w:r>
      <w:r>
        <w:t xml:space="preserve"> </w:t>
      </w:r>
      <w:r>
        <w:rPr>
          <w:lang w:val="en-US"/>
        </w:rPr>
        <w:t xml:space="preserve">At the 10% level, so the hypothesis that the gap between borrowers and non-borrowers </w:t>
      </w:r>
      <w:r w:rsidR="00FB13B9">
        <w:rPr>
          <w:lang w:val="en-US"/>
        </w:rPr>
        <w:t xml:space="preserve">did not change </w:t>
      </w:r>
      <w:r w:rsidR="00CE6F83">
        <w:rPr>
          <w:lang w:val="en-US"/>
        </w:rPr>
        <w:t xml:space="preserve">after the introduction of the Covid-19 Loan Guarantee Schemes </w:t>
      </w:r>
      <w:r w:rsidR="00F2155A">
        <w:rPr>
          <w:lang w:val="en-US"/>
        </w:rPr>
        <w:t xml:space="preserve">could not be rejected with </w:t>
      </w:r>
      <w:r w:rsidR="00BA2F83">
        <w:rPr>
          <w:lang w:val="en-US"/>
        </w:rPr>
        <w:t xml:space="preserve">90% confidence. </w:t>
      </w:r>
    </w:p>
  </w:footnote>
  <w:footnote w:id="62">
    <w:p w14:paraId="6779262B" w14:textId="77777777" w:rsidR="001E5498" w:rsidRPr="00EC699C" w:rsidRDefault="001E5498" w:rsidP="001E5498">
      <w:pPr>
        <w:pStyle w:val="FootnoteText"/>
        <w:rPr>
          <w:lang w:val="en-US"/>
        </w:rPr>
      </w:pPr>
      <w:r>
        <w:rPr>
          <w:rStyle w:val="FootnoteReference"/>
        </w:rPr>
        <w:footnoteRef/>
      </w:r>
      <w:r>
        <w:t xml:space="preserve"> </w:t>
      </w:r>
      <w:r>
        <w:rPr>
          <w:lang w:val="en-US"/>
        </w:rPr>
        <w:t xml:space="preserve">This analysis involved introducing interaction terms between these characteristics (sector, region, protected characteristics) and the explanatory variable of interest. </w:t>
      </w:r>
    </w:p>
  </w:footnote>
  <w:footnote w:id="63">
    <w:p w14:paraId="2DBA3496" w14:textId="6D194AF9" w:rsidR="001E5498" w:rsidRPr="001702EA" w:rsidRDefault="001E5498" w:rsidP="001E5498">
      <w:pPr>
        <w:pStyle w:val="FootnoteText"/>
        <w:rPr>
          <w:lang w:val="en-US"/>
        </w:rPr>
      </w:pPr>
      <w:r>
        <w:rPr>
          <w:rStyle w:val="FootnoteReference"/>
        </w:rPr>
        <w:footnoteRef/>
      </w:r>
      <w:r>
        <w:t xml:space="preserve"> </w:t>
      </w:r>
      <w:r>
        <w:rPr>
          <w:lang w:val="en-US"/>
        </w:rPr>
        <w:t>Other coefficients are also statistically significant at conventional levels (</w:t>
      </w:r>
      <w:proofErr w:type="gramStart"/>
      <w:r>
        <w:rPr>
          <w:lang w:val="en-US"/>
        </w:rPr>
        <w:t>i.e.</w:t>
      </w:r>
      <w:proofErr w:type="gramEnd"/>
      <w:r>
        <w:rPr>
          <w:lang w:val="en-US"/>
        </w:rPr>
        <w:t xml:space="preserve"> 10% or lower). However, to account for multiple hypothesis testing, coefficients reported in the main text are significant based on a lower threshold – namely 10% divided by the number of hypotheses being tested. This is known as a Bonferroni correction. In the regressions exploring the impacts by sector, region and protected characteristics, the thresholds for reporting are 2%, 1.4% and 5%. </w:t>
      </w:r>
    </w:p>
  </w:footnote>
  <w:footnote w:id="64">
    <w:p w14:paraId="7094721D" w14:textId="77777777" w:rsidR="00FE059A" w:rsidRPr="00871AD2" w:rsidRDefault="00FE059A" w:rsidP="00FE059A">
      <w:pPr>
        <w:pStyle w:val="FootnoteText"/>
        <w:rPr>
          <w:lang w:val="en-US"/>
        </w:rPr>
      </w:pPr>
      <w:r>
        <w:rPr>
          <w:rStyle w:val="FootnoteReference"/>
        </w:rPr>
        <w:footnoteRef/>
      </w:r>
      <w:r>
        <w:t xml:space="preserve"> ONS. (2022). </w:t>
      </w:r>
      <w:r>
        <w:rPr>
          <w:i/>
          <w:iCs/>
        </w:rPr>
        <w:t xml:space="preserve">Labour Market Overview, </w:t>
      </w:r>
      <w:r>
        <w:t xml:space="preserve">March 2022. </w:t>
      </w:r>
    </w:p>
  </w:footnote>
  <w:footnote w:id="65">
    <w:p w14:paraId="0D6848A6" w14:textId="77777777" w:rsidR="001E5498" w:rsidRPr="00081D57" w:rsidRDefault="001E5498" w:rsidP="001E5498">
      <w:pPr>
        <w:pStyle w:val="FootnoteText"/>
        <w:rPr>
          <w:lang w:val="en-US"/>
        </w:rPr>
      </w:pPr>
      <w:r>
        <w:rPr>
          <w:rStyle w:val="FootnoteReference"/>
        </w:rPr>
        <w:footnoteRef/>
      </w:r>
      <w:r>
        <w:t xml:space="preserve"> </w:t>
      </w:r>
      <w:r>
        <w:rPr>
          <w:lang w:val="en-US"/>
        </w:rPr>
        <w:t xml:space="preserve">As with the analysis of the impact of the schemes on turnover, a Bonferroni correction is applied such that results are only mentioned here exploring the impacts by sector, </w:t>
      </w:r>
      <w:proofErr w:type="gramStart"/>
      <w:r>
        <w:rPr>
          <w:lang w:val="en-US"/>
        </w:rPr>
        <w:t>region</w:t>
      </w:r>
      <w:proofErr w:type="gramEnd"/>
      <w:r>
        <w:rPr>
          <w:lang w:val="en-US"/>
        </w:rPr>
        <w:t xml:space="preserve"> and protected characteristics if they are significant at the 2%, 1.4% and 5% levels respectively. </w:t>
      </w:r>
    </w:p>
  </w:footnote>
  <w:footnote w:id="66">
    <w:p w14:paraId="5F0DF26C" w14:textId="77777777" w:rsidR="00777D16" w:rsidRPr="00846F78" w:rsidRDefault="00777D16" w:rsidP="00777D16">
      <w:pPr>
        <w:pStyle w:val="FootnoteText"/>
        <w:rPr>
          <w:lang w:val="en-US"/>
        </w:rPr>
      </w:pPr>
      <w:r>
        <w:rPr>
          <w:rStyle w:val="FootnoteReference"/>
        </w:rPr>
        <w:footnoteRef/>
      </w:r>
      <w:r>
        <w:t xml:space="preserve"> </w:t>
      </w:r>
      <w:r>
        <w:rPr>
          <w:lang w:val="en-US"/>
        </w:rPr>
        <w:t xml:space="preserve">More specifically, the Variance Inflation Factor of the coefficient of interest is more than 10 when sector-level CJRS funding is included in both the turnover and employment models, which is indicative of multicollinearity concerns. </w:t>
      </w:r>
    </w:p>
  </w:footnote>
  <w:footnote w:id="67">
    <w:p w14:paraId="267ABA76" w14:textId="77777777" w:rsidR="00777D16" w:rsidRPr="00846F78" w:rsidRDefault="00777D16" w:rsidP="00777D16">
      <w:pPr>
        <w:pStyle w:val="FootnoteText"/>
        <w:rPr>
          <w:lang w:val="en-US"/>
        </w:rPr>
      </w:pPr>
      <w:r>
        <w:rPr>
          <w:rStyle w:val="FootnoteReference"/>
        </w:rPr>
        <w:footnoteRef/>
      </w:r>
      <w:r>
        <w:t xml:space="preserve"> </w:t>
      </w:r>
      <w:r>
        <w:rPr>
          <w:lang w:val="en-US"/>
        </w:rPr>
        <w:t xml:space="preserve">The possibility of exploring the wider impacts of BBLS, CBILS and CLBILS separately was considered however this was not feasible due to the high correlation between sector-level funding from these schemes. </w:t>
      </w:r>
    </w:p>
  </w:footnote>
  <w:footnote w:id="68">
    <w:p w14:paraId="4D500AD2" w14:textId="77777777" w:rsidR="00777D16" w:rsidRPr="002D323B" w:rsidRDefault="00777D16" w:rsidP="00777D16">
      <w:pPr>
        <w:pStyle w:val="FootnoteText"/>
        <w:rPr>
          <w:lang w:val="en-US"/>
        </w:rPr>
      </w:pPr>
      <w:r>
        <w:rPr>
          <w:rStyle w:val="FootnoteReference"/>
        </w:rPr>
        <w:footnoteRef/>
      </w:r>
      <w:r>
        <w:t xml:space="preserve"> </w:t>
      </w:r>
      <w:r>
        <w:rPr>
          <w:lang w:val="en-US"/>
        </w:rPr>
        <w:t xml:space="preserve">The correlation between the variables related to the average sector (SIC-1) level of funding per firm received under each scheme and the CJRS are all at least 0.78.  </w:t>
      </w:r>
    </w:p>
  </w:footnote>
  <w:footnote w:id="69">
    <w:p w14:paraId="3446F216" w14:textId="292AF963" w:rsidR="00A36500" w:rsidRPr="00F2246F" w:rsidRDefault="00A36500">
      <w:pPr>
        <w:pStyle w:val="FootnoteText"/>
        <w:rPr>
          <w:lang w:val="en-US"/>
        </w:rPr>
      </w:pPr>
      <w:r>
        <w:rPr>
          <w:rStyle w:val="FootnoteReference"/>
        </w:rPr>
        <w:footnoteRef/>
      </w:r>
      <w:r>
        <w:t xml:space="preserve"> </w:t>
      </w:r>
      <w:r w:rsidRPr="00F2246F">
        <w:rPr>
          <w:lang w:val="en-US"/>
        </w:rPr>
        <w:t>The IDBR is database of around 2.7 million businesses primarily compiled from VAT and PAYE records from HMRC.</w:t>
      </w:r>
    </w:p>
  </w:footnote>
  <w:footnote w:id="70">
    <w:p w14:paraId="161CAF23" w14:textId="1A1FFE0E" w:rsidR="00EC0454" w:rsidRPr="00EC0454" w:rsidRDefault="00EC0454" w:rsidP="00EC0454">
      <w:pPr>
        <w:pStyle w:val="FootnoteText"/>
        <w:rPr>
          <w:lang w:val="en-US"/>
        </w:rPr>
      </w:pPr>
      <w:r>
        <w:rPr>
          <w:rStyle w:val="FootnoteReference"/>
        </w:rPr>
        <w:footnoteRef/>
      </w:r>
      <w:r>
        <w:t xml:space="preserve"> </w:t>
      </w:r>
      <w:r w:rsidRPr="00EC0454">
        <w:rPr>
          <w:lang w:val="en-US"/>
        </w:rPr>
        <w:t xml:space="preserve">In </w:t>
      </w:r>
      <w:r w:rsidR="00EE59E7">
        <w:rPr>
          <w:lang w:val="en-US"/>
        </w:rPr>
        <w:fldChar w:fldCharType="begin"/>
      </w:r>
      <w:r w:rsidR="00EE59E7">
        <w:rPr>
          <w:lang w:val="en-US"/>
        </w:rPr>
        <w:instrText xml:space="preserve"> REF _Ref126237016 \h </w:instrText>
      </w:r>
      <w:r w:rsidR="00EE59E7">
        <w:rPr>
          <w:lang w:val="en-US"/>
        </w:rPr>
      </w:r>
      <w:r w:rsidR="00EE59E7">
        <w:rPr>
          <w:lang w:val="en-US"/>
        </w:rPr>
        <w:fldChar w:fldCharType="separate"/>
      </w:r>
      <w:r w:rsidR="00EE59E7" w:rsidRPr="00490C53">
        <w:t xml:space="preserve">Annex </w:t>
      </w:r>
      <w:r w:rsidR="00EE59E7">
        <w:t>4</w:t>
      </w:r>
      <w:r w:rsidR="00EE59E7">
        <w:rPr>
          <w:lang w:val="en-US"/>
        </w:rPr>
        <w:fldChar w:fldCharType="end"/>
      </w:r>
      <w:r w:rsidRPr="00EC0454">
        <w:rPr>
          <w:lang w:val="en-US"/>
        </w:rPr>
        <w:t xml:space="preserve">, the incidence of various characteristics across the borrower and non-borrower samples is compared both before and after PSM, showing that the matching reduced differences across both samples. </w:t>
      </w:r>
    </w:p>
  </w:footnote>
  <w:footnote w:id="71">
    <w:p w14:paraId="6577A076" w14:textId="6C2C4F34" w:rsidR="00EC0454" w:rsidRPr="00EC0454" w:rsidRDefault="00EC0454" w:rsidP="00EC0454">
      <w:pPr>
        <w:pStyle w:val="FootnoteText"/>
        <w:rPr>
          <w:lang w:val="en-US"/>
        </w:rPr>
      </w:pPr>
      <w:r w:rsidRPr="00EC0454">
        <w:rPr>
          <w:rStyle w:val="FootnoteReference"/>
        </w:rPr>
        <w:footnoteRef/>
      </w:r>
      <w:r w:rsidRPr="00EC0454">
        <w:t xml:space="preserve"> </w:t>
      </w:r>
      <w:r w:rsidRPr="00EC0454">
        <w:rPr>
          <w:lang w:val="en-US"/>
        </w:rPr>
        <w:t xml:space="preserve">See </w:t>
      </w:r>
      <w:r w:rsidR="00EE59E7">
        <w:rPr>
          <w:lang w:val="en-US"/>
        </w:rPr>
        <w:fldChar w:fldCharType="begin"/>
      </w:r>
      <w:r w:rsidR="00EE59E7">
        <w:rPr>
          <w:lang w:val="en-US"/>
        </w:rPr>
        <w:instrText xml:space="preserve"> REF _Ref126237016 \h </w:instrText>
      </w:r>
      <w:r w:rsidR="00EE59E7">
        <w:rPr>
          <w:lang w:val="en-US"/>
        </w:rPr>
      </w:r>
      <w:r w:rsidR="00EE59E7">
        <w:rPr>
          <w:lang w:val="en-US"/>
        </w:rPr>
        <w:fldChar w:fldCharType="separate"/>
      </w:r>
      <w:r w:rsidR="00EE59E7" w:rsidRPr="00490C53">
        <w:t xml:space="preserve">Annex </w:t>
      </w:r>
      <w:r w:rsidR="00EE59E7">
        <w:t>4</w:t>
      </w:r>
      <w:r w:rsidR="00EE59E7">
        <w:rPr>
          <w:lang w:val="en-US"/>
        </w:rPr>
        <w:fldChar w:fldCharType="end"/>
      </w:r>
      <w:r w:rsidRPr="00EC0454">
        <w:rPr>
          <w:lang w:val="en-US"/>
        </w:rPr>
        <w:t xml:space="preserve"> for more methodological detail on the </w:t>
      </w:r>
      <w:r w:rsidR="006A6A95">
        <w:rPr>
          <w:lang w:val="en-US"/>
        </w:rPr>
        <w:t>secondary analysis</w:t>
      </w:r>
      <w:r w:rsidR="006A6A95" w:rsidRPr="00EC0454">
        <w:rPr>
          <w:lang w:val="en-US"/>
        </w:rPr>
        <w:t xml:space="preserve"> </w:t>
      </w:r>
      <w:r w:rsidRPr="00EC0454">
        <w:rPr>
          <w:lang w:val="en-US"/>
        </w:rPr>
        <w:t xml:space="preserve">of the survival analysis, and a discussion of the data sources used. </w:t>
      </w:r>
    </w:p>
  </w:footnote>
  <w:footnote w:id="72">
    <w:p w14:paraId="794FBB52" w14:textId="682882E1" w:rsidR="00EC0454" w:rsidRPr="008173B0" w:rsidRDefault="00EC0454" w:rsidP="00EC0454">
      <w:pPr>
        <w:pStyle w:val="FootnoteText"/>
      </w:pPr>
      <w:r>
        <w:rPr>
          <w:rStyle w:val="FootnoteReference"/>
        </w:rPr>
        <w:footnoteRef/>
      </w:r>
      <w:r>
        <w:t xml:space="preserve"> In the case of the BBLS, the</w:t>
      </w:r>
      <w:r w:rsidRPr="008173B0">
        <w:t xml:space="preserve"> estimated counterfactual </w:t>
      </w:r>
      <w:r w:rsidR="004550ED">
        <w:t>closure</w:t>
      </w:r>
      <w:r w:rsidR="004550ED" w:rsidRPr="008173B0">
        <w:t xml:space="preserve"> </w:t>
      </w:r>
      <w:r w:rsidRPr="008173B0">
        <w:t xml:space="preserve">rate is 13% for businesses with turnover under £50,000, 11% for businesses with turnover between £50,000 and £100,000, 10% for businesses with turnover between £100,000 and £250,000, 7% for businesses with turnover between £250,000 and £500,000, 6% for businesses with turnover between £500,000 and £1m, and 4% for businesses with turnover between £1m and £5m. </w:t>
      </w:r>
      <w:r>
        <w:t xml:space="preserve">Around 1% of firms included in the borrower population were </w:t>
      </w:r>
      <w:r w:rsidRPr="008173B0">
        <w:t xml:space="preserve">firms </w:t>
      </w:r>
      <w:r>
        <w:t>with</w:t>
      </w:r>
      <w:r w:rsidRPr="008173B0">
        <w:t xml:space="preserve"> turnover higher than £5m</w:t>
      </w:r>
      <w:r>
        <w:t xml:space="preserve">. </w:t>
      </w:r>
      <w:r w:rsidRPr="008173B0">
        <w:t xml:space="preserve">These </w:t>
      </w:r>
      <w:r>
        <w:t xml:space="preserve">outliers (as well as BBLS non-borrowers with turnover over £5m) </w:t>
      </w:r>
      <w:r w:rsidRPr="008173B0">
        <w:t>have been excluded from the</w:t>
      </w:r>
      <w:r>
        <w:t xml:space="preserve"> BBLS</w:t>
      </w:r>
      <w:r w:rsidRPr="008173B0">
        <w:t xml:space="preserve"> analysis</w:t>
      </w:r>
      <w:r>
        <w:t>.</w:t>
      </w:r>
    </w:p>
    <w:p w14:paraId="02D226DD" w14:textId="7531EFC4" w:rsidR="00EC0454" w:rsidRPr="00DE7982" w:rsidRDefault="00EC0454" w:rsidP="00EC0454">
      <w:pPr>
        <w:pStyle w:val="FootnoteText"/>
        <w:rPr>
          <w:lang w:val="en-US"/>
        </w:rPr>
      </w:pPr>
      <w:r>
        <w:t>In the case of the</w:t>
      </w:r>
      <w:r w:rsidRPr="008173B0">
        <w:t xml:space="preserve"> CBILS/CLBILS</w:t>
      </w:r>
      <w:r>
        <w:t>,</w:t>
      </w:r>
      <w:r w:rsidRPr="008173B0">
        <w:t xml:space="preserve"> </w:t>
      </w:r>
      <w:r>
        <w:t>the</w:t>
      </w:r>
      <w:r w:rsidRPr="008173B0">
        <w:t xml:space="preserve"> estimated counterfactual </w:t>
      </w:r>
      <w:r w:rsidR="004550ED">
        <w:t>closure</w:t>
      </w:r>
      <w:r w:rsidR="004550ED" w:rsidRPr="008173B0">
        <w:t xml:space="preserve"> </w:t>
      </w:r>
      <w:r w:rsidRPr="008173B0">
        <w:t>rate is 13% for businesses with turnover under £50,000, 13% for businesses with turnover between £50,000 and £100,000, 8% for businesses with turnover between £100,000 and £250,000, 7% for businesses with turnover between £250,000 and £500,000, 5% for businesses with turnover between £500,000 and £1m, 4% for businesses with turnover between £1m and £5m, 2% for businesses with turnover between £5m and £25m, 1% for businesses with turnover between £25m and £50m, 1% for businesses with turnover between £50m and £200m, and 0% for businesses with turnover over £200m.</w:t>
      </w:r>
    </w:p>
  </w:footnote>
  <w:footnote w:id="73">
    <w:p w14:paraId="53299951" w14:textId="27DBC3F4" w:rsidR="00EC0454" w:rsidRPr="00635F82" w:rsidRDefault="00EC0454" w:rsidP="00EC0454">
      <w:pPr>
        <w:pStyle w:val="FootnoteText"/>
      </w:pPr>
      <w:r>
        <w:rPr>
          <w:rStyle w:val="FootnoteReference"/>
        </w:rPr>
        <w:footnoteRef/>
      </w:r>
      <w:r>
        <w:t xml:space="preserve"> The</w:t>
      </w:r>
      <w:r w:rsidR="00C47D0C">
        <w:t>se averages are</w:t>
      </w:r>
      <w:r>
        <w:t xml:space="preserve"> weighted</w:t>
      </w:r>
      <w:r w:rsidR="00C47D0C">
        <w:t>,</w:t>
      </w:r>
      <w:r w:rsidRPr="00635F82">
        <w:t xml:space="preserve"> </w:t>
      </w:r>
      <w:proofErr w:type="gramStart"/>
      <w:r>
        <w:t>tak</w:t>
      </w:r>
      <w:r w:rsidR="00C47D0C">
        <w:t>ing</w:t>
      </w:r>
      <w:r>
        <w:t xml:space="preserve"> into account</w:t>
      </w:r>
      <w:proofErr w:type="gramEnd"/>
      <w:r>
        <w:t xml:space="preserve"> both the weightings assigned in the PSM</w:t>
      </w:r>
      <w:r w:rsidR="00C354E4">
        <w:t>,</w:t>
      </w:r>
      <w:r>
        <w:t xml:space="preserve"> </w:t>
      </w:r>
      <w:r w:rsidRPr="00635F82">
        <w:t>and the</w:t>
      </w:r>
      <w:r>
        <w:t xml:space="preserve"> weights assigned to firms within each defined</w:t>
      </w:r>
      <w:r w:rsidRPr="00635F82">
        <w:t xml:space="preserve"> turnover </w:t>
      </w:r>
      <w:r w:rsidRPr="00794BE3">
        <w:t>band (</w:t>
      </w:r>
      <w:r w:rsidR="00F672B7">
        <w:t>based on the distribution of borrowers across turnover bands in</w:t>
      </w:r>
      <w:r w:rsidR="00F672B7" w:rsidRPr="00794BE3">
        <w:t xml:space="preserve"> </w:t>
      </w:r>
      <w:r w:rsidRPr="00794BE3">
        <w:t>BBB Management Information data)</w:t>
      </w:r>
      <w:r w:rsidR="00C47D0C">
        <w:t>.</w:t>
      </w:r>
    </w:p>
  </w:footnote>
  <w:footnote w:id="74">
    <w:p w14:paraId="524B7862" w14:textId="415C3672" w:rsidR="00EC0454" w:rsidRPr="00C11026" w:rsidRDefault="00EC0454" w:rsidP="00EC0454">
      <w:pPr>
        <w:pStyle w:val="FootnoteText"/>
        <w:rPr>
          <w:lang w:val="en-US"/>
        </w:rPr>
      </w:pPr>
      <w:r w:rsidRPr="008173B0">
        <w:rPr>
          <w:rStyle w:val="FootnoteReference"/>
        </w:rPr>
        <w:footnoteRef/>
      </w:r>
      <w:r w:rsidRPr="008173B0">
        <w:t xml:space="preserve"> The estimated </w:t>
      </w:r>
      <w:r w:rsidR="004550ED">
        <w:t>closure</w:t>
      </w:r>
      <w:r w:rsidR="004550ED" w:rsidRPr="008173B0">
        <w:t xml:space="preserve"> </w:t>
      </w:r>
      <w:r w:rsidRPr="008173B0">
        <w:t xml:space="preserve">rate among BBLS borrowers is 6% for businesses with turnover under £50,000, 6% for businesses with turnover between £50,000 and £100,000, 4% for businesses with turnover between £100,000 and £250,000, 2% for businesses with turnover between £250,000 and £500,000, 1% for businesses with turnover between £500,000 and £1m, and 1% for businesses with turnover between £1m and £5m. </w:t>
      </w:r>
      <w:r>
        <w:t xml:space="preserve">Around 1% of firms included in the </w:t>
      </w:r>
      <w:r w:rsidRPr="000548A5">
        <w:t xml:space="preserve">borrower population were firms with turnover higher than £5m. These outliers have been excluded from the analysis. The estimated </w:t>
      </w:r>
      <w:r w:rsidR="004550ED" w:rsidRPr="000548A5">
        <w:t xml:space="preserve">closure </w:t>
      </w:r>
      <w:r w:rsidRPr="000548A5">
        <w:t>rate among CBILS/CLBILS borrowers is 4% for businesses with turnover under £50,000, 3% for businesses with turnover between £50,000 and £100,000, 2% for businesses with turnover between £100,000 and £250,000, and close to 0% for businesses with turnover over £250,000.</w:t>
      </w:r>
    </w:p>
  </w:footnote>
  <w:footnote w:id="75">
    <w:p w14:paraId="63104291" w14:textId="68AA06BB" w:rsidR="008917C5" w:rsidRDefault="008917C5">
      <w:pPr>
        <w:pStyle w:val="FootnoteText"/>
      </w:pPr>
      <w:r>
        <w:rPr>
          <w:rStyle w:val="FootnoteReference"/>
        </w:rPr>
        <w:footnoteRef/>
      </w:r>
      <w:r>
        <w:t xml:space="preserve"> 5.7% with a 95% confidence interval of 5.0%-6.5%.</w:t>
      </w:r>
    </w:p>
  </w:footnote>
  <w:footnote w:id="76">
    <w:p w14:paraId="19E2C88C" w14:textId="77777777" w:rsidR="00C23DBD" w:rsidRDefault="00C23DBD" w:rsidP="00C23DBD">
      <w:pPr>
        <w:pStyle w:val="FootnoteText"/>
      </w:pPr>
      <w:r>
        <w:rPr>
          <w:rStyle w:val="FootnoteReference"/>
        </w:rPr>
        <w:footnoteRef/>
      </w:r>
      <w:r>
        <w:t xml:space="preserve"> 85,262 businesses with a 95% confidence interval of 74,158-96,367</w:t>
      </w:r>
    </w:p>
  </w:footnote>
  <w:footnote w:id="77">
    <w:p w14:paraId="3456396B" w14:textId="34F93BC9" w:rsidR="00EC0454" w:rsidRPr="005C267D" w:rsidRDefault="00EC0454" w:rsidP="00EC0454">
      <w:pPr>
        <w:pStyle w:val="FootnoteText"/>
        <w:rPr>
          <w:lang w:val="en-US"/>
        </w:rPr>
      </w:pPr>
      <w:r>
        <w:rPr>
          <w:rStyle w:val="FootnoteReference"/>
        </w:rPr>
        <w:footnoteRef/>
      </w:r>
      <w:r>
        <w:t xml:space="preserve"> </w:t>
      </w:r>
      <w:r>
        <w:rPr>
          <w:lang w:val="en-US"/>
        </w:rPr>
        <w:t xml:space="preserve">This is based on a total BBLS borrower population </w:t>
      </w:r>
      <w:r w:rsidR="00567C7F">
        <w:rPr>
          <w:lang w:val="en-US"/>
        </w:rPr>
        <w:t xml:space="preserve">(with 2019 turnover less than £5m) </w:t>
      </w:r>
      <w:r>
        <w:rPr>
          <w:lang w:val="en-US"/>
        </w:rPr>
        <w:t xml:space="preserve">of </w:t>
      </w:r>
      <w:r w:rsidRPr="00375556">
        <w:rPr>
          <w:lang w:val="en-US"/>
        </w:rPr>
        <w:t>1,4</w:t>
      </w:r>
      <w:r w:rsidR="00C23DBD">
        <w:rPr>
          <w:lang w:val="en-US"/>
        </w:rPr>
        <w:t>88,303</w:t>
      </w:r>
      <w:r w:rsidRPr="00375556">
        <w:rPr>
          <w:lang w:val="en-US"/>
        </w:rPr>
        <w:t xml:space="preserve"> </w:t>
      </w:r>
      <w:r>
        <w:rPr>
          <w:lang w:val="en-US"/>
        </w:rPr>
        <w:t>businesses.</w:t>
      </w:r>
    </w:p>
  </w:footnote>
  <w:footnote w:id="78">
    <w:p w14:paraId="262AD5EE" w14:textId="65000DFE" w:rsidR="008917C5" w:rsidRDefault="008917C5">
      <w:pPr>
        <w:pStyle w:val="FootnoteText"/>
      </w:pPr>
      <w:r>
        <w:rPr>
          <w:rStyle w:val="FootnoteReference"/>
        </w:rPr>
        <w:footnoteRef/>
      </w:r>
      <w:r>
        <w:t xml:space="preserve"> 4.4% with a 95% confidence interval of 4.0%-4.7%.</w:t>
      </w:r>
    </w:p>
  </w:footnote>
  <w:footnote w:id="79">
    <w:p w14:paraId="41B30587" w14:textId="77777777" w:rsidR="00C23DBD" w:rsidRDefault="00C23DBD" w:rsidP="00C23DBD">
      <w:pPr>
        <w:pStyle w:val="FootnoteText"/>
      </w:pPr>
      <w:r>
        <w:rPr>
          <w:rStyle w:val="FootnoteReference"/>
        </w:rPr>
        <w:footnoteRef/>
      </w:r>
      <w:r>
        <w:t xml:space="preserve"> 3,252 businesses with a 95% confidence interval of 2,974-3,530</w:t>
      </w:r>
    </w:p>
  </w:footnote>
  <w:footnote w:id="80">
    <w:p w14:paraId="6AE59456" w14:textId="5877672F" w:rsidR="00EC0454" w:rsidRPr="005C267D" w:rsidRDefault="00EC0454" w:rsidP="00EC0454">
      <w:pPr>
        <w:pStyle w:val="FootnoteText"/>
        <w:rPr>
          <w:lang w:val="en-US"/>
        </w:rPr>
      </w:pPr>
      <w:r>
        <w:rPr>
          <w:rStyle w:val="FootnoteReference"/>
        </w:rPr>
        <w:footnoteRef/>
      </w:r>
      <w:r>
        <w:t xml:space="preserve"> </w:t>
      </w:r>
      <w:r>
        <w:rPr>
          <w:lang w:val="en-US"/>
        </w:rPr>
        <w:t xml:space="preserve">This is based on a total CBILS/CLBILS borrower population of </w:t>
      </w:r>
      <w:r w:rsidRPr="006D30B4">
        <w:rPr>
          <w:lang w:val="en-US"/>
        </w:rPr>
        <w:t>7</w:t>
      </w:r>
      <w:r w:rsidR="00C23DBD">
        <w:rPr>
          <w:lang w:val="en-US"/>
        </w:rPr>
        <w:t>4,636</w:t>
      </w:r>
      <w:r w:rsidRPr="006D30B4">
        <w:rPr>
          <w:lang w:val="en-US"/>
        </w:rPr>
        <w:t xml:space="preserve"> </w:t>
      </w:r>
      <w:r>
        <w:rPr>
          <w:lang w:val="en-US"/>
        </w:rPr>
        <w:t>businesses.</w:t>
      </w:r>
    </w:p>
  </w:footnote>
  <w:footnote w:id="81">
    <w:p w14:paraId="38860522" w14:textId="6320CFA4" w:rsidR="00C23DBD" w:rsidRDefault="00C23DBD" w:rsidP="00C23DBD">
      <w:pPr>
        <w:pStyle w:val="FootnoteText"/>
      </w:pPr>
      <w:r>
        <w:rPr>
          <w:rStyle w:val="FootnoteReference"/>
        </w:rPr>
        <w:footnoteRef/>
      </w:r>
      <w:r>
        <w:t xml:space="preserve"> The associated point estimate is 291,000. </w:t>
      </w:r>
      <w:r w:rsidR="00F7052B">
        <w:t>This range is not a</w:t>
      </w:r>
      <w:r w:rsidR="00F7052B" w:rsidRPr="003A522E">
        <w:t xml:space="preserve"> technically defined confidence interval</w:t>
      </w:r>
      <w:r w:rsidR="00F7052B">
        <w:t>. It represents an</w:t>
      </w:r>
      <w:r w:rsidR="00F7052B" w:rsidRPr="003A522E">
        <w:t xml:space="preserve"> estimate </w:t>
      </w:r>
      <w:r w:rsidR="00F7052B">
        <w:t xml:space="preserve">of the range of impact of the schemes on jobs based on the schemes’ impact on business </w:t>
      </w:r>
      <w:r w:rsidR="004550ED">
        <w:t xml:space="preserve">closure </w:t>
      </w:r>
      <w:r w:rsidR="00F7052B">
        <w:t xml:space="preserve">rates. The width of the range (relative to the point estimate) is defined to be the same as that of the 95% confidence interval associated with the impact of the schemes on business </w:t>
      </w:r>
      <w:r w:rsidR="004550ED">
        <w:t xml:space="preserve">closure </w:t>
      </w:r>
      <w:r w:rsidR="00F7052B">
        <w:t xml:space="preserve">rates. For instance, the 95% confidence interval in the case of the BBLS is defined as +/- 13% of the point estimate. Therefore, the lower (upper) bound of the range for the impact of the BBLS on jobs is defined to be 13% below (above) the point estimate. The range is calculated in a similar manner for the CBILS/CLBILS schemes. The overall range is obtained by adding the respective lower bounds (upper bounds) of the ranges for the BBLS and CBILS/CLBILS schemes. </w:t>
      </w:r>
    </w:p>
  </w:footnote>
  <w:footnote w:id="82">
    <w:p w14:paraId="0478989D" w14:textId="52936C75" w:rsidR="00EC0454" w:rsidRPr="00EC0454" w:rsidRDefault="00EC0454" w:rsidP="00EC0454">
      <w:pPr>
        <w:pStyle w:val="FootnoteText"/>
        <w:rPr>
          <w:lang w:val="en-US"/>
        </w:rPr>
      </w:pPr>
      <w:r>
        <w:rPr>
          <w:rStyle w:val="FootnoteReference"/>
        </w:rPr>
        <w:footnoteRef/>
      </w:r>
      <w:r>
        <w:t xml:space="preserve"> This estimate is the sum of the separate estimates for the BBLS scheme (227,000) and the CBILS/CLBILS schemes (64,000). These estimates were calculated by turnover band using average </w:t>
      </w:r>
      <w:r w:rsidR="006D4172">
        <w:t xml:space="preserve">pre-pandemic </w:t>
      </w:r>
      <w:r>
        <w:t xml:space="preserve">employment among the sample of borrowers in the IDBR, the total number of borrowers in BBB Management Information data, and the difference between the share of </w:t>
      </w:r>
      <w:r w:rsidR="006D4172">
        <w:t xml:space="preserve">pre-pandemic </w:t>
      </w:r>
      <w:r>
        <w:t xml:space="preserve">employment among non-borrowers that </w:t>
      </w:r>
      <w:r w:rsidR="004550ED">
        <w:t xml:space="preserve">permanently closed </w:t>
      </w:r>
      <w:r>
        <w:t xml:space="preserve">in </w:t>
      </w:r>
      <w:r w:rsidR="006D4172">
        <w:t>by March 2021</w:t>
      </w:r>
      <w:r>
        <w:t xml:space="preserve">, and the share of </w:t>
      </w:r>
      <w:r w:rsidR="006D4172">
        <w:t xml:space="preserve">pre-pandemic </w:t>
      </w:r>
      <w:r>
        <w:t xml:space="preserve">employment among borrowers that </w:t>
      </w:r>
      <w:r w:rsidR="004550ED">
        <w:t xml:space="preserve">permanently closed </w:t>
      </w:r>
      <w:r w:rsidR="006D4172">
        <w:t>by March 2021</w:t>
      </w:r>
      <w:r>
        <w:t xml:space="preserve">. </w:t>
      </w:r>
      <w:r w:rsidRPr="000A11A3">
        <w:t xml:space="preserve">This calculation is explained in more </w:t>
      </w:r>
      <w:r w:rsidRPr="00EC0454">
        <w:t xml:space="preserve">detail in </w:t>
      </w:r>
      <w:r w:rsidR="00EE59E7">
        <w:rPr>
          <w:lang w:val="en-US"/>
        </w:rPr>
        <w:fldChar w:fldCharType="begin"/>
      </w:r>
      <w:r w:rsidR="00EE59E7">
        <w:rPr>
          <w:lang w:val="en-US"/>
        </w:rPr>
        <w:instrText xml:space="preserve"> REF _Ref126237016 \h </w:instrText>
      </w:r>
      <w:r w:rsidR="00EE59E7">
        <w:rPr>
          <w:lang w:val="en-US"/>
        </w:rPr>
      </w:r>
      <w:r w:rsidR="00EE59E7">
        <w:rPr>
          <w:lang w:val="en-US"/>
        </w:rPr>
        <w:fldChar w:fldCharType="separate"/>
      </w:r>
      <w:r w:rsidR="00EE59E7" w:rsidRPr="00490C53">
        <w:t xml:space="preserve">Annex </w:t>
      </w:r>
      <w:r w:rsidR="00EE59E7">
        <w:t>4</w:t>
      </w:r>
      <w:r w:rsidR="00EE59E7">
        <w:rPr>
          <w:lang w:val="en-US"/>
        </w:rPr>
        <w:fldChar w:fldCharType="end"/>
      </w:r>
      <w:r w:rsidRPr="00EC0454">
        <w:t>.</w:t>
      </w:r>
    </w:p>
  </w:footnote>
  <w:footnote w:id="83">
    <w:p w14:paraId="21836BC5" w14:textId="7D45981A" w:rsidR="00EC0454" w:rsidRPr="001C4AE7" w:rsidRDefault="00EC0454" w:rsidP="00EC0454">
      <w:pPr>
        <w:pStyle w:val="FootnoteText"/>
        <w:rPr>
          <w:lang w:val="en-US"/>
        </w:rPr>
      </w:pPr>
      <w:r w:rsidRPr="00EC0454">
        <w:rPr>
          <w:rStyle w:val="FootnoteReference"/>
        </w:rPr>
        <w:footnoteRef/>
      </w:r>
      <w:r w:rsidRPr="00EC0454">
        <w:t xml:space="preserve"> </w:t>
      </w:r>
      <w:r w:rsidRPr="00EC0454">
        <w:rPr>
          <w:lang w:val="en-US"/>
        </w:rPr>
        <w:t xml:space="preserve">See </w:t>
      </w:r>
      <w:r w:rsidR="00EE59E7">
        <w:rPr>
          <w:lang w:val="en-US"/>
        </w:rPr>
        <w:fldChar w:fldCharType="begin"/>
      </w:r>
      <w:r w:rsidR="00EE59E7">
        <w:rPr>
          <w:lang w:val="en-US"/>
        </w:rPr>
        <w:instrText xml:space="preserve"> REF _Ref126237016 \h </w:instrText>
      </w:r>
      <w:r w:rsidR="00EE59E7">
        <w:rPr>
          <w:lang w:val="en-US"/>
        </w:rPr>
      </w:r>
      <w:r w:rsidR="00EE59E7">
        <w:rPr>
          <w:lang w:val="en-US"/>
        </w:rPr>
        <w:fldChar w:fldCharType="separate"/>
      </w:r>
      <w:r w:rsidR="00EE59E7" w:rsidRPr="00490C53">
        <w:t xml:space="preserve">Annex </w:t>
      </w:r>
      <w:r w:rsidR="00EE59E7">
        <w:t>4</w:t>
      </w:r>
      <w:r w:rsidR="00EE59E7">
        <w:rPr>
          <w:lang w:val="en-US"/>
        </w:rPr>
        <w:fldChar w:fldCharType="end"/>
      </w:r>
      <w:r w:rsidRPr="00846F78">
        <w:rPr>
          <w:lang w:val="en-US"/>
        </w:rPr>
        <w:fldChar w:fldCharType="begin"/>
      </w:r>
      <w:r w:rsidRPr="00846F78">
        <w:rPr>
          <w:lang w:val="en-US"/>
        </w:rPr>
        <w:instrText xml:space="preserve"> REF _Ref123831749 \h  \* MERGEFORMAT </w:instrText>
      </w:r>
      <w:r w:rsidRPr="00846F78">
        <w:rPr>
          <w:lang w:val="en-US"/>
        </w:rPr>
      </w:r>
      <w:r w:rsidR="006924B0">
        <w:rPr>
          <w:lang w:val="en-US"/>
        </w:rPr>
        <w:fldChar w:fldCharType="separate"/>
      </w:r>
      <w:r w:rsidRPr="00846F78">
        <w:rPr>
          <w:lang w:val="en-US"/>
        </w:rPr>
        <w:fldChar w:fldCharType="end"/>
      </w:r>
      <w:r w:rsidRPr="00EC0454">
        <w:rPr>
          <w:lang w:val="en-US"/>
        </w:rPr>
        <w:t xml:space="preserve"> for a full breakdown of the regional and sectoral disaggregation.</w:t>
      </w:r>
    </w:p>
  </w:footnote>
  <w:footnote w:id="84">
    <w:p w14:paraId="76EEEA6C" w14:textId="77777777" w:rsidR="00EC0454" w:rsidRPr="00EF5591" w:rsidRDefault="00EC0454" w:rsidP="00EC0454">
      <w:pPr>
        <w:pStyle w:val="FootnoteText"/>
      </w:pPr>
      <w:r>
        <w:rPr>
          <w:rStyle w:val="FootnoteReference"/>
        </w:rPr>
        <w:footnoteRef/>
      </w:r>
      <w:r>
        <w:t xml:space="preserve"> For more detail, see British Business Bank (2022) </w:t>
      </w:r>
      <w:r w:rsidRPr="00EF5591">
        <w:rPr>
          <w:i/>
          <w:iCs/>
        </w:rPr>
        <w:t>Evaluation of the Bounce Back Loan Scheme, Coronavirus Business Interruption Loan Scheme, and Coronavirus Large Business Interruption Loan Scheme: Process evaluation and early impact assessment</w:t>
      </w:r>
      <w:r>
        <w:t>, June 2022.</w:t>
      </w:r>
    </w:p>
  </w:footnote>
  <w:footnote w:id="85">
    <w:p w14:paraId="46A41E68" w14:textId="7CB4968C" w:rsidR="00EC0454" w:rsidRPr="007B4B61" w:rsidRDefault="00EC0454" w:rsidP="00EC0454">
      <w:pPr>
        <w:pStyle w:val="FootnoteText"/>
      </w:pPr>
      <w:r w:rsidRPr="00EC0454">
        <w:rPr>
          <w:rStyle w:val="FootnoteReference"/>
        </w:rPr>
        <w:footnoteRef/>
      </w:r>
      <w:r w:rsidRPr="00EC0454">
        <w:t xml:space="preserve"> </w:t>
      </w:r>
      <w:r w:rsidRPr="00EC0454">
        <w:rPr>
          <w:lang w:val="en-US"/>
        </w:rPr>
        <w:t xml:space="preserve">See </w:t>
      </w:r>
      <w:r w:rsidR="00EE59E7">
        <w:rPr>
          <w:lang w:val="en-US"/>
        </w:rPr>
        <w:fldChar w:fldCharType="begin"/>
      </w:r>
      <w:r w:rsidR="00EE59E7">
        <w:rPr>
          <w:lang w:val="en-US"/>
        </w:rPr>
        <w:instrText xml:space="preserve"> REF _Ref126237016 \h </w:instrText>
      </w:r>
      <w:r w:rsidR="00EE59E7">
        <w:rPr>
          <w:lang w:val="en-US"/>
        </w:rPr>
      </w:r>
      <w:r w:rsidR="00EE59E7">
        <w:rPr>
          <w:lang w:val="en-US"/>
        </w:rPr>
        <w:fldChar w:fldCharType="separate"/>
      </w:r>
      <w:r w:rsidR="00EE59E7" w:rsidRPr="00490C53">
        <w:t xml:space="preserve">Annex </w:t>
      </w:r>
      <w:r w:rsidR="00EE59E7">
        <w:t>4</w:t>
      </w:r>
      <w:r w:rsidR="00EE59E7">
        <w:rPr>
          <w:lang w:val="en-US"/>
        </w:rPr>
        <w:fldChar w:fldCharType="end"/>
      </w:r>
      <w:r w:rsidRPr="00EC0454">
        <w:rPr>
          <w:lang w:val="en-US"/>
        </w:rPr>
        <w:t xml:space="preserve"> for more methodological detail on the </w:t>
      </w:r>
      <w:r w:rsidR="00CE4EB2">
        <w:rPr>
          <w:lang w:val="en-US"/>
        </w:rPr>
        <w:t>secondary analysis</w:t>
      </w:r>
      <w:r w:rsidR="00CE4EB2" w:rsidRPr="00EC0454">
        <w:rPr>
          <w:lang w:val="en-US"/>
        </w:rPr>
        <w:t xml:space="preserve"> </w:t>
      </w:r>
      <w:r w:rsidRPr="00EC0454">
        <w:rPr>
          <w:lang w:val="en-US"/>
        </w:rPr>
        <w:t>exercise.</w:t>
      </w:r>
      <w:r>
        <w:rPr>
          <w:lang w:val="en-US"/>
        </w:rPr>
        <w:t xml:space="preserve"> </w:t>
      </w:r>
    </w:p>
  </w:footnote>
  <w:footnote w:id="86">
    <w:p w14:paraId="1F4B3A46" w14:textId="77777777" w:rsidR="00365ED9" w:rsidRPr="00AA3170" w:rsidRDefault="00365ED9" w:rsidP="00365ED9">
      <w:pPr>
        <w:pStyle w:val="FootnoteText"/>
      </w:pPr>
      <w:r w:rsidRPr="005B2C9B">
        <w:rPr>
          <w:rStyle w:val="FootnoteReference"/>
        </w:rPr>
        <w:footnoteRef/>
      </w:r>
      <w:r w:rsidRPr="005B2C9B">
        <w:t xml:space="preserve"> In this example, the difference between treatment and control businesses is negative (as treated businesses have lower outcomes than non-treated businesses), but, because the pre-treatment difference is more negative than the post-treatment difference, the impact of the intervention is positive: the margin of outperformance of non-treated businesses was reduced by the intervention.</w:t>
      </w:r>
      <w:r w:rsidRPr="00AA3170">
        <w:t xml:space="preserve"> </w:t>
      </w:r>
    </w:p>
  </w:footnote>
  <w:footnote w:id="87">
    <w:p w14:paraId="106D705E" w14:textId="15EE45A4" w:rsidR="00C146E8" w:rsidRPr="00373904" w:rsidRDefault="00C146E8" w:rsidP="00C146E8">
      <w:pPr>
        <w:pStyle w:val="FootnoteText"/>
        <w:rPr>
          <w:lang w:val="en-US"/>
        </w:rPr>
      </w:pPr>
      <w:r>
        <w:rPr>
          <w:rStyle w:val="FootnoteReference"/>
        </w:rPr>
        <w:footnoteRef/>
      </w:r>
      <w:r>
        <w:t xml:space="preserve"> </w:t>
      </w:r>
      <w:r>
        <w:rPr>
          <w:lang w:val="en-US"/>
        </w:rPr>
        <w:t xml:space="preserve">This is to allow for comparability with the </w:t>
      </w:r>
      <w:r w:rsidR="00EC0454">
        <w:rPr>
          <w:lang w:val="en-US"/>
        </w:rPr>
        <w:t>Y</w:t>
      </w:r>
      <w:r>
        <w:rPr>
          <w:lang w:val="en-US"/>
        </w:rPr>
        <w:t>ear 1 survey analysis.</w:t>
      </w:r>
    </w:p>
  </w:footnote>
  <w:footnote w:id="88">
    <w:p w14:paraId="517C896F" w14:textId="32720AFD" w:rsidR="00C146E8" w:rsidRPr="003709F4" w:rsidRDefault="00C146E8" w:rsidP="00C146E8">
      <w:pPr>
        <w:pStyle w:val="FootnoteText"/>
      </w:pPr>
      <w:r>
        <w:rPr>
          <w:rStyle w:val="FootnoteReference"/>
        </w:rPr>
        <w:footnoteRef/>
      </w:r>
      <w:r>
        <w:t xml:space="preserve"> Usually, </w:t>
      </w:r>
      <w:proofErr w:type="spellStart"/>
      <w:proofErr w:type="gramStart"/>
      <w:r>
        <w:t>DiD</w:t>
      </w:r>
      <w:proofErr w:type="spellEnd"/>
      <w:proofErr w:type="gramEnd"/>
      <w:r>
        <w:t xml:space="preserve"> models would also include a variable </w:t>
      </w:r>
      <w:r w:rsidRPr="00F55D0E">
        <w:t xml:space="preserve">indicating whether </w:t>
      </w:r>
      <w:r>
        <w:t xml:space="preserve">businesses </w:t>
      </w:r>
      <w:r w:rsidRPr="00F55D0E">
        <w:t xml:space="preserve">are </w:t>
      </w:r>
      <w:r>
        <w:t>borrowers</w:t>
      </w:r>
      <w:r w:rsidRPr="00F55D0E">
        <w:t xml:space="preserve"> </w:t>
      </w:r>
      <w:r>
        <w:t xml:space="preserve">– this would </w:t>
      </w:r>
      <w:r w:rsidRPr="00F55D0E">
        <w:t xml:space="preserve">denote the estimate of pre-intervention differences between </w:t>
      </w:r>
      <w:r>
        <w:t>borrowers</w:t>
      </w:r>
      <w:r w:rsidRPr="00F55D0E">
        <w:t xml:space="preserve"> and non-</w:t>
      </w:r>
      <w:r>
        <w:t xml:space="preserve">borrowers. However, these </w:t>
      </w:r>
      <w:r w:rsidRPr="00EC0454">
        <w:t>differences are accounted for by the business-level fixed effects, so it is not included in the estimation. See</w:t>
      </w:r>
      <w:r w:rsidR="004521DE" w:rsidRPr="00EC0454">
        <w:t xml:space="preserve"> </w:t>
      </w:r>
      <w:r w:rsidR="00EE59E7">
        <w:fldChar w:fldCharType="begin"/>
      </w:r>
      <w:r w:rsidR="00EE59E7">
        <w:instrText xml:space="preserve"> REF _Ref126237143 \h </w:instrText>
      </w:r>
      <w:r w:rsidR="00EE59E7">
        <w:fldChar w:fldCharType="separate"/>
      </w:r>
      <w:r w:rsidR="00EE59E7" w:rsidRPr="00490C53">
        <w:t xml:space="preserve">Annex </w:t>
      </w:r>
      <w:r w:rsidR="00EE59E7">
        <w:t>4</w:t>
      </w:r>
      <w:r w:rsidR="00EE59E7">
        <w:fldChar w:fldCharType="end"/>
      </w:r>
      <w:r w:rsidRPr="00EC0454">
        <w:t xml:space="preserve"> for further details on </w:t>
      </w:r>
      <w:r w:rsidR="005E0A80">
        <w:t xml:space="preserve">business-level </w:t>
      </w:r>
      <w:r w:rsidRPr="00EC0454">
        <w:t>fixed effects.</w:t>
      </w:r>
    </w:p>
  </w:footnote>
  <w:footnote w:id="89">
    <w:p w14:paraId="31B14583" w14:textId="0F1FB63D" w:rsidR="00C146E8" w:rsidRPr="0029144C" w:rsidRDefault="00C146E8" w:rsidP="00C146E8">
      <w:pPr>
        <w:pStyle w:val="FootnoteText"/>
        <w:rPr>
          <w:lang w:val="en-US"/>
        </w:rPr>
      </w:pPr>
      <w:r>
        <w:rPr>
          <w:rStyle w:val="FootnoteReference"/>
        </w:rPr>
        <w:footnoteRef/>
      </w:r>
      <w:r>
        <w:t xml:space="preserve"> </w:t>
      </w:r>
      <w:r>
        <w:rPr>
          <w:lang w:val="en-US"/>
        </w:rPr>
        <w:t>Other support could have included business grants funded by the UK or any devolved government; business rates holidays, or HMRC Time to Pay</w:t>
      </w:r>
      <w:r w:rsidR="000A1A8C">
        <w:rPr>
          <w:lang w:val="en-US"/>
        </w:rPr>
        <w:t xml:space="preserve"> (among others)</w:t>
      </w:r>
      <w:r>
        <w:rPr>
          <w:lang w:val="en-US"/>
        </w:rPr>
        <w:t>.</w:t>
      </w:r>
    </w:p>
  </w:footnote>
  <w:footnote w:id="90">
    <w:p w14:paraId="78C4726D" w14:textId="77777777" w:rsidR="00C146E8" w:rsidRPr="00554C63" w:rsidRDefault="00C146E8" w:rsidP="00C146E8">
      <w:pPr>
        <w:pStyle w:val="FootnoteText"/>
        <w:rPr>
          <w:lang w:val="en-US"/>
        </w:rPr>
      </w:pPr>
      <w:r>
        <w:rPr>
          <w:rStyle w:val="FootnoteReference"/>
        </w:rPr>
        <w:footnoteRef/>
      </w:r>
      <w:r>
        <w:t xml:space="preserve"> In other words, the hypothesis that the gap between borrowers and non-borrowers did not change after the introduction of the </w:t>
      </w:r>
      <w:r>
        <w:rPr>
          <w:rFonts w:cstheme="minorHAnsi"/>
          <w:szCs w:val="24"/>
        </w:rPr>
        <w:t>Covid-19</w:t>
      </w:r>
      <w:r w:rsidRPr="00FE4FBA">
        <w:rPr>
          <w:rFonts w:cstheme="minorHAnsi"/>
          <w:szCs w:val="24"/>
        </w:rPr>
        <w:t xml:space="preserve"> Loan Guarantee Scheme</w:t>
      </w:r>
      <w:r>
        <w:rPr>
          <w:rFonts w:cstheme="minorHAnsi"/>
          <w:szCs w:val="24"/>
        </w:rPr>
        <w:t xml:space="preserve"> </w:t>
      </w:r>
      <w:r>
        <w:t xml:space="preserve">can be rejected with sufficient confidence. In this case, </w:t>
      </w:r>
      <w:r w:rsidRPr="002F55F1">
        <w:t xml:space="preserve">a ‘sufficient’ level of confidence </w:t>
      </w:r>
      <w:r>
        <w:t>is indicated by the fact that, with</w:t>
      </w:r>
      <w:r w:rsidRPr="002F55F1">
        <w:t xml:space="preserve"> 9</w:t>
      </w:r>
      <w:r>
        <w:t>9</w:t>
      </w:r>
      <w:r w:rsidRPr="002F55F1">
        <w:t>% probability</w:t>
      </w:r>
      <w:r>
        <w:t>,</w:t>
      </w:r>
      <w:r w:rsidRPr="002F55F1">
        <w:t xml:space="preserve"> the coefficient estimates are not different from zero simply due to chance.</w:t>
      </w:r>
    </w:p>
  </w:footnote>
  <w:footnote w:id="91">
    <w:p w14:paraId="2DF61343" w14:textId="77777777" w:rsidR="00C146E8" w:rsidRPr="00EC0454" w:rsidRDefault="00C146E8" w:rsidP="00C146E8">
      <w:pPr>
        <w:pStyle w:val="FootnoteText"/>
        <w:rPr>
          <w:lang w:val="en-US"/>
        </w:rPr>
      </w:pPr>
      <w:r>
        <w:rPr>
          <w:rStyle w:val="FootnoteReference"/>
        </w:rPr>
        <w:footnoteRef/>
      </w:r>
      <w:r>
        <w:t xml:space="preserve"> </w:t>
      </w:r>
      <w:r>
        <w:rPr>
          <w:lang w:val="en-US"/>
        </w:rPr>
        <w:t xml:space="preserve">Propensity score matching is used to ensure that the characteristics of borrowers and non-borrowers in the sample are similar, but this is not done for CJRS users and </w:t>
      </w:r>
      <w:r>
        <w:t xml:space="preserve">businesses </w:t>
      </w:r>
      <w:r>
        <w:rPr>
          <w:lang w:val="en-US"/>
        </w:rPr>
        <w:t xml:space="preserve">that did not use CJRS. As a result, the CJRS </w:t>
      </w:r>
      <w:r w:rsidRPr="00EC0454">
        <w:rPr>
          <w:lang w:val="en-US"/>
        </w:rPr>
        <w:t>coefficient should not be interpreted causally.</w:t>
      </w:r>
    </w:p>
  </w:footnote>
  <w:footnote w:id="92">
    <w:p w14:paraId="2FCA935F" w14:textId="704CEFBC" w:rsidR="00066986" w:rsidRDefault="00066986">
      <w:pPr>
        <w:pStyle w:val="FootnoteText"/>
      </w:pPr>
      <w:r>
        <w:rPr>
          <w:rStyle w:val="FootnoteReference"/>
        </w:rPr>
        <w:footnoteRef/>
      </w:r>
      <w:r>
        <w:t xml:space="preserve"> </w:t>
      </w:r>
      <w:r w:rsidR="00A027BE">
        <w:t xml:space="preserve">See </w:t>
      </w:r>
      <w:r w:rsidR="00A027BE">
        <w:fldChar w:fldCharType="begin"/>
      </w:r>
      <w:r w:rsidR="00A027BE">
        <w:instrText xml:space="preserve"> REF _Ref126237143 \h </w:instrText>
      </w:r>
      <w:r w:rsidR="00A027BE">
        <w:fldChar w:fldCharType="separate"/>
      </w:r>
      <w:r w:rsidR="00A027BE" w:rsidRPr="00490C53">
        <w:t xml:space="preserve">Annex </w:t>
      </w:r>
      <w:r w:rsidR="00A027BE">
        <w:t>4</w:t>
      </w:r>
      <w:r w:rsidR="00A027BE">
        <w:fldChar w:fldCharType="end"/>
      </w:r>
      <w:r w:rsidR="00A027BE">
        <w:t xml:space="preserve">. </w:t>
      </w:r>
      <w:r>
        <w:rPr>
          <w:lang w:val="en-US"/>
        </w:rPr>
        <w:t xml:space="preserve">Given that the dependent variable is expressed in logarithmic form, the percentage change in turnover associated with the variable “Used CJRS in 2020”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Pr>
          <w:rFonts w:eastAsiaTheme="minorEastAsia"/>
          <w:lang w:val="en-US"/>
        </w:rPr>
        <w:t xml:space="preserve">, where </w:t>
      </w:r>
      <m:oMath>
        <m:r>
          <w:rPr>
            <w:rFonts w:ascii="Cambria Math" w:hAnsi="Cambria Math"/>
          </w:rPr>
          <m:t>λ</m:t>
        </m:r>
      </m:oMath>
      <w:r>
        <w:rPr>
          <w:rFonts w:eastAsiaTheme="minorEastAsia"/>
          <w:lang w:val="en-US"/>
        </w:rPr>
        <w:t xml:space="preserve"> is the regression coefficient of that variable. </w:t>
      </w:r>
    </w:p>
  </w:footnote>
  <w:footnote w:id="93">
    <w:p w14:paraId="2D71174F" w14:textId="5C1C5184" w:rsidR="00456F64" w:rsidRPr="002D323B" w:rsidRDefault="00456F64">
      <w:pPr>
        <w:pStyle w:val="FootnoteText"/>
        <w:rPr>
          <w:lang w:val="en-US"/>
        </w:rPr>
      </w:pPr>
      <w:r>
        <w:rPr>
          <w:rStyle w:val="FootnoteReference"/>
        </w:rPr>
        <w:footnoteRef/>
      </w:r>
      <w:r>
        <w:t xml:space="preserve"> </w:t>
      </w:r>
      <w:r>
        <w:rPr>
          <w:lang w:val="en-US"/>
        </w:rPr>
        <w:t xml:space="preserve">This analysis involved introducing interaction terms between the characteristics (sector, region) and the </w:t>
      </w:r>
      <w:r w:rsidR="00060C28">
        <w:rPr>
          <w:lang w:val="en-US"/>
        </w:rPr>
        <w:t xml:space="preserve">explanatory </w:t>
      </w:r>
      <w:r>
        <w:rPr>
          <w:lang w:val="en-US"/>
        </w:rPr>
        <w:t xml:space="preserve">variables of interest. </w:t>
      </w:r>
    </w:p>
  </w:footnote>
  <w:footnote w:id="94">
    <w:p w14:paraId="2B47559B" w14:textId="529DCCF6" w:rsidR="00656E0A" w:rsidRPr="00E547ED" w:rsidRDefault="00656E0A" w:rsidP="00656E0A">
      <w:pPr>
        <w:pStyle w:val="FootnoteText"/>
        <w:rPr>
          <w:lang w:val="en-US"/>
        </w:rPr>
      </w:pPr>
      <w:r w:rsidRPr="00EC0454">
        <w:rPr>
          <w:rStyle w:val="FootnoteReference"/>
        </w:rPr>
        <w:footnoteRef/>
      </w:r>
      <w:r w:rsidRPr="00EC0454">
        <w:t xml:space="preserve"> As reported in </w:t>
      </w:r>
      <w:r w:rsidR="00EE59E7">
        <w:fldChar w:fldCharType="begin"/>
      </w:r>
      <w:r w:rsidR="00EE59E7">
        <w:instrText xml:space="preserve"> REF _Ref126237143 \h </w:instrText>
      </w:r>
      <w:r w:rsidR="00EE59E7">
        <w:fldChar w:fldCharType="separate"/>
      </w:r>
      <w:r w:rsidR="00EE59E7" w:rsidRPr="00490C53">
        <w:t xml:space="preserve">Annex </w:t>
      </w:r>
      <w:r w:rsidR="00EE59E7">
        <w:t>4</w:t>
      </w:r>
      <w:r w:rsidR="00EE59E7">
        <w:fldChar w:fldCharType="end"/>
      </w:r>
      <w:r w:rsidRPr="00EC0454">
        <w:t xml:space="preserve">, </w:t>
      </w:r>
      <w:r w:rsidR="009F2BB0" w:rsidRPr="00EC0454">
        <w:t>s</w:t>
      </w:r>
      <w:r w:rsidR="009F2BB0">
        <w:t xml:space="preserve">ome of these coefficients listed as </w:t>
      </w:r>
      <w:r w:rsidR="00654A51">
        <w:t xml:space="preserve">insignificant </w:t>
      </w:r>
      <w:r w:rsidR="009F2BB0">
        <w:t>are</w:t>
      </w:r>
      <w:r w:rsidR="00D972C7">
        <w:t xml:space="preserve"> statistically significant </w:t>
      </w:r>
      <w:r w:rsidRPr="000B6690">
        <w:t>at conventional levels (</w:t>
      </w:r>
      <w:proofErr w:type="gramStart"/>
      <w:r w:rsidRPr="000B6690">
        <w:t>i.e.</w:t>
      </w:r>
      <w:proofErr w:type="gramEnd"/>
      <w:r w:rsidRPr="000B6690">
        <w:t xml:space="preserve"> 10% or lower). However, to account for multiple hypothesis testing, coefficients reported in the main text are significant based on a lower threshold – namely 10%, divided by the number of hypotheses being tested</w:t>
      </w:r>
      <w:r>
        <w:t xml:space="preserve"> (</w:t>
      </w:r>
      <w:r w:rsidRPr="007B7FC0">
        <w:t>Bonferroni correction</w:t>
      </w:r>
      <w:r>
        <w:t>)</w:t>
      </w:r>
      <w:r w:rsidRPr="000B6690">
        <w:t>. In the regressions exploring impacts by sector</w:t>
      </w:r>
      <w:r w:rsidR="00D972C7">
        <w:t xml:space="preserve"> and</w:t>
      </w:r>
      <w:r w:rsidRPr="000B6690">
        <w:t xml:space="preserve"> region,</w:t>
      </w:r>
      <w:r w:rsidR="00D972C7">
        <w:t xml:space="preserve"> </w:t>
      </w:r>
      <w:r w:rsidRPr="000B6690">
        <w:t>the thresholds for reporting are respectively 2%</w:t>
      </w:r>
      <w:r w:rsidR="00D972C7">
        <w:t xml:space="preserve"> and</w:t>
      </w:r>
      <w:r w:rsidRPr="000B6690">
        <w:t xml:space="preserve"> 1.4%. </w:t>
      </w:r>
    </w:p>
  </w:footnote>
  <w:footnote w:id="95">
    <w:p w14:paraId="544DB35A" w14:textId="77777777" w:rsidR="00C146E8" w:rsidRPr="00554C63" w:rsidRDefault="00C146E8" w:rsidP="00C146E8">
      <w:pPr>
        <w:pStyle w:val="FootnoteText"/>
        <w:rPr>
          <w:lang w:val="en-US"/>
        </w:rPr>
      </w:pPr>
      <w:r>
        <w:rPr>
          <w:rStyle w:val="FootnoteReference"/>
        </w:rPr>
        <w:footnoteRef/>
      </w:r>
      <w:r>
        <w:t xml:space="preserve"> In other words, the hypothesis that the gap between borrowers and non-borrowers did not change after the introduction of the </w:t>
      </w:r>
      <w:r>
        <w:rPr>
          <w:rFonts w:cstheme="minorHAnsi"/>
          <w:szCs w:val="24"/>
        </w:rPr>
        <w:t>Covid-19</w:t>
      </w:r>
      <w:r w:rsidRPr="00FE4FBA">
        <w:rPr>
          <w:rFonts w:cstheme="minorHAnsi"/>
          <w:szCs w:val="24"/>
        </w:rPr>
        <w:t xml:space="preserve"> Loan Guarantee Scheme</w:t>
      </w:r>
      <w:r>
        <w:rPr>
          <w:rFonts w:cstheme="minorHAnsi"/>
          <w:szCs w:val="24"/>
        </w:rPr>
        <w:t xml:space="preserve"> </w:t>
      </w:r>
      <w:r>
        <w:t xml:space="preserve">can be rejected with sufficient </w:t>
      </w:r>
      <w:r w:rsidRPr="002F55F1">
        <w:t>confidence.</w:t>
      </w:r>
      <w:r>
        <w:t xml:space="preserve"> In this case, </w:t>
      </w:r>
      <w:r w:rsidRPr="002F55F1">
        <w:t xml:space="preserve">a ‘sufficient’ level of confidence </w:t>
      </w:r>
      <w:r>
        <w:t>is indicated by the fact that, with</w:t>
      </w:r>
      <w:r w:rsidRPr="002F55F1">
        <w:t xml:space="preserve"> 9</w:t>
      </w:r>
      <w:r>
        <w:t>9</w:t>
      </w:r>
      <w:r w:rsidRPr="002F55F1">
        <w:t>% probability</w:t>
      </w:r>
      <w:r>
        <w:t>,</w:t>
      </w:r>
      <w:r w:rsidRPr="002F55F1">
        <w:t xml:space="preserve"> the coefficient estimates are not different from zero simply due to chance.</w:t>
      </w:r>
    </w:p>
  </w:footnote>
  <w:footnote w:id="96">
    <w:p w14:paraId="2D6378B7" w14:textId="322B2C79" w:rsidR="009310A8" w:rsidRPr="009310A8" w:rsidRDefault="009310A8">
      <w:pPr>
        <w:pStyle w:val="FootnoteText"/>
      </w:pPr>
      <w:r>
        <w:rPr>
          <w:rStyle w:val="FootnoteReference"/>
        </w:rPr>
        <w:footnoteRef/>
      </w:r>
      <w:r>
        <w:t xml:space="preserve"> See </w:t>
      </w:r>
      <w:r>
        <w:fldChar w:fldCharType="begin"/>
      </w:r>
      <w:r>
        <w:instrText xml:space="preserve"> REF _Ref126237143 \h </w:instrText>
      </w:r>
      <w:r>
        <w:fldChar w:fldCharType="separate"/>
      </w:r>
      <w:r w:rsidRPr="00490C53">
        <w:t xml:space="preserve">Annex </w:t>
      </w:r>
      <w:r>
        <w:t>4</w:t>
      </w:r>
      <w:r>
        <w:fldChar w:fldCharType="end"/>
      </w:r>
      <w:r>
        <w:t xml:space="preserve">. </w:t>
      </w:r>
      <w:r>
        <w:rPr>
          <w:lang w:val="en-US"/>
        </w:rPr>
        <w:t xml:space="preserve">Given that the dependent variable is expressed in logarithmic form, the percentage change in turnover associated with the variable “Used CJRS in 2020”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Pr>
          <w:rFonts w:eastAsiaTheme="minorEastAsia"/>
          <w:lang w:val="en-US"/>
        </w:rPr>
        <w:t xml:space="preserve">, where </w:t>
      </w:r>
      <m:oMath>
        <m:r>
          <w:rPr>
            <w:rFonts w:ascii="Cambria Math" w:hAnsi="Cambria Math"/>
          </w:rPr>
          <m:t>λ</m:t>
        </m:r>
      </m:oMath>
      <w:r>
        <w:rPr>
          <w:rFonts w:eastAsiaTheme="minorEastAsia"/>
          <w:lang w:val="en-US"/>
        </w:rPr>
        <w:t xml:space="preserve"> is the regression coefficient of that variable. </w:t>
      </w:r>
    </w:p>
  </w:footnote>
  <w:footnote w:id="97">
    <w:p w14:paraId="6F74FE2D" w14:textId="0ACCEA23" w:rsidR="00CE050F" w:rsidRPr="00E547ED" w:rsidRDefault="00CE050F" w:rsidP="00CE050F">
      <w:pPr>
        <w:pStyle w:val="FootnoteText"/>
        <w:rPr>
          <w:lang w:val="en-US"/>
        </w:rPr>
      </w:pPr>
      <w:r>
        <w:rPr>
          <w:rStyle w:val="FootnoteReference"/>
        </w:rPr>
        <w:footnoteRef/>
      </w:r>
      <w:r>
        <w:t xml:space="preserve"> </w:t>
      </w:r>
      <w:r w:rsidRPr="000B6690">
        <w:t xml:space="preserve">As reported in </w:t>
      </w:r>
      <w:r w:rsidR="00EE59E7">
        <w:fldChar w:fldCharType="begin"/>
      </w:r>
      <w:r w:rsidR="00EE59E7">
        <w:instrText xml:space="preserve"> REF _Ref126237143 \h </w:instrText>
      </w:r>
      <w:r w:rsidR="00EE59E7">
        <w:fldChar w:fldCharType="separate"/>
      </w:r>
      <w:r w:rsidR="00EE59E7" w:rsidRPr="00490C53">
        <w:t xml:space="preserve">Annex </w:t>
      </w:r>
      <w:r w:rsidR="00EE59E7">
        <w:t>4</w:t>
      </w:r>
      <w:r w:rsidR="00EE59E7">
        <w:fldChar w:fldCharType="end"/>
      </w:r>
      <w:r w:rsidRPr="00EC0454">
        <w:t xml:space="preserve">, </w:t>
      </w:r>
      <w:r w:rsidR="00654A51" w:rsidRPr="00EC0454">
        <w:t>some</w:t>
      </w:r>
      <w:r w:rsidR="00654A51">
        <w:t xml:space="preserve"> of these coefficients listed as insignificant are </w:t>
      </w:r>
      <w:r>
        <w:t xml:space="preserve">statistically significant </w:t>
      </w:r>
      <w:r w:rsidRPr="000B6690">
        <w:t>at conventional levels (</w:t>
      </w:r>
      <w:proofErr w:type="gramStart"/>
      <w:r w:rsidRPr="000B6690">
        <w:t>i.e.</w:t>
      </w:r>
      <w:proofErr w:type="gramEnd"/>
      <w:r w:rsidRPr="000B6690">
        <w:t xml:space="preserve"> 10% or lower). However, to account for multiple hypothesis testing, coefficients reported in the main text are significant based on a lower threshold – namely 10%, divided by the number of hypotheses being tested</w:t>
      </w:r>
      <w:r>
        <w:t xml:space="preserve"> (</w:t>
      </w:r>
      <w:r w:rsidRPr="007B7FC0">
        <w:t>Bonferroni correction</w:t>
      </w:r>
      <w:r>
        <w:t>)</w:t>
      </w:r>
      <w:r w:rsidRPr="000B6690">
        <w:t>. In the regressions exploring impacts by sector</w:t>
      </w:r>
      <w:r>
        <w:t xml:space="preserve"> and</w:t>
      </w:r>
      <w:r w:rsidRPr="000B6690">
        <w:t xml:space="preserve"> region,</w:t>
      </w:r>
      <w:r>
        <w:t xml:space="preserve"> </w:t>
      </w:r>
      <w:r w:rsidRPr="000B6690">
        <w:t>the thresholds for reporting are respectively 2%</w:t>
      </w:r>
      <w:r>
        <w:t xml:space="preserve"> and</w:t>
      </w:r>
      <w:r w:rsidRPr="000B6690">
        <w:t xml:space="preserve"> 1.4%. </w:t>
      </w:r>
    </w:p>
  </w:footnote>
  <w:footnote w:id="98">
    <w:p w14:paraId="63E33205" w14:textId="6A4D3AE9" w:rsidR="006E7508" w:rsidRDefault="006E7508">
      <w:pPr>
        <w:pStyle w:val="FootnoteText"/>
      </w:pPr>
      <w:r>
        <w:rPr>
          <w:rStyle w:val="FootnoteReference"/>
        </w:rPr>
        <w:footnoteRef/>
      </w:r>
      <w:r>
        <w:t xml:space="preserve"> For </w:t>
      </w:r>
      <w:r w:rsidR="00A63CB2">
        <w:t>further details of</w:t>
      </w:r>
      <w:r>
        <w:t xml:space="preserve"> th</w:t>
      </w:r>
      <w:r w:rsidRPr="00EC0454">
        <w:t xml:space="preserve">e methodology, see </w:t>
      </w:r>
      <w:r w:rsidR="00EE59E7">
        <w:fldChar w:fldCharType="begin"/>
      </w:r>
      <w:r w:rsidR="00EE59E7">
        <w:instrText xml:space="preserve"> REF _Ref126237143 \h </w:instrText>
      </w:r>
      <w:r w:rsidR="00EE59E7">
        <w:fldChar w:fldCharType="separate"/>
      </w:r>
      <w:r w:rsidR="00EE59E7" w:rsidRPr="00490C53">
        <w:t xml:space="preserve">Annex </w:t>
      </w:r>
      <w:r w:rsidR="00EE59E7">
        <w:t>4</w:t>
      </w:r>
      <w:r w:rsidR="00EE59E7">
        <w:fldChar w:fldCharType="end"/>
      </w:r>
      <w:r w:rsidR="00384FC4" w:rsidRPr="00EC0454">
        <w:t>.</w:t>
      </w:r>
    </w:p>
  </w:footnote>
  <w:footnote w:id="99">
    <w:p w14:paraId="4C0696F6" w14:textId="09A18923" w:rsidR="00815E92" w:rsidRPr="002D323B" w:rsidRDefault="00815E92">
      <w:pPr>
        <w:pStyle w:val="FootnoteText"/>
        <w:rPr>
          <w:lang w:val="en-US"/>
        </w:rPr>
      </w:pPr>
      <w:r>
        <w:rPr>
          <w:rStyle w:val="FootnoteReference"/>
        </w:rPr>
        <w:footnoteRef/>
      </w:r>
      <w:r>
        <w:t xml:space="preserve"> I</w:t>
      </w:r>
      <w:r w:rsidRPr="00815E92">
        <w:t>t should be noted that, due to the way that employment is reported in the IDBR (</w:t>
      </w:r>
      <w:r w:rsidR="00994BE7">
        <w:t xml:space="preserve">for example </w:t>
      </w:r>
      <w:r w:rsidRPr="00815E92">
        <w:t xml:space="preserve">when based on PAYE, employment is usually the average of the latest four quarters of returns), a business that </w:t>
      </w:r>
      <w:r w:rsidR="004550ED">
        <w:t>permanently closed</w:t>
      </w:r>
      <w:r w:rsidR="004550ED" w:rsidRPr="00815E92">
        <w:t xml:space="preserve"> </w:t>
      </w:r>
      <w:r w:rsidRPr="00815E92">
        <w:t xml:space="preserve">in </w:t>
      </w:r>
      <w:r w:rsidR="006D4172">
        <w:t>the first year of the pandemic</w:t>
      </w:r>
      <w:r w:rsidR="006D4172" w:rsidRPr="00815E92">
        <w:t xml:space="preserve"> </w:t>
      </w:r>
      <w:r w:rsidR="000134FB">
        <w:t>may</w:t>
      </w:r>
      <w:r w:rsidRPr="00815E92">
        <w:t xml:space="preserve"> show positive employment. Therefore, the impact of avoided business </w:t>
      </w:r>
      <w:r w:rsidR="004550ED">
        <w:t>closure</w:t>
      </w:r>
      <w:r w:rsidR="004550ED" w:rsidRPr="00815E92">
        <w:t xml:space="preserve"> </w:t>
      </w:r>
      <w:r w:rsidRPr="00815E92">
        <w:t>on jobs as captured in this econometric analysis is unlikely to be fully captured</w:t>
      </w:r>
      <w:r w:rsidR="00690CC8">
        <w:t xml:space="preserve"> (as control businesses that </w:t>
      </w:r>
      <w:r w:rsidR="004550ED">
        <w:t xml:space="preserve">permanently closed </w:t>
      </w:r>
      <w:r w:rsidR="00690CC8">
        <w:t xml:space="preserve">in </w:t>
      </w:r>
      <w:r w:rsidR="006D4172">
        <w:t xml:space="preserve">the first year of the pandemic </w:t>
      </w:r>
      <w:r w:rsidR="00690CC8">
        <w:t xml:space="preserve">– against which treated businesses are compared – </w:t>
      </w:r>
      <w:r w:rsidR="000134FB">
        <w:t>may</w:t>
      </w:r>
      <w:r w:rsidR="00690CC8">
        <w:t xml:space="preserve"> show positive employment in </w:t>
      </w:r>
      <w:r w:rsidR="006D4172">
        <w:t>the first year of the pandemic</w:t>
      </w:r>
      <w:r w:rsidR="00690CC8">
        <w:t>)</w:t>
      </w:r>
      <w:r w:rsidRPr="00815E92">
        <w:t>.</w:t>
      </w:r>
      <w:r w:rsidR="000447D5">
        <w:t xml:space="preserve"> </w:t>
      </w:r>
    </w:p>
  </w:footnote>
  <w:footnote w:id="100">
    <w:p w14:paraId="139A5B90" w14:textId="77777777" w:rsidR="005A5851" w:rsidRPr="00554C63" w:rsidRDefault="005A5851" w:rsidP="005A5851">
      <w:pPr>
        <w:pStyle w:val="FootnoteText"/>
        <w:rPr>
          <w:lang w:val="en-US"/>
        </w:rPr>
      </w:pPr>
      <w:r>
        <w:rPr>
          <w:rStyle w:val="FootnoteReference"/>
        </w:rPr>
        <w:footnoteRef/>
      </w:r>
      <w:r>
        <w:t xml:space="preserve"> In other words, the hypothesis that the gap between borrowers and non-borrowers did not change after the introduction of the </w:t>
      </w:r>
      <w:r>
        <w:rPr>
          <w:rFonts w:cstheme="minorHAnsi"/>
          <w:szCs w:val="24"/>
        </w:rPr>
        <w:t>Covid-19</w:t>
      </w:r>
      <w:r w:rsidRPr="00FE4FBA">
        <w:rPr>
          <w:rFonts w:cstheme="minorHAnsi"/>
          <w:szCs w:val="24"/>
        </w:rPr>
        <w:t xml:space="preserve"> Loan Guarantee Scheme</w:t>
      </w:r>
      <w:r>
        <w:rPr>
          <w:rFonts w:cstheme="minorHAnsi"/>
          <w:szCs w:val="24"/>
        </w:rPr>
        <w:t xml:space="preserve"> </w:t>
      </w:r>
      <w:r>
        <w:t xml:space="preserve">can be rejected with sufficient </w:t>
      </w:r>
      <w:r w:rsidRPr="002F55F1">
        <w:t>confidence.</w:t>
      </w:r>
      <w:r>
        <w:t xml:space="preserve"> In this case, </w:t>
      </w:r>
      <w:r w:rsidRPr="002F55F1">
        <w:t xml:space="preserve">a ‘sufficient’ level of confidence </w:t>
      </w:r>
      <w:r>
        <w:t>is indicated by the fact that, with</w:t>
      </w:r>
      <w:r w:rsidRPr="002F55F1">
        <w:t xml:space="preserve"> 9</w:t>
      </w:r>
      <w:r>
        <w:t>9</w:t>
      </w:r>
      <w:r w:rsidRPr="002F55F1">
        <w:t>% probability</w:t>
      </w:r>
      <w:r>
        <w:t>,</w:t>
      </w:r>
      <w:r w:rsidRPr="002F55F1">
        <w:t xml:space="preserve"> the coefficient estimates are not different from zero simply due to chance.</w:t>
      </w:r>
    </w:p>
  </w:footnote>
  <w:footnote w:id="101">
    <w:p w14:paraId="23B75956" w14:textId="77777777" w:rsidR="005A5851" w:rsidRPr="00373904" w:rsidRDefault="005A5851" w:rsidP="005A5851">
      <w:pPr>
        <w:pStyle w:val="FootnoteText"/>
        <w:rPr>
          <w:lang w:val="en-US"/>
        </w:rPr>
      </w:pPr>
      <w:r>
        <w:rPr>
          <w:rStyle w:val="FootnoteReference"/>
        </w:rPr>
        <w:footnoteRef/>
      </w:r>
      <w:r>
        <w:t xml:space="preserve"> </w:t>
      </w:r>
      <w:r>
        <w:rPr>
          <w:lang w:val="en-US"/>
        </w:rPr>
        <w:t xml:space="preserve">Given that the dependent variable is expressed in logarithmic form, the percentage change in turnover associated with the variable “Borrower, post-intervention”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Pr>
          <w:rFonts w:eastAsiaTheme="minorEastAsia"/>
          <w:lang w:val="en-US"/>
        </w:rPr>
        <w:t xml:space="preserve">, where </w:t>
      </w:r>
      <m:oMath>
        <m:r>
          <w:rPr>
            <w:rFonts w:ascii="Cambria Math" w:hAnsi="Cambria Math"/>
          </w:rPr>
          <m:t>λ</m:t>
        </m:r>
      </m:oMath>
      <w:r>
        <w:rPr>
          <w:rFonts w:eastAsiaTheme="minorEastAsia"/>
          <w:lang w:val="en-US"/>
        </w:rPr>
        <w:t xml:space="preserve"> is the regression coefficient of that variable. </w:t>
      </w:r>
    </w:p>
  </w:footnote>
  <w:footnote w:id="102">
    <w:p w14:paraId="4B778977" w14:textId="7DB451F2" w:rsidR="00A6769C" w:rsidRPr="00870221" w:rsidRDefault="00A6769C" w:rsidP="00A6769C">
      <w:pPr>
        <w:pStyle w:val="FootnoteText"/>
        <w:rPr>
          <w:lang w:val="en-US"/>
        </w:rPr>
      </w:pPr>
      <w:r>
        <w:rPr>
          <w:rStyle w:val="FootnoteReference"/>
        </w:rPr>
        <w:footnoteRef/>
      </w:r>
      <w:r>
        <w:t xml:space="preserve"> </w:t>
      </w:r>
      <w:r w:rsidRPr="000A11A3">
        <w:t>This</w:t>
      </w:r>
      <w:r w:rsidR="001D4089">
        <w:t xml:space="preserve"> estimate </w:t>
      </w:r>
      <w:r w:rsidR="00F37FFA">
        <w:t>must be considered as separate to, rather than additional to</w:t>
      </w:r>
      <w:r w:rsidR="001D4089">
        <w:t xml:space="preserve"> the estimated </w:t>
      </w:r>
      <w:r w:rsidR="00EF77D7">
        <w:t>291</w:t>
      </w:r>
      <w:r w:rsidR="001D4089">
        <w:t xml:space="preserve">,000 pre-pandemic jobs among borrowers that would have </w:t>
      </w:r>
      <w:r w:rsidR="004550ED">
        <w:t xml:space="preserve">permanently closed </w:t>
      </w:r>
      <w:r w:rsidR="006D4172">
        <w:t xml:space="preserve">by March 2021 </w:t>
      </w:r>
      <w:r w:rsidR="001D4089">
        <w:t xml:space="preserve">in the </w:t>
      </w:r>
      <w:r w:rsidR="001D4089" w:rsidRPr="008173B0">
        <w:t>absence of the Covid-19 Loan Guarantee Schemes</w:t>
      </w:r>
      <w:r w:rsidR="001D4089">
        <w:t>.</w:t>
      </w:r>
      <w:r w:rsidR="00F37FFA">
        <w:t xml:space="preserve"> This </w:t>
      </w:r>
      <w:r w:rsidRPr="000A11A3">
        <w:t>calculation is explained in more detail in</w:t>
      </w:r>
      <w:r>
        <w:t xml:space="preserve"> </w:t>
      </w:r>
      <w:r w:rsidR="00EE59E7">
        <w:fldChar w:fldCharType="begin"/>
      </w:r>
      <w:r w:rsidR="00EE59E7">
        <w:instrText xml:space="preserve"> REF _Ref126237143 \h </w:instrText>
      </w:r>
      <w:r w:rsidR="00EE59E7">
        <w:fldChar w:fldCharType="separate"/>
      </w:r>
      <w:r w:rsidR="00EE59E7" w:rsidRPr="00490C53">
        <w:t xml:space="preserve">Annex </w:t>
      </w:r>
      <w:r w:rsidR="00EE59E7">
        <w:t>4</w:t>
      </w:r>
      <w:r w:rsidR="00EE59E7">
        <w:fldChar w:fldCharType="end"/>
      </w:r>
      <w:r>
        <w:t>.</w:t>
      </w:r>
    </w:p>
  </w:footnote>
  <w:footnote w:id="103">
    <w:p w14:paraId="1970584F" w14:textId="6C336359" w:rsidR="0029763C" w:rsidRPr="0029763C" w:rsidRDefault="0029763C">
      <w:pPr>
        <w:pStyle w:val="FootnoteText"/>
      </w:pPr>
      <w:r>
        <w:rPr>
          <w:rStyle w:val="FootnoteReference"/>
        </w:rPr>
        <w:footnoteRef/>
      </w:r>
      <w:r>
        <w:t xml:space="preserve"> It is not possible to </w:t>
      </w:r>
      <w:r w:rsidR="00BC4321">
        <w:t>separately estimate</w:t>
      </w:r>
      <w:r>
        <w:t xml:space="preserve"> (</w:t>
      </w:r>
      <w:r w:rsidR="00BC4321">
        <w:t>a</w:t>
      </w:r>
      <w:r>
        <w:t xml:space="preserve">) job losses prevented due to avoided business </w:t>
      </w:r>
      <w:r w:rsidR="004550ED">
        <w:t>closure</w:t>
      </w:r>
      <w:r w:rsidR="005E3FEC">
        <w:t>s</w:t>
      </w:r>
      <w:r>
        <w:t xml:space="preserve"> and (</w:t>
      </w:r>
      <w:r w:rsidR="00BC4321">
        <w:t>b</w:t>
      </w:r>
      <w:r>
        <w:t xml:space="preserve">) job losses avoided due to surviving businesses having higher employment than in the absence of the schemes. </w:t>
      </w:r>
      <w:r w:rsidR="005E3FEC">
        <w:t>Nevertheless</w:t>
      </w:r>
      <w:r>
        <w:t xml:space="preserve">, this distinction is conceptually useful as it highlights that the schemes affected employment in two different ways. </w:t>
      </w:r>
    </w:p>
  </w:footnote>
  <w:footnote w:id="104">
    <w:p w14:paraId="041E7BE5" w14:textId="4FD7264E" w:rsidR="00C72FE9" w:rsidRDefault="00C72FE9">
      <w:pPr>
        <w:pStyle w:val="FootnoteText"/>
      </w:pPr>
      <w:r>
        <w:rPr>
          <w:rStyle w:val="FootnoteReference"/>
        </w:rPr>
        <w:footnoteRef/>
      </w:r>
      <w:r>
        <w:t xml:space="preserve"> </w:t>
      </w:r>
      <w:r w:rsidRPr="00C72FE9">
        <w:t>Indeed, higher displacement factors are mapped to more competitive outcomes.</w:t>
      </w:r>
    </w:p>
  </w:footnote>
  <w:footnote w:id="105">
    <w:p w14:paraId="1FBBD35D" w14:textId="2F6D61F7" w:rsidR="00DA670B" w:rsidRDefault="00DA670B">
      <w:pPr>
        <w:pStyle w:val="FootnoteText"/>
      </w:pPr>
      <w:r>
        <w:rPr>
          <w:rStyle w:val="FootnoteReference"/>
        </w:rPr>
        <w:footnoteRef/>
      </w:r>
      <w:r>
        <w:t xml:space="preserve"> </w:t>
      </w:r>
      <w:r w:rsidR="00C15CEA" w:rsidRPr="00C15CEA">
        <w:t>The observed measure of market competition is calculated using the Business Structure Database (</w:t>
      </w:r>
      <w:hyperlink r:id="rId9" w:history="1">
        <w:r w:rsidR="00C15CEA" w:rsidRPr="003A2D43">
          <w:rPr>
            <w:rStyle w:val="Hyperlink"/>
          </w:rPr>
          <w:t>https://doi.org/10.57906/7kh0-0910</w:t>
        </w:r>
      </w:hyperlink>
      <w:r w:rsidR="00C15CEA" w:rsidRPr="00C15CEA">
        <w:t>)</w:t>
      </w:r>
      <w:r w:rsidR="00C15CEA">
        <w:t>,</w:t>
      </w:r>
      <w:r w:rsidR="00C15CEA" w:rsidRPr="00C15CEA">
        <w:t xml:space="preserve"> which is published by the ONS.</w:t>
      </w:r>
      <w:r w:rsidR="00C15CEA">
        <w:t xml:space="preserve"> </w:t>
      </w:r>
    </w:p>
  </w:footnote>
  <w:footnote w:id="106">
    <w:p w14:paraId="2EA93E98" w14:textId="5476142A" w:rsidR="002D1FFB" w:rsidRDefault="002D1FFB">
      <w:pPr>
        <w:pStyle w:val="FootnoteText"/>
      </w:pPr>
      <w:r>
        <w:rPr>
          <w:rStyle w:val="FootnoteReference"/>
        </w:rPr>
        <w:footnoteRef/>
      </w:r>
      <w:r>
        <w:t xml:space="preserve"> The alternative measure of product market displacement is presented as a range, which represents different cut-offs chosen when mapping the HHIs to percentage values. Further details are provi</w:t>
      </w:r>
      <w:r w:rsidRPr="00EC0454">
        <w:t xml:space="preserve">ded in </w:t>
      </w:r>
      <w:r w:rsidR="00EE59E7">
        <w:fldChar w:fldCharType="begin"/>
      </w:r>
      <w:r w:rsidR="00EE59E7">
        <w:instrText xml:space="preserve"> REF _Ref126237253 \h </w:instrText>
      </w:r>
      <w:r w:rsidR="00EE59E7">
        <w:fldChar w:fldCharType="separate"/>
      </w:r>
      <w:r w:rsidR="00EE59E7" w:rsidRPr="00490C53">
        <w:t xml:space="preserve">Annex </w:t>
      </w:r>
      <w:r w:rsidR="00EE59E7">
        <w:t>6</w:t>
      </w:r>
      <w:r w:rsidR="00EE59E7">
        <w:fldChar w:fldCharType="end"/>
      </w:r>
      <w:r w:rsidRPr="00EC0454">
        <w:t>.</w:t>
      </w:r>
      <w:r>
        <w:t xml:space="preserve"> </w:t>
      </w:r>
    </w:p>
  </w:footnote>
  <w:footnote w:id="107">
    <w:p w14:paraId="640154F3" w14:textId="4F3BDF34" w:rsidR="000C7BA0" w:rsidRDefault="001203CE" w:rsidP="000C7BA0">
      <w:pPr>
        <w:pStyle w:val="FootnoteText"/>
      </w:pPr>
      <w:r>
        <w:rPr>
          <w:rStyle w:val="FootnoteReference"/>
        </w:rPr>
        <w:footnoteRef/>
      </w:r>
      <w:r>
        <w:t xml:space="preserve"> </w:t>
      </w:r>
      <w:r w:rsidR="000C7BA0">
        <w:t>Any comparisons between the current displacement estimates and that from the EFG evaluation should be</w:t>
      </w:r>
    </w:p>
    <w:p w14:paraId="60BA1ADC" w14:textId="2224DB3A" w:rsidR="001203CE" w:rsidRDefault="000C7BA0" w:rsidP="000C7BA0">
      <w:pPr>
        <w:pStyle w:val="FootnoteText"/>
      </w:pPr>
      <w:r>
        <w:t xml:space="preserve">made with caution, given differences in methodologies, and general economic context. </w:t>
      </w:r>
      <w:r w:rsidR="001203CE" w:rsidRPr="00100765">
        <w:t>London Economics (2017). Economic impact evaluation of the Enterprise Finance Guarantee (EFG) scheme.</w:t>
      </w:r>
    </w:p>
  </w:footnote>
  <w:footnote w:id="108">
    <w:p w14:paraId="6FC8DB6B" w14:textId="67D26E4F" w:rsidR="000C43B6" w:rsidRDefault="000C43B6">
      <w:pPr>
        <w:pStyle w:val="FootnoteText"/>
      </w:pPr>
      <w:r>
        <w:rPr>
          <w:rStyle w:val="FootnoteReference"/>
        </w:rPr>
        <w:footnoteRef/>
      </w:r>
      <w:r>
        <w:t xml:space="preserve"> </w:t>
      </w:r>
      <w:r w:rsidR="00D423D4">
        <w:t>Data from the Business Insights and Conditions Survey (</w:t>
      </w:r>
      <w:hyperlink r:id="rId10" w:history="1">
        <w:r w:rsidR="00D423D4" w:rsidRPr="006D6808">
          <w:rPr>
            <w:rStyle w:val="Hyperlink"/>
          </w:rPr>
          <w:t>https://doi.org/10.57906/rar8-nk26</w:t>
        </w:r>
      </w:hyperlink>
      <w:r w:rsidR="00D423D4">
        <w:t>) were accessed through the Secure Research Service, part of the Office for National Statistics.</w:t>
      </w:r>
    </w:p>
  </w:footnote>
  <w:footnote w:id="109">
    <w:p w14:paraId="0A677732" w14:textId="231E9328" w:rsidR="00671523" w:rsidRPr="00671523" w:rsidRDefault="00671523">
      <w:pPr>
        <w:pStyle w:val="FootnoteText"/>
      </w:pPr>
      <w:r>
        <w:rPr>
          <w:rStyle w:val="FootnoteReference"/>
        </w:rPr>
        <w:footnoteRef/>
      </w:r>
      <w:r>
        <w:t xml:space="preserve"> In this section, borrowers refer to businesses that used a government-backed loan. </w:t>
      </w:r>
    </w:p>
  </w:footnote>
  <w:footnote w:id="110">
    <w:p w14:paraId="60B4975D" w14:textId="52366040" w:rsidR="00C11702" w:rsidRDefault="00C11702">
      <w:pPr>
        <w:pStyle w:val="FootnoteText"/>
      </w:pPr>
      <w:r>
        <w:rPr>
          <w:rStyle w:val="FootnoteReference"/>
        </w:rPr>
        <w:footnoteRef/>
      </w:r>
      <w:r>
        <w:t xml:space="preserve"> Indeed, </w:t>
      </w:r>
      <w:r w:rsidRPr="00C11702">
        <w:t xml:space="preserve">non-borrowers are not selected to be </w:t>
      </w:r>
      <w:proofErr w:type="gramStart"/>
      <w:r w:rsidRPr="00C11702">
        <w:t>similar to</w:t>
      </w:r>
      <w:proofErr w:type="gramEnd"/>
      <w:r w:rsidRPr="00C11702">
        <w:t xml:space="preserve"> borrowers as was done in the IDBR analysis </w:t>
      </w:r>
      <w:r w:rsidR="005C246F">
        <w:t xml:space="preserve">presented </w:t>
      </w:r>
      <w:r>
        <w:t>earlier in the report</w:t>
      </w:r>
      <w:r w:rsidRPr="00C11702">
        <w:t>.</w:t>
      </w:r>
    </w:p>
  </w:footnote>
  <w:footnote w:id="111">
    <w:p w14:paraId="2CDD2C72" w14:textId="77777777" w:rsidR="00CB1D32" w:rsidRPr="008D712F" w:rsidRDefault="00CB1D32" w:rsidP="00CB1D32">
      <w:pPr>
        <w:pStyle w:val="FootnoteText"/>
        <w:rPr>
          <w:lang w:val="en-US"/>
        </w:rPr>
      </w:pPr>
      <w:r w:rsidRPr="00EC0454">
        <w:rPr>
          <w:rStyle w:val="FootnoteReference"/>
        </w:rPr>
        <w:footnoteRef/>
      </w:r>
      <w:r w:rsidRPr="00EC0454">
        <w:t xml:space="preserve"> Questions are generally analysed in this report by taking the average (mean) of the percentage of respondents which answered each response to the question in all waves in which a) the question was asked and b) there is data available on whether the business used a government-backed loan. See </w:t>
      </w:r>
      <w:r>
        <w:fldChar w:fldCharType="begin"/>
      </w:r>
      <w:r>
        <w:instrText xml:space="preserve"> REF _Ref126237085 \h </w:instrText>
      </w:r>
      <w:r>
        <w:fldChar w:fldCharType="separate"/>
      </w:r>
      <w:r w:rsidRPr="00490C53">
        <w:t xml:space="preserve">Annex </w:t>
      </w:r>
      <w:r>
        <w:t>5</w:t>
      </w:r>
      <w:r>
        <w:fldChar w:fldCharType="end"/>
      </w:r>
      <w:r w:rsidRPr="00EC0454">
        <w:t xml:space="preserve"> for further methodological</w:t>
      </w:r>
      <w:r>
        <w:t xml:space="preserve"> information. </w:t>
      </w:r>
    </w:p>
  </w:footnote>
  <w:footnote w:id="112">
    <w:p w14:paraId="5262ABF0" w14:textId="2547E204" w:rsidR="006B7D3D" w:rsidRDefault="006B7D3D">
      <w:pPr>
        <w:pStyle w:val="FootnoteText"/>
      </w:pPr>
      <w:r>
        <w:rPr>
          <w:rStyle w:val="FootnoteReference"/>
        </w:rPr>
        <w:footnoteRef/>
      </w:r>
      <w:r>
        <w:t xml:space="preserve"> </w:t>
      </w:r>
      <w:r w:rsidR="00C876EB">
        <w:t>For instance</w:t>
      </w:r>
      <w:r w:rsidRPr="006B7D3D">
        <w:t>, the difference between the percentage of borrowers and non-borrowers that indicated that government support helped them continue trading could be due to other factors than the use (or not) of government-backed loans. For instance, businesses that did not access government-backed loans may have had a business model less likely to be disrupted by the pandemic, such that government support may not have been as important in helping them continue trading.</w:t>
      </w:r>
    </w:p>
  </w:footnote>
  <w:footnote w:id="113">
    <w:p w14:paraId="10439D5B" w14:textId="1E49B80F" w:rsidR="00995335" w:rsidRDefault="00995335">
      <w:pPr>
        <w:pStyle w:val="FootnoteText"/>
      </w:pPr>
      <w:r>
        <w:rPr>
          <w:rStyle w:val="FootnoteReference"/>
        </w:rPr>
        <w:footnoteRef/>
      </w:r>
      <w:r>
        <w:t xml:space="preserve"> </w:t>
      </w:r>
      <w:r w:rsidR="00665C0D">
        <w:t xml:space="preserve">This </w:t>
      </w:r>
      <w:r w:rsidR="009E724A">
        <w:t xml:space="preserve">statistic refers to </w:t>
      </w:r>
      <w:r w:rsidR="00665C0D">
        <w:t xml:space="preserve">the question </w:t>
      </w:r>
      <w:r w:rsidR="00665C0D" w:rsidRPr="00665C0D">
        <w:t>‘Was your business planning to expand its business before the coronavirus (COVID-19) pandemic?’</w:t>
      </w:r>
      <w:r w:rsidR="009E724A">
        <w:t xml:space="preserve">. It shows the mean of the percentage of respondents which answered </w:t>
      </w:r>
      <w:r w:rsidR="00A5671F">
        <w:t>‘Yes’</w:t>
      </w:r>
      <w:r w:rsidR="009E724A">
        <w:t xml:space="preserve">, taken across waves 12, 13 and 15, which were conducted between and refer to the period between August and October 2020. </w:t>
      </w:r>
      <w:r w:rsidR="00116BFC">
        <w:t xml:space="preserve">Respondents which answered ‘not sure’ are not included in the percentages presented. </w:t>
      </w:r>
    </w:p>
  </w:footnote>
  <w:footnote w:id="114">
    <w:p w14:paraId="55457E56" w14:textId="1516AF67" w:rsidR="001203CE" w:rsidRDefault="001203CE" w:rsidP="001203CE">
      <w:pPr>
        <w:pStyle w:val="FootnoteText"/>
      </w:pPr>
      <w:r>
        <w:rPr>
          <w:rStyle w:val="FootnoteReference"/>
        </w:rPr>
        <w:footnoteRef/>
      </w:r>
      <w:r>
        <w:t xml:space="preserve"> This analysis is based on the question ‘</w:t>
      </w:r>
      <w:r w:rsidRPr="00AB3308">
        <w:t>How does your business's capital expenditure for the last two weeks compare to normal expectations for this time of year?</w:t>
      </w:r>
      <w:r>
        <w:t xml:space="preserve">’, focusing on waves 25 (referring to February 2021) and 48 (referring to December 2021). </w:t>
      </w:r>
      <w:r w:rsidRPr="00AB3308">
        <w:t xml:space="preserve">Respondents which answered ‘not sure’ </w:t>
      </w:r>
      <w:r>
        <w:t xml:space="preserve">or ‘not applicable’ </w:t>
      </w:r>
      <w:r w:rsidRPr="00AB3308">
        <w:t xml:space="preserve">are not included in the percentages presented. </w:t>
      </w:r>
    </w:p>
  </w:footnote>
  <w:footnote w:id="115">
    <w:p w14:paraId="255C8173" w14:textId="5B98A0D1" w:rsidR="00280C0C" w:rsidRDefault="00280C0C">
      <w:pPr>
        <w:pStyle w:val="FootnoteText"/>
      </w:pPr>
      <w:r>
        <w:rPr>
          <w:rStyle w:val="FootnoteReference"/>
        </w:rPr>
        <w:footnoteRef/>
      </w:r>
      <w:r>
        <w:t xml:space="preserve"> </w:t>
      </w:r>
      <w:hyperlink r:id="rId11" w:history="1">
        <w:r w:rsidRPr="00994BE7">
          <w:rPr>
            <w:rStyle w:val="Hyperlink"/>
          </w:rPr>
          <w:t>https://www.bankofengland.co.uk/speech/2021/march/michael-saunders-bank-hosted-speech-supply-and-demand-during-and-after-the-pandemic</w:t>
        </w:r>
      </w:hyperlink>
      <w:r w:rsidR="00994BE7">
        <w:t>.</w:t>
      </w:r>
    </w:p>
  </w:footnote>
  <w:footnote w:id="116">
    <w:p w14:paraId="1759290E" w14:textId="77777777" w:rsidR="00533A25" w:rsidRPr="0021037C" w:rsidRDefault="00533A25" w:rsidP="00533A25">
      <w:pPr>
        <w:pStyle w:val="FootnoteText"/>
        <w:rPr>
          <w:lang w:val="en-US"/>
        </w:rPr>
      </w:pPr>
      <w:r>
        <w:rPr>
          <w:rStyle w:val="FootnoteReference"/>
        </w:rPr>
        <w:footnoteRef/>
      </w:r>
      <w:r>
        <w:t xml:space="preserve"> </w:t>
      </w:r>
      <w:r>
        <w:rPr>
          <w:lang w:val="en-US"/>
        </w:rPr>
        <w:t>This is sample where the number was in a valid format, but which turned out to be wrong numbers, fax numbers or disconnected.</w:t>
      </w:r>
    </w:p>
  </w:footnote>
  <w:footnote w:id="117">
    <w:p w14:paraId="5288AEA3" w14:textId="77777777" w:rsidR="00533A25" w:rsidRPr="0021037C" w:rsidRDefault="00533A25" w:rsidP="00533A25">
      <w:pPr>
        <w:pStyle w:val="FootnoteText"/>
        <w:rPr>
          <w:lang w:val="en-US"/>
        </w:rPr>
      </w:pPr>
      <w:r>
        <w:rPr>
          <w:rStyle w:val="FootnoteReference"/>
        </w:rPr>
        <w:footnoteRef/>
      </w:r>
      <w:r>
        <w:t xml:space="preserve"> </w:t>
      </w:r>
      <w:r>
        <w:rPr>
          <w:lang w:val="en-US"/>
        </w:rPr>
        <w:t>This includes sample where there was communication difficulty making it impossible to carry out the survey (either a bad line, or language difficulty), as well as numbers called multiple times over fieldwork without ever being picked up.</w:t>
      </w:r>
    </w:p>
  </w:footnote>
  <w:footnote w:id="118">
    <w:p w14:paraId="60A09807" w14:textId="77777777" w:rsidR="00533A25" w:rsidRPr="0021037C" w:rsidRDefault="00533A25" w:rsidP="00533A25">
      <w:pPr>
        <w:pStyle w:val="FootnoteText"/>
        <w:rPr>
          <w:lang w:val="en-US"/>
        </w:rPr>
      </w:pPr>
      <w:r>
        <w:rPr>
          <w:rStyle w:val="FootnoteReference"/>
        </w:rPr>
        <w:footnoteRef/>
      </w:r>
      <w:r>
        <w:t xml:space="preserve"> </w:t>
      </w:r>
      <w:r>
        <w:rPr>
          <w:lang w:val="en-US"/>
        </w:rPr>
        <w:t>This includes sample that had a working telephone number but where the respondent was unreachable or unavailable for an interview during the fieldwork period, so eligibility could not be assessed.</w:t>
      </w:r>
    </w:p>
  </w:footnote>
  <w:footnote w:id="119">
    <w:p w14:paraId="0BF52534" w14:textId="77777777" w:rsidR="00533A25" w:rsidRPr="0021037C" w:rsidRDefault="00533A25" w:rsidP="00533A25">
      <w:pPr>
        <w:pStyle w:val="FootnoteText"/>
        <w:rPr>
          <w:lang w:val="en-US"/>
        </w:rPr>
      </w:pPr>
      <w:r>
        <w:rPr>
          <w:rStyle w:val="FootnoteReference"/>
        </w:rPr>
        <w:footnoteRef/>
      </w:r>
      <w:r>
        <w:t xml:space="preserve"> </w:t>
      </w:r>
      <w:r>
        <w:rPr>
          <w:lang w:val="en-US"/>
        </w:rPr>
        <w:t>This includes non-borrowers who did not face any financial challenges or those who obtained finance through one of the schemes/multiple schemes or non-borrowers with a turnover under £8,000.</w:t>
      </w:r>
    </w:p>
  </w:footnote>
  <w:footnote w:id="120">
    <w:p w14:paraId="56A0FB81" w14:textId="77777777" w:rsidR="00533A25" w:rsidRPr="00197187" w:rsidRDefault="00533A25" w:rsidP="00533A25">
      <w:pPr>
        <w:pStyle w:val="FootnoteText"/>
        <w:rPr>
          <w:lang w:val="en-US"/>
        </w:rPr>
      </w:pPr>
      <w:r>
        <w:rPr>
          <w:rStyle w:val="FootnoteReference"/>
        </w:rPr>
        <w:footnoteRef/>
      </w:r>
      <w:r>
        <w:t xml:space="preserve"> </w:t>
      </w:r>
      <w:r>
        <w:rPr>
          <w:lang w:val="en-US"/>
        </w:rPr>
        <w:t>This is sample where the number was in a valid format, but which turned out to be wrong numbers, fax numbers or disconnected.</w:t>
      </w:r>
    </w:p>
  </w:footnote>
  <w:footnote w:id="121">
    <w:p w14:paraId="78DD65DE" w14:textId="77777777" w:rsidR="00533A25" w:rsidRPr="00197187" w:rsidRDefault="00533A25" w:rsidP="00533A25">
      <w:pPr>
        <w:pStyle w:val="FootnoteText"/>
        <w:rPr>
          <w:lang w:val="en-US"/>
        </w:rPr>
      </w:pPr>
      <w:r>
        <w:rPr>
          <w:rStyle w:val="FootnoteReference"/>
        </w:rPr>
        <w:footnoteRef/>
      </w:r>
      <w:r>
        <w:t xml:space="preserve"> </w:t>
      </w:r>
      <w:r>
        <w:rPr>
          <w:lang w:val="en-US"/>
        </w:rPr>
        <w:t>This includes sample where there was communication difficulty making it impossible to carry out the survey (either a bad line, or language difficulty), as well as numbers called multiple times over fieldwork without ever being picked up.</w:t>
      </w:r>
    </w:p>
  </w:footnote>
  <w:footnote w:id="122">
    <w:p w14:paraId="6099E5F7" w14:textId="77777777" w:rsidR="00533A25" w:rsidRPr="00197187" w:rsidRDefault="00533A25" w:rsidP="00533A25">
      <w:pPr>
        <w:pStyle w:val="FootnoteText"/>
        <w:rPr>
          <w:lang w:val="en-US"/>
        </w:rPr>
      </w:pPr>
      <w:r>
        <w:rPr>
          <w:rStyle w:val="FootnoteReference"/>
        </w:rPr>
        <w:footnoteRef/>
      </w:r>
      <w:r>
        <w:t xml:space="preserve"> </w:t>
      </w:r>
      <w:r>
        <w:rPr>
          <w:lang w:val="en-US"/>
        </w:rPr>
        <w:t>This includes sample that had a working telephone number but where the respondent was unreachable or unavailable for an interview during the fieldwork period, so eligibility could not be assessed.</w:t>
      </w:r>
    </w:p>
  </w:footnote>
  <w:footnote w:id="123">
    <w:p w14:paraId="0B18195D" w14:textId="77777777" w:rsidR="00533A25" w:rsidRPr="00197187" w:rsidRDefault="00533A25" w:rsidP="00533A25">
      <w:pPr>
        <w:pStyle w:val="FootnoteText"/>
        <w:rPr>
          <w:lang w:val="en-US"/>
        </w:rPr>
      </w:pPr>
      <w:r>
        <w:rPr>
          <w:rStyle w:val="FootnoteReference"/>
        </w:rPr>
        <w:footnoteRef/>
      </w:r>
      <w:r>
        <w:t xml:space="preserve"> </w:t>
      </w:r>
      <w:r>
        <w:rPr>
          <w:lang w:val="en-US"/>
        </w:rPr>
        <w:t>This includes non-borrowers who did not face any financial challenges or those who obtained finance through one of the schemes/multiple schemes or non-borrowers with a turnover under £8,000.</w:t>
      </w:r>
    </w:p>
  </w:footnote>
  <w:footnote w:id="124">
    <w:p w14:paraId="6D384AC3" w14:textId="77777777" w:rsidR="00B2786E" w:rsidRDefault="00B2786E" w:rsidP="00B2786E">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r w:rsidRPr="006F30CC">
        <w:t>The cooperation rate has been calculated as: (completed interviews + incomplete interviews) / (completed interviews + incomplete interviews + refusals). This is the proportion who took part in the survey, among those who were reached and screened.</w:t>
      </w:r>
    </w:p>
  </w:footnote>
  <w:footnote w:id="125">
    <w:p w14:paraId="2398FF2C" w14:textId="77777777" w:rsidR="00B2786E" w:rsidRDefault="00B2786E" w:rsidP="00B2786E">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Figures on total number of loans taken from government figures here: </w:t>
      </w:r>
      <w:hyperlink r:id="rId12" w:anchor="Coronavirus-Business-Interruption-Loan-Scheme" w:history="1">
        <w:r>
          <w:rPr>
            <w:rStyle w:val="Hyperlink"/>
            <w:rFonts w:ascii="Arial" w:hAnsi="Arial" w:cs="Arial"/>
            <w:sz w:val="18"/>
            <w:szCs w:val="18"/>
          </w:rPr>
          <w:t>https://www.gov.uk/government/collections/hm-treasury-coronavirus-covid-19-business-loan-scheme-statistics#Coronavirus-Business-Interruption-Loan-Scheme</w:t>
        </w:r>
      </w:hyperlink>
    </w:p>
    <w:p w14:paraId="3F81F6DA" w14:textId="77777777" w:rsidR="00B2786E" w:rsidRPr="006F30CC" w:rsidRDefault="00B2786E" w:rsidP="00B2786E">
      <w:pPr>
        <w:pStyle w:val="FootnoteText"/>
        <w:rPr>
          <w:rFonts w:ascii="Arial" w:hAnsi="Arial" w:cs="Arial"/>
          <w:sz w:val="16"/>
          <w:szCs w:val="16"/>
        </w:rPr>
      </w:pPr>
      <w:r>
        <w:rPr>
          <w:rFonts w:ascii="Arial" w:hAnsi="Arial" w:cs="Arial"/>
          <w:sz w:val="18"/>
          <w:szCs w:val="18"/>
        </w:rPr>
        <w:t xml:space="preserve">Figures on sector and turnover of loan recipients are only available from Jan 2021 and taken from here:  </w:t>
      </w:r>
      <w:hyperlink r:id="rId13" w:history="1">
        <w:r>
          <w:rPr>
            <w:rStyle w:val="Hyperlink"/>
            <w:rFonts w:ascii="Arial" w:hAnsi="Arial" w:cs="Arial"/>
            <w:sz w:val="18"/>
            <w:szCs w:val="18"/>
          </w:rPr>
          <w:t>https://www.british-business-bank.co.uk/press-release/coronavirus-loan-schemes-continue-to-support-businesses-evenly-across-the-uk-new-analysis-shows/</w:t>
        </w:r>
      </w:hyperlink>
      <w:r>
        <w:rPr>
          <w:rFonts w:ascii="Arial" w:hAnsi="Arial" w:cs="Arial"/>
          <w:sz w:val="16"/>
          <w:szCs w:val="16"/>
        </w:rPr>
        <w:t xml:space="preserve"> </w:t>
      </w:r>
      <w:r>
        <w:rPr>
          <w:rFonts w:ascii="Arial" w:hAnsi="Arial" w:cs="Arial"/>
          <w:sz w:val="18"/>
          <w:szCs w:val="18"/>
        </w:rPr>
        <w:t>The weighting uses the new totals and assumes that the population turnover / region / sector distribution did not change much between Jan 2021 and March 2021. We feel this is a reasonable assumption as the bulk of the loans were agreed earlier in the scheme.</w:t>
      </w:r>
    </w:p>
  </w:footnote>
  <w:footnote w:id="126">
    <w:p w14:paraId="77E7E80D" w14:textId="77777777" w:rsidR="00B2786E" w:rsidRPr="006F30CC" w:rsidRDefault="00B2786E" w:rsidP="00B2786E">
      <w:pPr>
        <w:pStyle w:val="FootnoteText"/>
        <w:rPr>
          <w:lang w:val="en-US"/>
        </w:rPr>
      </w:pPr>
      <w:r>
        <w:rPr>
          <w:rStyle w:val="FootnoteReference"/>
        </w:rPr>
        <w:footnoteRef/>
      </w:r>
      <w:r>
        <w:t xml:space="preserve"> </w:t>
      </w:r>
      <w:r w:rsidRPr="00236B73">
        <w:rPr>
          <w:sz w:val="18"/>
          <w:szCs w:val="18"/>
          <w:lang w:val="en-US"/>
        </w:rPr>
        <w:t>There may be some discrepancies due to the BBB figures being the number of facilities.</w:t>
      </w:r>
    </w:p>
  </w:footnote>
  <w:footnote w:id="127">
    <w:p w14:paraId="0D9A809B" w14:textId="409EBC4D" w:rsidR="00F0304B" w:rsidRDefault="00F0304B">
      <w:pPr>
        <w:pStyle w:val="FootnoteText"/>
      </w:pPr>
      <w:r>
        <w:rPr>
          <w:rStyle w:val="FootnoteReference"/>
        </w:rPr>
        <w:footnoteRef/>
      </w:r>
      <w:r>
        <w:t xml:space="preserve"> </w:t>
      </w:r>
      <w:r w:rsidR="00BF46B6">
        <w:t>For example</w:t>
      </w:r>
      <w:r>
        <w:t xml:space="preserve">, </w:t>
      </w:r>
      <w:r w:rsidR="00741037">
        <w:t xml:space="preserve">8% of BBLS loan volume is </w:t>
      </w:r>
      <w:r>
        <w:t xml:space="preserve">estimated </w:t>
      </w:r>
      <w:r w:rsidR="00741037">
        <w:t xml:space="preserve">to be fraudulent, whereas </w:t>
      </w:r>
      <w:r>
        <w:t xml:space="preserve">‘immaterial levels of fraud and error’ </w:t>
      </w:r>
      <w:r w:rsidR="00741037">
        <w:t xml:space="preserve">are found </w:t>
      </w:r>
      <w:r>
        <w:t xml:space="preserve">in both CBILS and CLBILS. </w:t>
      </w:r>
      <w:r w:rsidR="00BF46B6">
        <w:t xml:space="preserve">BEIS (2022) </w:t>
      </w:r>
      <w:r w:rsidR="00BF46B6">
        <w:rPr>
          <w:i/>
          <w:iCs/>
        </w:rPr>
        <w:t>Annual Report and Accounts 2021-2022.</w:t>
      </w:r>
      <w:r>
        <w:t xml:space="preserve"> </w:t>
      </w:r>
    </w:p>
  </w:footnote>
  <w:footnote w:id="128">
    <w:p w14:paraId="4D229C50" w14:textId="5F7C9D56" w:rsidR="00741037" w:rsidRDefault="007018D3" w:rsidP="00741037">
      <w:pPr>
        <w:pStyle w:val="FootnoteText"/>
      </w:pPr>
      <w:r>
        <w:rPr>
          <w:rStyle w:val="FootnoteReference"/>
        </w:rPr>
        <w:footnoteRef/>
      </w:r>
      <w:r>
        <w:t xml:space="preserve"> </w:t>
      </w:r>
      <w:r w:rsidR="00741037">
        <w:t xml:space="preserve">BEIS (2022) </w:t>
      </w:r>
      <w:r w:rsidR="00741037">
        <w:rPr>
          <w:i/>
          <w:iCs/>
        </w:rPr>
        <w:t>Annual Report and Accounts 2021-2022.</w:t>
      </w:r>
      <w:r w:rsidR="00741037">
        <w:t xml:space="preserve"> </w:t>
      </w:r>
    </w:p>
    <w:p w14:paraId="5C42A64E" w14:textId="3FEB5ED3" w:rsidR="007018D3" w:rsidRPr="0058462C" w:rsidRDefault="007018D3" w:rsidP="007018D3">
      <w:pPr>
        <w:pStyle w:val="FootnoteText"/>
        <w:rPr>
          <w:lang w:val="en-US"/>
        </w:rPr>
      </w:pPr>
    </w:p>
  </w:footnote>
  <w:footnote w:id="129">
    <w:p w14:paraId="5BFA91DF" w14:textId="77777777" w:rsidR="003C6536" w:rsidRDefault="003C6536" w:rsidP="003C6536">
      <w:pPr>
        <w:pStyle w:val="FootnoteText"/>
        <w:rPr>
          <w:lang w:val="en-US"/>
        </w:rPr>
      </w:pPr>
      <w:r>
        <w:rPr>
          <w:rStyle w:val="FootnoteReference"/>
        </w:rPr>
        <w:footnoteRef/>
      </w:r>
      <w:r>
        <w:t xml:space="preserve"> An introduction to PSM can be found in Caliendo, M., &amp; </w:t>
      </w:r>
      <w:proofErr w:type="spellStart"/>
      <w:r>
        <w:t>Kopeinig</w:t>
      </w:r>
      <w:proofErr w:type="spellEnd"/>
      <w:r>
        <w:t xml:space="preserve">, S. (2008). Some practical guidance for the implementation of propensity score matching. </w:t>
      </w:r>
      <w:r>
        <w:rPr>
          <w:i/>
          <w:iCs/>
        </w:rPr>
        <w:t>Journal of economic surveys</w:t>
      </w:r>
      <w:r>
        <w:t>, 22(1), 31-72.</w:t>
      </w:r>
    </w:p>
  </w:footnote>
  <w:footnote w:id="130">
    <w:p w14:paraId="2F22A682" w14:textId="5A3988DF" w:rsidR="00C12014" w:rsidRDefault="00C12014" w:rsidP="00C12014">
      <w:pPr>
        <w:pStyle w:val="FootnoteText"/>
        <w:rPr>
          <w:lang w:val="en-US"/>
        </w:rPr>
      </w:pPr>
      <w:r>
        <w:rPr>
          <w:rStyle w:val="FootnoteReference"/>
        </w:rPr>
        <w:footnoteRef/>
      </w:r>
      <w:r>
        <w:t xml:space="preserve"> The combined effect of the calliper and the restriction</w:t>
      </w:r>
      <w:r w:rsidR="000B4DA9">
        <w:t>s</w:t>
      </w:r>
      <w:r>
        <w:t xml:space="preserve"> on the propensity scores of the borrowers</w:t>
      </w:r>
      <w:r w:rsidR="000B4DA9">
        <w:t xml:space="preserve"> and the </w:t>
      </w:r>
      <w:r w:rsidR="009F1481">
        <w:t>extent to which the turnover or employment data is populated</w:t>
      </w:r>
      <w:r>
        <w:t xml:space="preserve"> is to exclude </w:t>
      </w:r>
      <w:r w:rsidR="00EC1EBD">
        <w:t>12</w:t>
      </w:r>
      <w:r w:rsidR="007369B2">
        <w:t xml:space="preserve"> and </w:t>
      </w:r>
      <w:r w:rsidR="00EC1EBD">
        <w:t>8</w:t>
      </w:r>
      <w:r>
        <w:t xml:space="preserve"> borrowers </w:t>
      </w:r>
      <w:r w:rsidR="007369B2">
        <w:t>for the</w:t>
      </w:r>
      <w:r>
        <w:t xml:space="preserve"> </w:t>
      </w:r>
      <w:r w:rsidR="007369B2">
        <w:t xml:space="preserve">turnover and employment </w:t>
      </w:r>
      <w:r>
        <w:t>BBLS model</w:t>
      </w:r>
      <w:r w:rsidR="007369B2">
        <w:t>s</w:t>
      </w:r>
      <w:r w:rsidR="00EC1EBD">
        <w:t xml:space="preserve"> respectively</w:t>
      </w:r>
      <w:r>
        <w:t xml:space="preserve"> and 1</w:t>
      </w:r>
      <w:r w:rsidR="00EC1EBD">
        <w:t>9 and 17</w:t>
      </w:r>
      <w:r>
        <w:t xml:space="preserve"> borrower</w:t>
      </w:r>
      <w:r w:rsidR="00EC1EBD">
        <w:t>s</w:t>
      </w:r>
      <w:r>
        <w:t xml:space="preserve"> from the </w:t>
      </w:r>
      <w:r w:rsidR="00EC1EBD">
        <w:t>turnover and employment</w:t>
      </w:r>
      <w:r>
        <w:t xml:space="preserve"> CBILS/CLBILS model</w:t>
      </w:r>
      <w:r w:rsidR="00EC1EBD">
        <w:t>s respectively</w:t>
      </w:r>
      <w:r>
        <w:t>.</w:t>
      </w:r>
    </w:p>
  </w:footnote>
  <w:footnote w:id="131">
    <w:p w14:paraId="5BBCC7C5" w14:textId="2F6BDA33" w:rsidR="005D64E8" w:rsidRPr="005D64E8" w:rsidRDefault="005D64E8">
      <w:pPr>
        <w:pStyle w:val="FootnoteText"/>
        <w:rPr>
          <w:lang w:val="en-US"/>
        </w:rPr>
      </w:pPr>
      <w:r>
        <w:rPr>
          <w:rStyle w:val="FootnoteReference"/>
        </w:rPr>
        <w:footnoteRef/>
      </w:r>
      <w:r>
        <w:t xml:space="preserve"> </w:t>
      </w:r>
      <w:r>
        <w:rPr>
          <w:lang w:val="en-US"/>
        </w:rPr>
        <w:t xml:space="preserve">Ideally, </w:t>
      </w:r>
      <w:r w:rsidR="009020A4">
        <w:rPr>
          <w:lang w:val="en-US"/>
        </w:rPr>
        <w:t>the treated and control samples would ha</w:t>
      </w:r>
      <w:r w:rsidR="002A4312">
        <w:rPr>
          <w:lang w:val="en-US"/>
        </w:rPr>
        <w:t xml:space="preserve">ve been identical before the pandemic. However, given that is not possible to observe all relevant characteristics </w:t>
      </w:r>
      <w:r w:rsidR="00476485">
        <w:rPr>
          <w:lang w:val="en-US"/>
        </w:rPr>
        <w:t xml:space="preserve">and incorporate these into the PSM process and because the analysis is based on a limited sample size, it is possible that differences between the samples remain after the PSM. </w:t>
      </w:r>
    </w:p>
  </w:footnote>
  <w:footnote w:id="132">
    <w:p w14:paraId="30A80665" w14:textId="482EC222" w:rsidR="00D97EB4" w:rsidRPr="002D323B" w:rsidRDefault="00D97EB4">
      <w:pPr>
        <w:pStyle w:val="FootnoteText"/>
        <w:rPr>
          <w:lang w:val="en-US"/>
        </w:rPr>
      </w:pPr>
      <w:r>
        <w:rPr>
          <w:rStyle w:val="FootnoteReference"/>
        </w:rPr>
        <w:footnoteRef/>
      </w:r>
      <w:r>
        <w:t xml:space="preserve"> </w:t>
      </w:r>
      <w:r>
        <w:rPr>
          <w:lang w:val="en-US"/>
        </w:rPr>
        <w:t xml:space="preserve">From this net effect, and as when considering a single coefficient, the percentage change is calculating by taking the exponential and subtracting 1. </w:t>
      </w:r>
    </w:p>
  </w:footnote>
  <w:footnote w:id="133">
    <w:p w14:paraId="5A49F043" w14:textId="2253B1ED" w:rsidR="000F2FA3" w:rsidRPr="002D323B" w:rsidRDefault="000F2FA3">
      <w:pPr>
        <w:pStyle w:val="FootnoteText"/>
        <w:rPr>
          <w:lang w:val="en-US"/>
        </w:rPr>
      </w:pPr>
      <w:r>
        <w:rPr>
          <w:rStyle w:val="FootnoteReference"/>
        </w:rPr>
        <w:footnoteRef/>
      </w:r>
      <w:r>
        <w:t xml:space="preserve"> </w:t>
      </w:r>
      <w:r>
        <w:rPr>
          <w:lang w:val="en-US"/>
        </w:rPr>
        <w:t>The log transformation is widely used in the literature when studying these types of variables as the transformed distributions of these variables are better behaved (</w:t>
      </w:r>
      <w:r w:rsidR="00994BE7">
        <w:rPr>
          <w:lang w:val="en-US"/>
        </w:rPr>
        <w:t xml:space="preserve">for example when </w:t>
      </w:r>
      <w:r>
        <w:rPr>
          <w:lang w:val="en-US"/>
        </w:rPr>
        <w:t xml:space="preserve">the maxima have </w:t>
      </w:r>
      <w:proofErr w:type="gramStart"/>
      <w:r>
        <w:rPr>
          <w:lang w:val="en-US"/>
        </w:rPr>
        <w:t>less</w:t>
      </w:r>
      <w:proofErr w:type="gramEnd"/>
      <w:r>
        <w:rPr>
          <w:lang w:val="en-US"/>
        </w:rPr>
        <w:t xml:space="preserve"> extreme values). </w:t>
      </w:r>
    </w:p>
  </w:footnote>
  <w:footnote w:id="134">
    <w:p w14:paraId="0080B2C4" w14:textId="748FF7C4" w:rsidR="00596F06" w:rsidRPr="00846F78" w:rsidRDefault="00596F06">
      <w:pPr>
        <w:pStyle w:val="FootnoteText"/>
        <w:rPr>
          <w:lang w:val="en-US"/>
        </w:rPr>
      </w:pPr>
      <w:r>
        <w:rPr>
          <w:rStyle w:val="FootnoteReference"/>
        </w:rPr>
        <w:footnoteRef/>
      </w:r>
      <w:r>
        <w:t xml:space="preserve"> </w:t>
      </w:r>
      <w:r>
        <w:rPr>
          <w:lang w:val="en-US"/>
        </w:rPr>
        <w:t xml:space="preserve">Based on the number of businesses before the pandemic. </w:t>
      </w:r>
    </w:p>
  </w:footnote>
  <w:footnote w:id="135">
    <w:p w14:paraId="1A81465D" w14:textId="77777777" w:rsidR="00F44380" w:rsidRPr="00A106B4" w:rsidRDefault="00F44380" w:rsidP="00F44380">
      <w:pPr>
        <w:pStyle w:val="FootnoteText"/>
        <w:rPr>
          <w:lang w:val="en-US"/>
        </w:rPr>
      </w:pPr>
      <w:r>
        <w:rPr>
          <w:rStyle w:val="FootnoteReference"/>
        </w:rPr>
        <w:footnoteRef/>
      </w:r>
      <w:r>
        <w:t xml:space="preserve"> </w:t>
      </w:r>
      <w:r>
        <w:rPr>
          <w:lang w:val="en-US"/>
        </w:rPr>
        <w:t xml:space="preserve">Based on the number of businesses before the pandemic. </w:t>
      </w:r>
    </w:p>
  </w:footnote>
  <w:footnote w:id="136">
    <w:p w14:paraId="3B6ACB0F" w14:textId="62E6F474" w:rsidR="006A782E" w:rsidRPr="00846F78" w:rsidRDefault="006A782E">
      <w:pPr>
        <w:pStyle w:val="FootnoteText"/>
        <w:rPr>
          <w:lang w:val="en-US"/>
        </w:rPr>
      </w:pPr>
      <w:r>
        <w:rPr>
          <w:rStyle w:val="FootnoteReference"/>
        </w:rPr>
        <w:footnoteRef/>
      </w:r>
      <w:r>
        <w:t xml:space="preserve"> </w:t>
      </w:r>
      <w:r>
        <w:rPr>
          <w:lang w:val="en-US"/>
        </w:rPr>
        <w:t xml:space="preserve">A </w:t>
      </w:r>
      <w:r w:rsidR="00BD37BE">
        <w:rPr>
          <w:lang w:val="en-US"/>
        </w:rPr>
        <w:t>variable</w:t>
      </w:r>
      <w:r>
        <w:rPr>
          <w:lang w:val="en-US"/>
        </w:rPr>
        <w:t xml:space="preserve"> </w:t>
      </w:r>
      <w:r w:rsidR="00BD37BE">
        <w:rPr>
          <w:lang w:val="en-US"/>
        </w:rPr>
        <w:t>indicating</w:t>
      </w:r>
      <w:r>
        <w:rPr>
          <w:lang w:val="en-US"/>
        </w:rPr>
        <w:t xml:space="preserve"> the value of </w:t>
      </w:r>
      <w:r w:rsidR="001F62DD">
        <w:rPr>
          <w:lang w:val="en-US"/>
        </w:rPr>
        <w:t>support</w:t>
      </w:r>
      <w:r>
        <w:rPr>
          <w:lang w:val="en-US"/>
        </w:rPr>
        <w:t xml:space="preserve"> (per firm</w:t>
      </w:r>
      <w:r w:rsidR="001F62DD">
        <w:rPr>
          <w:lang w:val="en-US"/>
        </w:rPr>
        <w:t>, both including and excluding CJRS</w:t>
      </w:r>
      <w:r>
        <w:rPr>
          <w:lang w:val="en-US"/>
        </w:rPr>
        <w:t>) flowing to other sectors was also included in alternative specifications</w:t>
      </w:r>
      <w:r w:rsidR="004C6D25">
        <w:rPr>
          <w:lang w:val="en-US"/>
        </w:rPr>
        <w:t xml:space="preserve"> and the effect on </w:t>
      </w:r>
      <w:r w:rsidR="00260B1C">
        <w:rPr>
          <w:lang w:val="en-US"/>
        </w:rPr>
        <w:t xml:space="preserve">the </w:t>
      </w:r>
      <w:r w:rsidR="00E9517B">
        <w:rPr>
          <w:lang w:val="en-US"/>
        </w:rPr>
        <w:t xml:space="preserve">magnitude and significance of the key coefficient of interest. </w:t>
      </w:r>
      <w:r w:rsidR="009A3675">
        <w:rPr>
          <w:lang w:val="en-US"/>
        </w:rPr>
        <w:t>The possibility of including separate variables for each scheme was considered however not possible due to the high correlation at the sector level between BBLS, CBILS, CLBILS and CJRS support.</w:t>
      </w:r>
    </w:p>
  </w:footnote>
  <w:footnote w:id="137">
    <w:p w14:paraId="7E018DF5" w14:textId="77777777" w:rsidR="0045656C" w:rsidRDefault="0045656C" w:rsidP="0045656C">
      <w:pPr>
        <w:pStyle w:val="FootnoteText"/>
        <w:rPr>
          <w:lang w:val="en-US"/>
        </w:rPr>
      </w:pPr>
      <w:r>
        <w:rPr>
          <w:rStyle w:val="FootnoteReference"/>
        </w:rPr>
        <w:footnoteRef/>
      </w:r>
      <w:r>
        <w:t xml:space="preserve"> The possible values for this variable were Primary/Manufacturing (SIC section A, B, C, D and E), Construction (SIC section F), Distribution (SIC section G, H, and I), Business Services (J, K, L, M, N) and Other Services (P, Q, R, S). </w:t>
      </w:r>
    </w:p>
  </w:footnote>
  <w:footnote w:id="138">
    <w:p w14:paraId="1CAFEC3D" w14:textId="77777777" w:rsidR="0045656C" w:rsidRDefault="0045656C" w:rsidP="0045656C">
      <w:pPr>
        <w:pStyle w:val="FootnoteText"/>
      </w:pPr>
      <w:r>
        <w:rPr>
          <w:rStyle w:val="FootnoteReference"/>
        </w:rPr>
        <w:footnoteRef/>
      </w:r>
      <w:r>
        <w:t xml:space="preserve"> To allow for the possibility that the relationship between the Treatment and size is not strictly increasing or decreasing, these variables were coded into bands for the Propensity Score Matching. For the number of staff, the bands were 1, 2-4, 5-9, 10-24, 25-49, 50-249, 250-999, 1,000-2,499, 2,500-4,999 and 5000 or more. For turnover, the bands were less than £50,000, at least £50,000 but less than £100,000, at least £100,000 but less than £250,000, at least £250,000 but less than £500,000, at least £500,000 but less than £1 million, at least £1 million but less than £5 million, at least £5 million but less than £10 million, at least £10 million but less than £25 million, at least £25 million but less than £45 million, at least £45 million but less than £100 million, at least £100 million but not more than £500 million and more than £500 million. </w:t>
      </w:r>
    </w:p>
  </w:footnote>
  <w:footnote w:id="139">
    <w:p w14:paraId="240699EF" w14:textId="77777777" w:rsidR="0045656C" w:rsidRDefault="0045656C" w:rsidP="0045656C">
      <w:pPr>
        <w:pStyle w:val="FootnoteText"/>
        <w:rPr>
          <w:lang w:val="en-US"/>
        </w:rPr>
      </w:pPr>
      <w:r>
        <w:rPr>
          <w:rStyle w:val="FootnoteReference"/>
        </w:rPr>
        <w:footnoteRef/>
      </w:r>
      <w:r>
        <w:t xml:space="preserve"> </w:t>
      </w:r>
      <w:r>
        <w:rPr>
          <w:lang w:val="en-US"/>
        </w:rPr>
        <w:t xml:space="preserve">It was specified that this referred to all ownerships and legal statuses, the acquiring enterprise in the case of acquisition and the largest enterprise as measured by employment in the case of a merger. </w:t>
      </w:r>
    </w:p>
  </w:footnote>
  <w:footnote w:id="140">
    <w:p w14:paraId="2C4C1B06" w14:textId="77777777" w:rsidR="0045656C" w:rsidRDefault="0045656C" w:rsidP="0045656C">
      <w:pPr>
        <w:pStyle w:val="FootnoteText"/>
        <w:rPr>
          <w:lang w:val="en-US"/>
        </w:rPr>
      </w:pPr>
      <w:r>
        <w:rPr>
          <w:rStyle w:val="FootnoteReference"/>
        </w:rPr>
        <w:footnoteRef/>
      </w:r>
      <w:r>
        <w:t xml:space="preserve"> Responses were recorded in bands of Less than 1 year, 1 year, 2 years, 3 years, 4 years, 5 years, 6-9 years, 10-15 years, 16-20 years, and more than 20 years.</w:t>
      </w:r>
    </w:p>
  </w:footnote>
  <w:footnote w:id="141">
    <w:p w14:paraId="1608C6D2" w14:textId="77777777" w:rsidR="0045656C" w:rsidRDefault="0045656C" w:rsidP="0045656C">
      <w:pPr>
        <w:pStyle w:val="FootnoteText"/>
        <w:rPr>
          <w:lang w:val="en-US"/>
        </w:rPr>
      </w:pPr>
      <w:r>
        <w:rPr>
          <w:rStyle w:val="FootnoteReference"/>
        </w:rPr>
        <w:footnoteRef/>
      </w:r>
      <w:r>
        <w:t xml:space="preserve"> </w:t>
      </w:r>
      <w:r>
        <w:rPr>
          <w:lang w:val="en-US"/>
        </w:rPr>
        <w:t xml:space="preserve">This indicator is also likely to capture </w:t>
      </w:r>
      <w:r>
        <w:t>businesses</w:t>
      </w:r>
      <w:r>
        <w:rPr>
          <w:lang w:val="en-US"/>
        </w:rPr>
        <w:t xml:space="preserve">’ exposure to Brexit, thereby minimizing the risk that results may be driven by exit from the European Union. </w:t>
      </w:r>
    </w:p>
  </w:footnote>
  <w:footnote w:id="142">
    <w:p w14:paraId="2A69A89F" w14:textId="77777777" w:rsidR="00D40B9F" w:rsidRDefault="00D40B9F" w:rsidP="00D40B9F">
      <w:pPr>
        <w:pStyle w:val="FootnoteText"/>
        <w:rPr>
          <w:lang w:val="en-US"/>
        </w:rPr>
      </w:pPr>
      <w:r>
        <w:rPr>
          <w:rStyle w:val="FootnoteReference"/>
        </w:rPr>
        <w:footnoteRef/>
      </w:r>
      <w:r>
        <w:t xml:space="preserve"> </w:t>
      </w:r>
      <w:proofErr w:type="gramStart"/>
      <w:r>
        <w:rPr>
          <w:lang w:val="en-US"/>
        </w:rPr>
        <w:t>In order to</w:t>
      </w:r>
      <w:proofErr w:type="gramEnd"/>
      <w:r>
        <w:rPr>
          <w:lang w:val="en-US"/>
        </w:rPr>
        <w:t xml:space="preserve"> reduce the likelihood of outliers and possible misreported values influencing the results, some observations were excluded from the analysis. In the BBLS model, </w:t>
      </w:r>
      <w:r>
        <w:t xml:space="preserve">businesses </w:t>
      </w:r>
      <w:r>
        <w:rPr>
          <w:lang w:val="en-US"/>
        </w:rPr>
        <w:t xml:space="preserve">reporting at least 10 million in turnover in either year were not included in the analysis (such </w:t>
      </w:r>
      <w:r>
        <w:t xml:space="preserve">businesses </w:t>
      </w:r>
      <w:r>
        <w:rPr>
          <w:lang w:val="en-US"/>
        </w:rPr>
        <w:t xml:space="preserve">accounted for approximately 1 percent of observations). </w:t>
      </w:r>
      <w:r>
        <w:t xml:space="preserve">Businesses </w:t>
      </w:r>
      <w:r>
        <w:rPr>
          <w:lang w:val="en-US"/>
        </w:rPr>
        <w:t xml:space="preserve">were also excluded from the CBILS and CLBILS analysis </w:t>
      </w:r>
      <w:proofErr w:type="gramStart"/>
      <w:r>
        <w:rPr>
          <w:lang w:val="en-US"/>
        </w:rPr>
        <w:t>on the basis of</w:t>
      </w:r>
      <w:proofErr w:type="gramEnd"/>
      <w:r>
        <w:rPr>
          <w:lang w:val="en-US"/>
        </w:rPr>
        <w:t xml:space="preserve"> turnover. Based on BBB management information, CBILS borrowers or controls with pre-pandemic turnover more than 50 million were excluded and CLBILS borrowers or controls with pre-pandemic turnover of less than 25 million were excluded. Additionally, CBILS borrowers or controls with over 200 million in turnover in their latest financial year and CLBILS borrowers or controls with less than 1 million in turnover in their latest financial year were excluded. </w:t>
      </w:r>
    </w:p>
  </w:footnote>
  <w:footnote w:id="143">
    <w:p w14:paraId="32769995" w14:textId="77777777" w:rsidR="00D40B9F" w:rsidRDefault="00D40B9F" w:rsidP="00D40B9F">
      <w:pPr>
        <w:pStyle w:val="FootnoteText"/>
        <w:rPr>
          <w:lang w:val="en-US"/>
        </w:rPr>
      </w:pPr>
      <w:r>
        <w:rPr>
          <w:rStyle w:val="FootnoteReference"/>
        </w:rPr>
        <w:footnoteRef/>
      </w:r>
      <w:r>
        <w:t xml:space="preserve"> </w:t>
      </w:r>
      <w:r>
        <w:rPr>
          <w:lang w:val="en-US"/>
        </w:rPr>
        <w:t xml:space="preserve">Staff numbers were provided for the end of the relevant years. </w:t>
      </w:r>
    </w:p>
  </w:footnote>
  <w:footnote w:id="144">
    <w:p w14:paraId="14FFBE95" w14:textId="77777777" w:rsidR="005A1CA2" w:rsidRPr="00BB2B2E" w:rsidRDefault="005A1CA2" w:rsidP="005A1CA2">
      <w:pPr>
        <w:pStyle w:val="FootnoteText"/>
      </w:pPr>
      <w:r>
        <w:rPr>
          <w:rStyle w:val="FootnoteReference"/>
        </w:rPr>
        <w:footnoteRef/>
      </w:r>
      <w:r>
        <w:t xml:space="preserve"> </w:t>
      </w:r>
      <w:hyperlink r:id="rId14" w:history="1">
        <w:r w:rsidRPr="007330EB">
          <w:rPr>
            <w:rStyle w:val="Hyperlink"/>
          </w:rPr>
          <w:t>https://www.gov.uk/government/collections/business-population-estimates</w:t>
        </w:r>
      </w:hyperlink>
    </w:p>
  </w:footnote>
  <w:footnote w:id="145">
    <w:p w14:paraId="323F0D62" w14:textId="77777777" w:rsidR="005A1CA2" w:rsidRPr="00256C47" w:rsidRDefault="005A1CA2" w:rsidP="005A1CA2">
      <w:pPr>
        <w:pStyle w:val="FootnoteText"/>
        <w:rPr>
          <w:lang w:val="en-US"/>
        </w:rPr>
      </w:pPr>
      <w:r>
        <w:rPr>
          <w:rStyle w:val="FootnoteReference"/>
        </w:rPr>
        <w:footnoteRef/>
      </w:r>
      <w:r>
        <w:t xml:space="preserve"> </w:t>
      </w:r>
      <w:r>
        <w:rPr>
          <w:lang w:val="en-US"/>
        </w:rPr>
        <w:t xml:space="preserve">Decision Maker Panel survey – 2021 Q4. Available at: </w:t>
      </w:r>
      <w:hyperlink r:id="rId15" w:history="1">
        <w:r w:rsidRPr="00E43ECB">
          <w:rPr>
            <w:rStyle w:val="Hyperlink"/>
            <w:lang w:val="en-US"/>
          </w:rPr>
          <w:t>https://www.bankofengland.co.uk/agents-summary/2021/2021-q4/latest-results-from-the-decision-maker-panel-survey-2021-q4</w:t>
        </w:r>
      </w:hyperlink>
      <w:r>
        <w:rPr>
          <w:lang w:val="en-US"/>
        </w:rPr>
        <w:t xml:space="preserve">. </w:t>
      </w:r>
    </w:p>
  </w:footnote>
  <w:footnote w:id="146">
    <w:p w14:paraId="37F1255F" w14:textId="77777777" w:rsidR="005A1CA2" w:rsidRPr="000774F2" w:rsidRDefault="005A1CA2" w:rsidP="005A1CA2">
      <w:pPr>
        <w:pStyle w:val="FootnoteText"/>
      </w:pPr>
      <w:r>
        <w:rPr>
          <w:rStyle w:val="FootnoteReference"/>
        </w:rPr>
        <w:footnoteRef/>
      </w:r>
      <w:r>
        <w:t xml:space="preserve"> </w:t>
      </w:r>
      <w:hyperlink r:id="rId16" w:history="1">
        <w:r w:rsidRPr="00557710">
          <w:rPr>
            <w:rStyle w:val="Hyperlink"/>
          </w:rPr>
          <w:t>https://www.gov.uk/guidance/claim-for-wage-costs-through-the-coronavirus-job-retention-scheme</w:t>
        </w:r>
      </w:hyperlink>
    </w:p>
  </w:footnote>
  <w:footnote w:id="147">
    <w:p w14:paraId="39336CE7" w14:textId="77777777" w:rsidR="005A1CA2" w:rsidRPr="004B49E3" w:rsidRDefault="005A1CA2" w:rsidP="005A1CA2">
      <w:pPr>
        <w:pStyle w:val="FootnoteText"/>
        <w:rPr>
          <w:lang w:val="en-US"/>
        </w:rPr>
      </w:pPr>
      <w:r>
        <w:rPr>
          <w:rStyle w:val="FootnoteReference"/>
        </w:rPr>
        <w:footnoteRef/>
      </w:r>
      <w:r>
        <w:t xml:space="preserve"> Propensity score matching is implemented to ensure that the characteristics of borrowers and non-borrowers in the sample are similar, but this is not done for CJRS users and businesses that did not use CJRS. As a result, the CJRS coefficient should not be interpreted causally. </w:t>
      </w:r>
    </w:p>
  </w:footnote>
  <w:footnote w:id="148">
    <w:p w14:paraId="04E5A706" w14:textId="77777777" w:rsidR="005A1CA2" w:rsidRPr="002D323B" w:rsidRDefault="005A1CA2" w:rsidP="005A1CA2">
      <w:pPr>
        <w:pStyle w:val="FootnoteText"/>
        <w:rPr>
          <w:lang w:val="en-US"/>
        </w:rPr>
      </w:pPr>
      <w:r>
        <w:rPr>
          <w:rStyle w:val="FootnoteReference"/>
        </w:rPr>
        <w:footnoteRef/>
      </w:r>
      <w:r>
        <w:t xml:space="preserve"> </w:t>
      </w:r>
      <w:r>
        <w:rPr>
          <w:lang w:val="en-US"/>
        </w:rPr>
        <w:t xml:space="preserve">Given that the dependent variable is expressed in logarithmic form, the percentage change in turnover associated with the variable “Used CJRS”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Pr>
          <w:rFonts w:eastAsiaTheme="minorEastAsia"/>
          <w:lang w:val="en-US"/>
        </w:rPr>
        <w:t xml:space="preserve">, where </w:t>
      </w:r>
      <m:oMath>
        <m:r>
          <w:rPr>
            <w:rFonts w:ascii="Cambria Math" w:hAnsi="Cambria Math"/>
          </w:rPr>
          <m:t>λ</m:t>
        </m:r>
      </m:oMath>
      <w:r>
        <w:rPr>
          <w:rFonts w:eastAsiaTheme="minorEastAsia"/>
          <w:lang w:val="en-US"/>
        </w:rPr>
        <w:t xml:space="preserve"> is the regression coefficient of that variable. </w:t>
      </w:r>
    </w:p>
  </w:footnote>
  <w:footnote w:id="149">
    <w:p w14:paraId="5E63276E" w14:textId="77777777" w:rsidR="009D6EE8" w:rsidRPr="002D323B" w:rsidRDefault="009D6EE8" w:rsidP="009D6EE8">
      <w:pPr>
        <w:pStyle w:val="FootnoteText"/>
        <w:rPr>
          <w:lang w:val="en-US"/>
        </w:rPr>
      </w:pPr>
      <w:r>
        <w:rPr>
          <w:rStyle w:val="FootnoteReference"/>
        </w:rPr>
        <w:footnoteRef/>
      </w:r>
      <w:r>
        <w:t xml:space="preserve"> </w:t>
      </w:r>
      <w:r>
        <w:rPr>
          <w:lang w:val="en-US"/>
        </w:rPr>
        <w:t xml:space="preserve">Given that the dependent variable is expressed in logarithmic form, the percentage change in employment associated with the variable “Used CJRS”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Pr>
          <w:rFonts w:eastAsiaTheme="minorEastAsia"/>
          <w:lang w:val="en-US"/>
        </w:rPr>
        <w:t xml:space="preserve">, where </w:t>
      </w:r>
      <m:oMath>
        <m:r>
          <w:rPr>
            <w:rFonts w:ascii="Cambria Math" w:hAnsi="Cambria Math"/>
          </w:rPr>
          <m:t>λ</m:t>
        </m:r>
      </m:oMath>
      <w:r>
        <w:rPr>
          <w:rFonts w:eastAsiaTheme="minorEastAsia"/>
          <w:lang w:val="en-US"/>
        </w:rPr>
        <w:t xml:space="preserve"> is the regression coefficient of that variable. </w:t>
      </w:r>
    </w:p>
  </w:footnote>
  <w:footnote w:id="150">
    <w:p w14:paraId="1CEC952F" w14:textId="77777777" w:rsidR="009D6EE8" w:rsidRPr="002D323B" w:rsidRDefault="009D6EE8" w:rsidP="009D6EE8">
      <w:pPr>
        <w:pStyle w:val="FootnoteText"/>
        <w:rPr>
          <w:lang w:val="en-US"/>
        </w:rPr>
      </w:pPr>
      <w:r>
        <w:rPr>
          <w:rStyle w:val="FootnoteReference"/>
        </w:rPr>
        <w:footnoteRef/>
      </w:r>
      <w:r>
        <w:t xml:space="preserve"> </w:t>
      </w:r>
      <w:r>
        <w:rPr>
          <w:lang w:val="en-US"/>
        </w:rPr>
        <w:t xml:space="preserve">Given that the dependent variable is expressed in logarithmic form, the percentage change in employment associated with the variable “Used VAT Deferral”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Pr>
          <w:rFonts w:eastAsiaTheme="minorEastAsia"/>
          <w:lang w:val="en-US"/>
        </w:rPr>
        <w:t xml:space="preserve">, where </w:t>
      </w:r>
      <m:oMath>
        <m:r>
          <w:rPr>
            <w:rFonts w:ascii="Cambria Math" w:hAnsi="Cambria Math"/>
          </w:rPr>
          <m:t>λ</m:t>
        </m:r>
      </m:oMath>
      <w:r>
        <w:rPr>
          <w:rFonts w:eastAsiaTheme="minorEastAsia"/>
          <w:lang w:val="en-US"/>
        </w:rPr>
        <w:t xml:space="preserve"> is the regression coefficient of that variable. </w:t>
      </w:r>
    </w:p>
  </w:footnote>
  <w:footnote w:id="151">
    <w:p w14:paraId="7638789D" w14:textId="77777777" w:rsidR="002B5D18" w:rsidRPr="00373904" w:rsidRDefault="002B5D18" w:rsidP="002B5D18">
      <w:pPr>
        <w:pStyle w:val="FootnoteText"/>
        <w:rPr>
          <w:lang w:val="en-US"/>
        </w:rPr>
      </w:pPr>
      <w:r>
        <w:rPr>
          <w:rStyle w:val="FootnoteReference"/>
        </w:rPr>
        <w:footnoteRef/>
      </w:r>
      <w:r>
        <w:t xml:space="preserve"> </w:t>
      </w:r>
      <w:r>
        <w:rPr>
          <w:lang w:val="en-US"/>
        </w:rPr>
        <w:t xml:space="preserve">Businesses defined as having majority female (or ethnic minority) representation are sole traders run by females (ethnic minority individuals) and other businesses which are majority owned by women (ethnic minority individuals). </w:t>
      </w:r>
    </w:p>
  </w:footnote>
  <w:footnote w:id="152">
    <w:p w14:paraId="6F780C34" w14:textId="77777777" w:rsidR="002B5D18" w:rsidRPr="00373904" w:rsidRDefault="002B5D18" w:rsidP="002B5D18">
      <w:pPr>
        <w:pStyle w:val="FootnoteText"/>
        <w:rPr>
          <w:lang w:val="en-US"/>
        </w:rPr>
      </w:pPr>
      <w:r>
        <w:rPr>
          <w:rStyle w:val="FootnoteReference"/>
        </w:rPr>
        <w:footnoteRef/>
      </w:r>
      <w:r>
        <w:t xml:space="preserve"> </w:t>
      </w:r>
      <w:r>
        <w:rPr>
          <w:lang w:val="en-US"/>
        </w:rPr>
        <w:t xml:space="preserve">Businesses defined as having majority female (or ethnic minority) representation are sole traders run by females (ethnic minority individuals) and other businesses which are majority owned by women (ethnic minority individuals). </w:t>
      </w:r>
    </w:p>
  </w:footnote>
  <w:footnote w:id="153">
    <w:p w14:paraId="65997483" w14:textId="77777777" w:rsidR="00610C60" w:rsidRPr="00213BC9" w:rsidRDefault="00610C60" w:rsidP="00610C60">
      <w:pPr>
        <w:pStyle w:val="FootnoteText"/>
        <w:rPr>
          <w:lang w:val="en-US"/>
        </w:rPr>
      </w:pPr>
      <w:r>
        <w:rPr>
          <w:rStyle w:val="FootnoteReference"/>
        </w:rPr>
        <w:footnoteRef/>
      </w:r>
      <w:r>
        <w:t xml:space="preserve"> An introduction to PSM can be found in </w:t>
      </w:r>
      <w:r w:rsidRPr="00037FA9">
        <w:t xml:space="preserve">Caliendo, M., &amp; </w:t>
      </w:r>
      <w:proofErr w:type="spellStart"/>
      <w:r w:rsidRPr="00037FA9">
        <w:t>Kopeinig</w:t>
      </w:r>
      <w:proofErr w:type="spellEnd"/>
      <w:r w:rsidRPr="00037FA9">
        <w:t xml:space="preserve">, S. (2008). Some practical guidance for the implementation of propensity score matching. </w:t>
      </w:r>
      <w:r w:rsidRPr="00AA3170">
        <w:rPr>
          <w:i/>
          <w:iCs/>
        </w:rPr>
        <w:t>Journal of economic surveys</w:t>
      </w:r>
      <w:r w:rsidRPr="00037FA9">
        <w:t>, 22(1), 31-72.</w:t>
      </w:r>
    </w:p>
  </w:footnote>
  <w:footnote w:id="154">
    <w:p w14:paraId="4B17A9EB" w14:textId="0A773C14" w:rsidR="00610C60" w:rsidRDefault="00610C60" w:rsidP="00610C60">
      <w:pPr>
        <w:pStyle w:val="FootnoteText"/>
      </w:pPr>
      <w:r>
        <w:rPr>
          <w:rStyle w:val="FootnoteReference"/>
        </w:rPr>
        <w:footnoteRef/>
      </w:r>
      <w:r>
        <w:t xml:space="preserve"> Specifically, if any September extract of the IDBR from 2017 to 2022 (inclusive) recorded a </w:t>
      </w:r>
      <w:proofErr w:type="spellStart"/>
      <w:r>
        <w:t>deathdate</w:t>
      </w:r>
      <w:proofErr w:type="spellEnd"/>
      <w:r>
        <w:t xml:space="preserve"> associated with a given enterprise between 1</w:t>
      </w:r>
      <w:r w:rsidRPr="00AC0732">
        <w:rPr>
          <w:vertAlign w:val="superscript"/>
        </w:rPr>
        <w:t>st</w:t>
      </w:r>
      <w:r>
        <w:t xml:space="preserve"> April 2020 and 31</w:t>
      </w:r>
      <w:r w:rsidRPr="00AC0732">
        <w:rPr>
          <w:vertAlign w:val="superscript"/>
        </w:rPr>
        <w:t>st</w:t>
      </w:r>
      <w:r>
        <w:t xml:space="preserve"> March 2021, this was recorded as a company </w:t>
      </w:r>
      <w:r w:rsidR="004550ED">
        <w:t xml:space="preserve">closure </w:t>
      </w:r>
      <w:r>
        <w:t>for the purposes of this analysis.</w:t>
      </w:r>
    </w:p>
    <w:p w14:paraId="441579C4" w14:textId="416BB0B8" w:rsidR="00A048DF" w:rsidRDefault="00213277" w:rsidP="00610C60">
      <w:pPr>
        <w:pStyle w:val="FootnoteText"/>
      </w:pPr>
      <w:bookmarkStart w:id="298" w:name="_Hlk140258168"/>
      <w:r>
        <w:t xml:space="preserve">A business is removed from the IDBR </w:t>
      </w:r>
      <w:r w:rsidR="00773E56">
        <w:t>if information from HMRC, ONS business surveys</w:t>
      </w:r>
      <w:r w:rsidR="007A6619">
        <w:t xml:space="preserve">, Companies House or the Insolvency Service indicates that the business is no longer active. </w:t>
      </w:r>
      <w:r w:rsidR="006E7F46">
        <w:t xml:space="preserve">The date that a business is removed from the IDBR is recorded </w:t>
      </w:r>
      <w:r w:rsidR="00B93285">
        <w:t>in the “</w:t>
      </w:r>
      <w:proofErr w:type="spellStart"/>
      <w:r w:rsidR="093EFB9B">
        <w:t>deathdate</w:t>
      </w:r>
      <w:proofErr w:type="spellEnd"/>
      <w:r w:rsidR="00B93285">
        <w:t>” variable</w:t>
      </w:r>
      <w:r w:rsidR="00E84050">
        <w:t xml:space="preserve">. </w:t>
      </w:r>
      <w:r w:rsidR="005B4E0D">
        <w:t>If a company is removed from the Companies House active register</w:t>
      </w:r>
      <w:r w:rsidR="007A400F">
        <w:t>, the IDBR uses that as the closure date. In other cases</w:t>
      </w:r>
      <w:r w:rsidR="00C96E01">
        <w:t xml:space="preserve">, a year of no VAT or PAYE activity </w:t>
      </w:r>
      <w:r w:rsidR="00E3047E">
        <w:t xml:space="preserve">will have a business marked as dead. </w:t>
      </w:r>
      <w:r w:rsidR="00934A11">
        <w:t xml:space="preserve">Sometime </w:t>
      </w:r>
      <w:r w:rsidR="007B4804">
        <w:t xml:space="preserve">a </w:t>
      </w:r>
      <w:r w:rsidR="00934A11">
        <w:t>b</w:t>
      </w:r>
      <w:r w:rsidR="00111DB4">
        <w:t>usiness</w:t>
      </w:r>
      <w:r w:rsidR="009B5DD5">
        <w:t xml:space="preserve"> recorded as active</w:t>
      </w:r>
      <w:r w:rsidR="006022CB">
        <w:t xml:space="preserve"> at Companies House may be assigned a “</w:t>
      </w:r>
      <w:proofErr w:type="spellStart"/>
      <w:r w:rsidR="006022CB">
        <w:t>deathdate</w:t>
      </w:r>
      <w:proofErr w:type="spellEnd"/>
      <w:r w:rsidR="006022CB">
        <w:t>”</w:t>
      </w:r>
      <w:r w:rsidR="0002314A">
        <w:t xml:space="preserve"> on the IDBR if other sources of information </w:t>
      </w:r>
      <w:r w:rsidR="00934A11">
        <w:t>indicate a lack of recent activity.</w:t>
      </w:r>
    </w:p>
    <w:bookmarkEnd w:id="298"/>
    <w:p w14:paraId="0B7DB832" w14:textId="4CDA9EEF" w:rsidR="00610C60" w:rsidRDefault="00934A11" w:rsidP="00610C60">
      <w:pPr>
        <w:pStyle w:val="FootnoteText"/>
      </w:pPr>
      <w:r>
        <w:t>Due to Covid-19</w:t>
      </w:r>
      <w:r w:rsidR="00CA3B0E">
        <w:t xml:space="preserve">, </w:t>
      </w:r>
      <w:r w:rsidR="00382D87">
        <w:t>changes relating to Companies House dissolutions</w:t>
      </w:r>
      <w:r w:rsidR="00316F35">
        <w:t xml:space="preserve"> mean that</w:t>
      </w:r>
      <w:r w:rsidR="00750F86">
        <w:t>, for businesses that ceas</w:t>
      </w:r>
      <w:r w:rsidR="00147A8E">
        <w:t>ed</w:t>
      </w:r>
      <w:r w:rsidR="00750F86">
        <w:t xml:space="preserve"> trading in 2020 or 2021,</w:t>
      </w:r>
      <w:r w:rsidR="00316F35">
        <w:t xml:space="preserve"> the lag between the cessation of trading and this being recorded on the IDBR will grow.</w:t>
      </w:r>
    </w:p>
  </w:footnote>
  <w:footnote w:id="155">
    <w:p w14:paraId="65DE7E86" w14:textId="1956CB72" w:rsidR="00610C60" w:rsidRDefault="00610C60" w:rsidP="00610C60">
      <w:pPr>
        <w:pStyle w:val="FootnoteText"/>
      </w:pPr>
      <w:r>
        <w:rPr>
          <w:rStyle w:val="FootnoteReference"/>
        </w:rPr>
        <w:footnoteRef/>
      </w:r>
      <w:r>
        <w:t xml:space="preserve"> Strictly speaking, the range of propensity scores is slightly larger than the range between the lowest </w:t>
      </w:r>
      <w:r w:rsidR="00556C97">
        <w:t>and highest</w:t>
      </w:r>
      <w:r>
        <w:t xml:space="preserve"> propensity score</w:t>
      </w:r>
      <w:r w:rsidR="0090464F">
        <w:t>s</w:t>
      </w:r>
      <w:r>
        <w:t xml:space="preserve"> of </w:t>
      </w:r>
      <w:r w:rsidR="001A29DF">
        <w:t>non-borrowers</w:t>
      </w:r>
      <w:r>
        <w:t xml:space="preserve">. </w:t>
      </w:r>
      <w:r w:rsidR="001A29DF">
        <w:t>Indeed, t</w:t>
      </w:r>
      <w:r>
        <w:t xml:space="preserve">he range is extended by allowing </w:t>
      </w:r>
      <w:r w:rsidR="001A29DF">
        <w:t xml:space="preserve">borrowers </w:t>
      </w:r>
      <w:r>
        <w:t xml:space="preserve">with a propensity score of within a small constant (0.00001) below the lowest propensity score of </w:t>
      </w:r>
      <w:r w:rsidR="000048E7">
        <w:t>non-borrowers</w:t>
      </w:r>
      <w:r>
        <w:t xml:space="preserve"> or above the largest propensity score of </w:t>
      </w:r>
      <w:r w:rsidR="000048E7">
        <w:t xml:space="preserve">non-borrowers </w:t>
      </w:r>
      <w:r w:rsidR="00B06653">
        <w:t>to be matched</w:t>
      </w:r>
      <w:r>
        <w:t xml:space="preserve">. This constant is chosen to be arbitrarily small. This approach avoids the exclusion of </w:t>
      </w:r>
      <w:r w:rsidRPr="00727034">
        <w:t>businesses that are “tied” in propensity score with the lowest</w:t>
      </w:r>
      <w:r w:rsidR="004325FC">
        <w:t>/highest</w:t>
      </w:r>
      <w:r w:rsidRPr="00727034">
        <w:t xml:space="preserve"> </w:t>
      </w:r>
      <w:r w:rsidR="00864767">
        <w:t>non-borrower</w:t>
      </w:r>
      <w:r w:rsidRPr="00727034">
        <w:t>.</w:t>
      </w:r>
      <w:r>
        <w:rPr>
          <w:rFonts w:eastAsia="Times New Roman"/>
          <w:color w:val="FF0000"/>
          <w:lang w:val="en-US"/>
        </w:rPr>
        <w:t xml:space="preserve"> </w:t>
      </w:r>
    </w:p>
  </w:footnote>
  <w:footnote w:id="156">
    <w:p w14:paraId="23A8D8F0" w14:textId="6C0DF3A9" w:rsidR="00610C60" w:rsidRPr="00373904" w:rsidRDefault="00610C60" w:rsidP="00610C60">
      <w:pPr>
        <w:pStyle w:val="FootnoteText"/>
        <w:rPr>
          <w:lang w:val="en-US"/>
        </w:rPr>
      </w:pPr>
      <w:r>
        <w:rPr>
          <w:rStyle w:val="FootnoteReference"/>
        </w:rPr>
        <w:footnoteRef/>
      </w:r>
      <w:r>
        <w:t xml:space="preserve"> The combined effect of the calliper, the restriction on </w:t>
      </w:r>
      <w:r w:rsidRPr="002650A1">
        <w:t xml:space="preserve">the propensity scores of the borrowers, and </w:t>
      </w:r>
      <w:r w:rsidR="00AA57C2" w:rsidRPr="002650A1">
        <w:t>the matching</w:t>
      </w:r>
      <w:r w:rsidRPr="002650A1">
        <w:t xml:space="preserve"> </w:t>
      </w:r>
      <w:r w:rsidR="00AA57C2">
        <w:t xml:space="preserve">to </w:t>
      </w:r>
      <w:r w:rsidR="00D828F5">
        <w:t xml:space="preserve">only </w:t>
      </w:r>
      <w:r w:rsidR="00AA57C2">
        <w:t>active firms</w:t>
      </w:r>
      <w:r w:rsidRPr="002650A1">
        <w:t xml:space="preserve"> is to exclude 1 borrower from the main BBLS </w:t>
      </w:r>
      <w:r w:rsidR="00E02031">
        <w:t xml:space="preserve">sample </w:t>
      </w:r>
      <w:r w:rsidRPr="002650A1">
        <w:t>and 1 borrower from the</w:t>
      </w:r>
      <w:r>
        <w:t xml:space="preserve"> main CBILS/CLBILS </w:t>
      </w:r>
      <w:r w:rsidR="00E02031">
        <w:t>sample</w:t>
      </w:r>
      <w:r>
        <w:t>.</w:t>
      </w:r>
    </w:p>
  </w:footnote>
  <w:footnote w:id="157">
    <w:p w14:paraId="10708299" w14:textId="77D836CD" w:rsidR="00C455C8" w:rsidRPr="00436137" w:rsidRDefault="00C455C8" w:rsidP="00C455C8">
      <w:pPr>
        <w:pStyle w:val="FootnoteText"/>
        <w:rPr>
          <w:lang w:val="en-US"/>
        </w:rPr>
      </w:pPr>
      <w:r>
        <w:rPr>
          <w:rStyle w:val="FootnoteReference"/>
        </w:rPr>
        <w:footnoteRef/>
      </w:r>
      <w:r>
        <w:t xml:space="preserve"> Specifically, </w:t>
      </w:r>
      <w:r w:rsidR="008E2626">
        <w:t xml:space="preserve">two </w:t>
      </w:r>
      <w:r w:rsidR="005841E6">
        <w:t>consecutive</w:t>
      </w:r>
      <w:r w:rsidR="008E2626">
        <w:t xml:space="preserve"> years of one-year pre-pandemic</w:t>
      </w:r>
      <w:r>
        <w:t xml:space="preserve"> growth rates. The inclusion of two one-year growth rates in the PSM means that firms that do not have data for </w:t>
      </w:r>
      <w:r w:rsidR="00DC2A9E">
        <w:t xml:space="preserve">the three years </w:t>
      </w:r>
      <w:r w:rsidR="003F39C2">
        <w:t>prior to the pandemic</w:t>
      </w:r>
      <w:r>
        <w:t xml:space="preserve"> are not included in the analysis. The results may therefore not be representative of businesses </w:t>
      </w:r>
      <w:r w:rsidR="005A07C7">
        <w:t>that do not have</w:t>
      </w:r>
      <w:r w:rsidRPr="00436137">
        <w:t xml:space="preserve"> </w:t>
      </w:r>
      <w:r>
        <w:t xml:space="preserve">three years </w:t>
      </w:r>
      <w:r w:rsidRPr="00436137">
        <w:t>of turnover and employment</w:t>
      </w:r>
      <w:r>
        <w:t xml:space="preserve"> history prior to the pandemic.</w:t>
      </w:r>
    </w:p>
  </w:footnote>
  <w:footnote w:id="158">
    <w:p w14:paraId="7B23E73F" w14:textId="1CAE5B2D" w:rsidR="005D274B" w:rsidRPr="005D274B" w:rsidRDefault="005D274B">
      <w:pPr>
        <w:pStyle w:val="FootnoteText"/>
      </w:pPr>
      <w:r>
        <w:rPr>
          <w:rStyle w:val="FootnoteReference"/>
        </w:rPr>
        <w:footnoteRef/>
      </w:r>
      <w:r>
        <w:t xml:space="preserve"> </w:t>
      </w:r>
      <w:r w:rsidR="00E32B25">
        <w:t>Indeed, b</w:t>
      </w:r>
      <w:r>
        <w:t xml:space="preserve">ased on </w:t>
      </w:r>
      <w:r w:rsidR="006B6A86">
        <w:t xml:space="preserve">private sector </w:t>
      </w:r>
      <w:r>
        <w:t xml:space="preserve">Business Population Estimates, companies </w:t>
      </w:r>
      <w:r w:rsidR="00CE6A75">
        <w:t xml:space="preserve">had </w:t>
      </w:r>
      <w:r w:rsidR="00900324">
        <w:t xml:space="preserve">an average turnover of </w:t>
      </w:r>
      <w:r w:rsidR="00AD08FE">
        <w:t xml:space="preserve">£2.0m </w:t>
      </w:r>
      <w:r w:rsidR="00CE6A75">
        <w:t xml:space="preserve">at the start of 2020 </w:t>
      </w:r>
      <w:r w:rsidR="00AD08FE">
        <w:t xml:space="preserve">whereas </w:t>
      </w:r>
      <w:r w:rsidR="005923A2">
        <w:t xml:space="preserve">ordinary partnerships and sole proprietorships respectively </w:t>
      </w:r>
      <w:r w:rsidR="00CE6A75">
        <w:t>had</w:t>
      </w:r>
      <w:r w:rsidR="005923A2">
        <w:t xml:space="preserve"> average turnover of </w:t>
      </w:r>
      <w:r w:rsidR="008F6291">
        <w:t xml:space="preserve">£0.2m and £0.1m. </w:t>
      </w:r>
      <w:r w:rsidR="00590055">
        <w:t>BEIS</w:t>
      </w:r>
      <w:r w:rsidR="008F6291">
        <w:t xml:space="preserve"> (202</w:t>
      </w:r>
      <w:r w:rsidR="00BB33C4">
        <w:t>0</w:t>
      </w:r>
      <w:r w:rsidR="008F6291">
        <w:t>)</w:t>
      </w:r>
      <w:r w:rsidR="00BB33C4">
        <w:t xml:space="preserve"> </w:t>
      </w:r>
      <w:r w:rsidR="00BB33C4" w:rsidRPr="00846F78">
        <w:rPr>
          <w:i/>
          <w:iCs/>
        </w:rPr>
        <w:t>Business Population Estimates for the UK and Regions 2020</w:t>
      </w:r>
      <w:r w:rsidR="00127F08">
        <w:t xml:space="preserve">. [Online] Available at: </w:t>
      </w:r>
      <w:hyperlink r:id="rId17" w:history="1">
        <w:r w:rsidR="00BB69CC" w:rsidRPr="00721329">
          <w:rPr>
            <w:rStyle w:val="Hyperlink"/>
          </w:rPr>
          <w:t>https://assets.publishing.service.gov.uk/government/uploads/system/uploads/attachment_data/file/922793/BPE__2020_detailed_tables.xlsx</w:t>
        </w:r>
      </w:hyperlink>
      <w:r w:rsidR="00150947">
        <w:t xml:space="preserve">. </w:t>
      </w:r>
    </w:p>
  </w:footnote>
  <w:footnote w:id="159">
    <w:p w14:paraId="0478812A" w14:textId="3560DAEC" w:rsidR="00610C60" w:rsidRPr="000E52FB" w:rsidRDefault="00610C60" w:rsidP="00610C60">
      <w:pPr>
        <w:pStyle w:val="FootnoteText"/>
        <w:rPr>
          <w:lang w:val="en-US"/>
        </w:rPr>
      </w:pPr>
      <w:r>
        <w:rPr>
          <w:rStyle w:val="FootnoteReference"/>
        </w:rPr>
        <w:footnoteRef/>
      </w:r>
      <w:r>
        <w:t xml:space="preserve"> </w:t>
      </w:r>
      <w:r>
        <w:rPr>
          <w:lang w:val="en-US"/>
        </w:rPr>
        <w:t>The number of firms in each turnover band was obtained from BBB Management Information data</w:t>
      </w:r>
      <w:r w:rsidR="003A3361">
        <w:rPr>
          <w:lang w:val="en-US"/>
        </w:rPr>
        <w:t>.</w:t>
      </w:r>
    </w:p>
  </w:footnote>
  <w:footnote w:id="160">
    <w:p w14:paraId="71F8DDB3" w14:textId="59AB22C8" w:rsidR="00C3114B" w:rsidRPr="00C3114B" w:rsidRDefault="00C3114B">
      <w:pPr>
        <w:pStyle w:val="FootnoteText"/>
      </w:pPr>
      <w:r>
        <w:rPr>
          <w:rStyle w:val="FootnoteReference"/>
        </w:rPr>
        <w:footnoteRef/>
      </w:r>
      <w:r>
        <w:t xml:space="preserve"> With a 95% confidence interval of 5.0%-6.5%. </w:t>
      </w:r>
    </w:p>
  </w:footnote>
  <w:footnote w:id="161">
    <w:p w14:paraId="5B9E45D9" w14:textId="54CC92A9" w:rsidR="00C3114B" w:rsidRPr="00C3114B" w:rsidRDefault="00C3114B">
      <w:pPr>
        <w:pStyle w:val="FootnoteText"/>
      </w:pPr>
      <w:r>
        <w:rPr>
          <w:rStyle w:val="FootnoteReference"/>
        </w:rPr>
        <w:footnoteRef/>
      </w:r>
      <w:r>
        <w:t xml:space="preserve"> W</w:t>
      </w:r>
      <w:r w:rsidRPr="006D5A88">
        <w:t>ith a 95% confidence interval of 4.0%-4.7%</w:t>
      </w:r>
      <w:r>
        <w:t>.</w:t>
      </w:r>
    </w:p>
  </w:footnote>
  <w:footnote w:id="162">
    <w:p w14:paraId="70135A88" w14:textId="17B92310" w:rsidR="00293B86" w:rsidRDefault="00293B86">
      <w:pPr>
        <w:pStyle w:val="FootnoteText"/>
      </w:pPr>
      <w:r>
        <w:rPr>
          <w:rStyle w:val="FootnoteReference"/>
        </w:rPr>
        <w:footnoteRef/>
      </w:r>
      <w:r>
        <w:t xml:space="preserve"> A point estimate of 226,560 within a range of 197,054-256,066</w:t>
      </w:r>
      <w:r w:rsidR="000B5EA9">
        <w:t xml:space="preserve">. </w:t>
      </w:r>
      <w:r w:rsidR="003D3C06">
        <w:t xml:space="preserve">Due to the complexity of the estimation method, this </w:t>
      </w:r>
      <w:r w:rsidR="000B5EA9">
        <w:t>range is not a</w:t>
      </w:r>
      <w:r w:rsidR="000B5EA9" w:rsidRPr="003A522E">
        <w:t xml:space="preserve"> confidence interval</w:t>
      </w:r>
      <w:r w:rsidR="003D3C06">
        <w:t xml:space="preserve"> but reflects the uncertainty</w:t>
      </w:r>
      <w:r w:rsidR="000B5EA9">
        <w:t xml:space="preserve"> </w:t>
      </w:r>
      <w:r w:rsidR="003D3C06">
        <w:t>around the</w:t>
      </w:r>
      <w:r w:rsidR="000B5EA9">
        <w:t xml:space="preserve"> schemes’ impact on business </w:t>
      </w:r>
      <w:r w:rsidR="004550ED">
        <w:t xml:space="preserve">closure </w:t>
      </w:r>
      <w:r w:rsidR="000B5EA9">
        <w:t xml:space="preserve">rates. </w:t>
      </w:r>
      <w:r w:rsidR="003D3C06">
        <w:t>More specifically, t</w:t>
      </w:r>
      <w:r w:rsidR="000B5EA9">
        <w:t xml:space="preserve">he width of the range (relative to the point estimate) is defined to be the same as that of the 95% confidence interval associated with the impact of the schemes on business </w:t>
      </w:r>
      <w:r w:rsidR="004550ED">
        <w:t xml:space="preserve">closure </w:t>
      </w:r>
      <w:r w:rsidR="000B5EA9">
        <w:t xml:space="preserve">rates. For instance, the 95% confidence interval in the case of the BBLS is defined as +/- 13% of the point estimate. Therefore, the lower (upper) bound of the range for the impact of the BBLS on jobs is defined to be 13% below (above) the point estimate. The range is calculated in a similar manner for the CBILS/CLBILS schemes. </w:t>
      </w:r>
    </w:p>
  </w:footnote>
  <w:footnote w:id="163">
    <w:p w14:paraId="0278315B" w14:textId="5DE7F167" w:rsidR="00293B86" w:rsidRDefault="00293B86">
      <w:pPr>
        <w:pStyle w:val="FootnoteText"/>
      </w:pPr>
      <w:r>
        <w:rPr>
          <w:rStyle w:val="FootnoteReference"/>
        </w:rPr>
        <w:footnoteRef/>
      </w:r>
      <w:r>
        <w:t xml:space="preserve"> A point estimate of 64,153 within a range of 58,667-69,638</w:t>
      </w:r>
    </w:p>
  </w:footnote>
  <w:footnote w:id="164">
    <w:p w14:paraId="0FFE113C" w14:textId="428B5B13" w:rsidR="00974DFE" w:rsidRDefault="00974DFE">
      <w:pPr>
        <w:pStyle w:val="FootnoteText"/>
      </w:pPr>
      <w:r>
        <w:rPr>
          <w:rStyle w:val="FootnoteReference"/>
        </w:rPr>
        <w:footnoteRef/>
      </w:r>
      <w:r>
        <w:t xml:space="preserve"> This approach implicitly assumes that the </w:t>
      </w:r>
      <w:r w:rsidR="00242DBA">
        <w:t>distribution of borrowers’ turnover bands does not change across sectors</w:t>
      </w:r>
      <w:r w:rsidR="00750F0B">
        <w:t>.</w:t>
      </w:r>
      <w:r w:rsidR="00242DBA">
        <w:t xml:space="preserve"> </w:t>
      </w:r>
    </w:p>
  </w:footnote>
  <w:footnote w:id="165">
    <w:p w14:paraId="7BBE81F7" w14:textId="219E79DD" w:rsidR="00242DBA" w:rsidRDefault="00242DBA">
      <w:pPr>
        <w:pStyle w:val="FootnoteText"/>
      </w:pPr>
      <w:r>
        <w:rPr>
          <w:rStyle w:val="FootnoteReference"/>
        </w:rPr>
        <w:footnoteRef/>
      </w:r>
      <w:r>
        <w:t xml:space="preserve"> This approach implicitly assumes that the distribution of borrowers’ turnover bands does not change across regions</w:t>
      </w:r>
      <w:r w:rsidR="00750F0B">
        <w:t>.</w:t>
      </w:r>
      <w:r>
        <w:t xml:space="preserve"> </w:t>
      </w:r>
    </w:p>
  </w:footnote>
  <w:footnote w:id="166">
    <w:p w14:paraId="7EAC97BA" w14:textId="77777777" w:rsidR="00AC55AD" w:rsidRPr="00213BC9" w:rsidRDefault="00AC55AD" w:rsidP="00AC55AD">
      <w:pPr>
        <w:pStyle w:val="FootnoteText"/>
        <w:rPr>
          <w:lang w:val="en-US"/>
        </w:rPr>
      </w:pPr>
      <w:r>
        <w:rPr>
          <w:rStyle w:val="FootnoteReference"/>
        </w:rPr>
        <w:footnoteRef/>
      </w:r>
      <w:r>
        <w:t xml:space="preserve"> An introduction to PSM can be found in </w:t>
      </w:r>
      <w:r w:rsidRPr="00037FA9">
        <w:t xml:space="preserve">Caliendo, M., &amp; </w:t>
      </w:r>
      <w:proofErr w:type="spellStart"/>
      <w:r w:rsidRPr="00037FA9">
        <w:t>Kopeinig</w:t>
      </w:r>
      <w:proofErr w:type="spellEnd"/>
      <w:r w:rsidRPr="00037FA9">
        <w:t xml:space="preserve">, S. (2008). Some practical guidance for the implementation of propensity score matching. </w:t>
      </w:r>
      <w:r w:rsidRPr="00AA3170">
        <w:rPr>
          <w:i/>
          <w:iCs/>
        </w:rPr>
        <w:t>Journal of economic surveys</w:t>
      </w:r>
      <w:r w:rsidRPr="00037FA9">
        <w:t>, 22(1), 31-72.</w:t>
      </w:r>
    </w:p>
  </w:footnote>
  <w:footnote w:id="167">
    <w:p w14:paraId="3E45C1F7" w14:textId="77777777" w:rsidR="00AC55AD" w:rsidRPr="00B96ECE" w:rsidRDefault="00AC55AD" w:rsidP="00AC55AD">
      <w:pPr>
        <w:pStyle w:val="FootnoteText"/>
        <w:rPr>
          <w:lang w:val="en-US"/>
        </w:rPr>
      </w:pPr>
      <w:r>
        <w:rPr>
          <w:rStyle w:val="FootnoteReference"/>
        </w:rPr>
        <w:footnoteRef/>
      </w:r>
      <w:r>
        <w:t xml:space="preserve"> </w:t>
      </w:r>
      <w:r>
        <w:rPr>
          <w:lang w:val="en-US"/>
        </w:rPr>
        <w:t xml:space="preserve">An introduction to difference-in-differences can be found in Fredriksson, A., &amp; Oliviera, G. (2019). Impact evaluation using Difference-in-Differences. </w:t>
      </w:r>
      <w:r>
        <w:rPr>
          <w:i/>
          <w:iCs/>
          <w:lang w:val="en-US"/>
        </w:rPr>
        <w:t>RAUSP Management Journal</w:t>
      </w:r>
      <w:r>
        <w:rPr>
          <w:lang w:val="en-US"/>
        </w:rPr>
        <w:t>, 55(4), 519-532.</w:t>
      </w:r>
    </w:p>
  </w:footnote>
  <w:footnote w:id="168">
    <w:p w14:paraId="7BBA8D9F" w14:textId="17E7AFA8" w:rsidR="00E94D4D" w:rsidRDefault="00E94D4D">
      <w:pPr>
        <w:pStyle w:val="FootnoteText"/>
      </w:pPr>
      <w:r>
        <w:rPr>
          <w:rStyle w:val="FootnoteReference"/>
        </w:rPr>
        <w:footnoteRef/>
      </w:r>
      <w:r>
        <w:t xml:space="preserve"> The loosening of this restriction expands the sample size by less than 0.1% in each case. See </w:t>
      </w:r>
      <w:r>
        <w:fldChar w:fldCharType="begin"/>
      </w:r>
      <w:r>
        <w:instrText xml:space="preserve"> REF _Ref126237016 \h </w:instrText>
      </w:r>
      <w:r>
        <w:fldChar w:fldCharType="separate"/>
      </w:r>
      <w:r w:rsidRPr="00490C53">
        <w:t xml:space="preserve">Annex </w:t>
      </w:r>
      <w:r>
        <w:t>4</w:t>
      </w:r>
      <w:r>
        <w:fldChar w:fldCharType="end"/>
      </w:r>
      <w:r>
        <w:t xml:space="preserve"> for further details.</w:t>
      </w:r>
    </w:p>
  </w:footnote>
  <w:footnote w:id="169">
    <w:p w14:paraId="152F0344" w14:textId="6E4981F1" w:rsidR="00AC55AD" w:rsidRPr="00AA3170" w:rsidRDefault="00AC55AD" w:rsidP="00AC55AD">
      <w:pPr>
        <w:pStyle w:val="FootnoteText"/>
      </w:pPr>
      <w:r w:rsidRPr="00037FA9">
        <w:rPr>
          <w:rStyle w:val="FootnoteReference"/>
        </w:rPr>
        <w:footnoteRef/>
      </w:r>
      <w:r w:rsidRPr="00037FA9">
        <w:t xml:space="preserve"> </w:t>
      </w:r>
      <w:r>
        <w:t>I</w:t>
      </w:r>
      <w:r w:rsidRPr="00AA3170">
        <w:t xml:space="preserve">deally, the treated and </w:t>
      </w:r>
      <w:r>
        <w:t>control</w:t>
      </w:r>
      <w:r w:rsidRPr="00AA3170">
        <w:t xml:space="preserve"> samples would be </w:t>
      </w:r>
      <w:proofErr w:type="gramStart"/>
      <w:r w:rsidRPr="00AA3170">
        <w:t>similar to</w:t>
      </w:r>
      <w:proofErr w:type="gramEnd"/>
      <w:r w:rsidRPr="00AA3170">
        <w:t xml:space="preserve"> the extent that their </w:t>
      </w:r>
      <w:r>
        <w:t>turnover and employment before the pandemic</w:t>
      </w:r>
      <w:r w:rsidRPr="00AA3170">
        <w:t xml:space="preserve"> would be identical. However, given that it is not possible to observe all relevant characteristics and incorporate these into the </w:t>
      </w:r>
      <w:r>
        <w:t xml:space="preserve">PSM, </w:t>
      </w:r>
      <w:r w:rsidRPr="00AA3170">
        <w:t xml:space="preserve">it is possible that differences in outcomes remain between both groups even after the matching. </w:t>
      </w:r>
    </w:p>
  </w:footnote>
  <w:footnote w:id="170">
    <w:p w14:paraId="6B8B0ED2" w14:textId="61708DCA" w:rsidR="00AC55AD" w:rsidRPr="00436137" w:rsidRDefault="00AC55AD" w:rsidP="00AC55AD">
      <w:pPr>
        <w:pStyle w:val="FootnoteText"/>
        <w:rPr>
          <w:lang w:val="en-US"/>
        </w:rPr>
      </w:pPr>
      <w:r>
        <w:rPr>
          <w:rStyle w:val="FootnoteReference"/>
        </w:rPr>
        <w:footnoteRef/>
      </w:r>
      <w:r>
        <w:t xml:space="preserve"> </w:t>
      </w:r>
      <w:r>
        <w:rPr>
          <w:lang w:val="en-US"/>
        </w:rPr>
        <w:t xml:space="preserve">To deal with the problem of zeros in the dependent variable, </w:t>
      </w:r>
      <w:r w:rsidR="00436EDB">
        <w:rPr>
          <w:lang w:val="en-US"/>
        </w:rPr>
        <w:t>the</w:t>
      </w:r>
      <w:r>
        <w:rPr>
          <w:lang w:val="en-US"/>
        </w:rPr>
        <w:t xml:space="preserve"> log(y+1) transformation was implemented. The need for this transformation arises because </w:t>
      </w:r>
      <w:proofErr w:type="gramStart"/>
      <w:r>
        <w:rPr>
          <w:lang w:val="en-US"/>
        </w:rPr>
        <w:t>log(</w:t>
      </w:r>
      <w:proofErr w:type="gramEnd"/>
      <w:r>
        <w:rPr>
          <w:lang w:val="en-US"/>
        </w:rPr>
        <w:t xml:space="preserve">0) is undefined. The choice of the constant 1 is discretionary and may arbitrarily bias the estimates and their standard errors. However, the log(y+1) transformation </w:t>
      </w:r>
      <w:proofErr w:type="gramStart"/>
      <w:r>
        <w:rPr>
          <w:lang w:val="en-US"/>
        </w:rPr>
        <w:t>is considered to be</w:t>
      </w:r>
      <w:proofErr w:type="gramEnd"/>
      <w:r>
        <w:rPr>
          <w:lang w:val="en-US"/>
        </w:rPr>
        <w:t xml:space="preserve"> the most popular solution to the problem of zeros in the academic literature. For a discussion of this issue, see</w:t>
      </w:r>
      <w:r w:rsidRPr="00C03E74">
        <w:rPr>
          <w:lang w:val="en-US"/>
        </w:rPr>
        <w:t xml:space="preserve"> </w:t>
      </w:r>
      <w:proofErr w:type="spellStart"/>
      <w:r w:rsidRPr="00C03E74">
        <w:rPr>
          <w:lang w:val="en-US"/>
        </w:rPr>
        <w:t>Bellégo</w:t>
      </w:r>
      <w:proofErr w:type="spellEnd"/>
      <w:r>
        <w:rPr>
          <w:lang w:val="en-US"/>
        </w:rPr>
        <w:t xml:space="preserve">, </w:t>
      </w:r>
      <w:proofErr w:type="spellStart"/>
      <w:r w:rsidRPr="00C03E74">
        <w:rPr>
          <w:lang w:val="en-US"/>
        </w:rPr>
        <w:t>Benatia</w:t>
      </w:r>
      <w:proofErr w:type="spellEnd"/>
      <w:r w:rsidRPr="00C03E74">
        <w:rPr>
          <w:lang w:val="en-US"/>
        </w:rPr>
        <w:t xml:space="preserve"> </w:t>
      </w:r>
      <w:r>
        <w:rPr>
          <w:lang w:val="en-US"/>
        </w:rPr>
        <w:t>and</w:t>
      </w:r>
      <w:r w:rsidRPr="00C03E74">
        <w:rPr>
          <w:lang w:val="en-US"/>
        </w:rPr>
        <w:t xml:space="preserve"> Pape</w:t>
      </w:r>
      <w:r>
        <w:rPr>
          <w:lang w:val="en-US"/>
        </w:rPr>
        <w:t xml:space="preserve"> (</w:t>
      </w:r>
      <w:r w:rsidRPr="00C03E74">
        <w:rPr>
          <w:lang w:val="en-US"/>
        </w:rPr>
        <w:t>2022</w:t>
      </w:r>
      <w:r>
        <w:rPr>
          <w:lang w:val="en-US"/>
        </w:rPr>
        <w:t>)</w:t>
      </w:r>
      <w:r w:rsidRPr="00C03E74">
        <w:rPr>
          <w:lang w:val="en-US"/>
        </w:rPr>
        <w:t>. Dealing with Logs and Zeros in Regression Models, Working Papers 2022-08, Center for Research in Economics and Statistics</w:t>
      </w:r>
      <w:r>
        <w:rPr>
          <w:lang w:val="en-US"/>
        </w:rPr>
        <w:t xml:space="preserve">. </w:t>
      </w:r>
    </w:p>
  </w:footnote>
  <w:footnote w:id="171">
    <w:p w14:paraId="45A69B8A" w14:textId="2C5821C8" w:rsidR="00B31B66" w:rsidRPr="00C651E3" w:rsidRDefault="00B31B66" w:rsidP="00B31B66">
      <w:pPr>
        <w:pStyle w:val="FootnoteText"/>
        <w:rPr>
          <w:lang w:val="en-US"/>
        </w:rPr>
      </w:pPr>
      <w:r>
        <w:rPr>
          <w:rStyle w:val="FootnoteReference"/>
        </w:rPr>
        <w:footnoteRef/>
      </w:r>
      <w:r>
        <w:t xml:space="preserve"> Given that pre-pandemic turnover and employment is used in the PSM, it must not be influenced by the treatment (</w:t>
      </w:r>
      <w:proofErr w:type="gramStart"/>
      <w:r>
        <w:t>i.e.</w:t>
      </w:r>
      <w:proofErr w:type="gramEnd"/>
      <w:r>
        <w:t xml:space="preserve"> participation in the Covid-19 Loan Guarantee Schemes). </w:t>
      </w:r>
      <w:proofErr w:type="gramStart"/>
      <w:r>
        <w:t>Therefore</w:t>
      </w:r>
      <w:proofErr w:type="gramEnd"/>
      <w:r>
        <w:t xml:space="preserve"> pre-pandemic turnover and employment must refer to a period entirely before the pandemic.</w:t>
      </w:r>
      <w:r>
        <w:rPr>
          <w:lang w:val="en-US"/>
        </w:rPr>
        <w:t xml:space="preserve"> </w:t>
      </w:r>
    </w:p>
  </w:footnote>
  <w:footnote w:id="172">
    <w:p w14:paraId="24E456BA" w14:textId="77777777" w:rsidR="003C35A8" w:rsidRDefault="00AC55AD" w:rsidP="00AC55AD">
      <w:pPr>
        <w:pStyle w:val="FootnoteText"/>
      </w:pPr>
      <w:r>
        <w:rPr>
          <w:rStyle w:val="FootnoteReference"/>
        </w:rPr>
        <w:footnoteRef/>
      </w:r>
      <w:r>
        <w:t xml:space="preserve"> Specifically, </w:t>
      </w:r>
      <w:r w:rsidR="00811654">
        <w:t xml:space="preserve">given lags </w:t>
      </w:r>
      <w:r w:rsidR="00AB64E5">
        <w:t xml:space="preserve">between </w:t>
      </w:r>
      <w:r w:rsidR="00C90ECE">
        <w:t xml:space="preserve">the time at which </w:t>
      </w:r>
      <w:r w:rsidR="006A2AE1">
        <w:t xml:space="preserve">the </w:t>
      </w:r>
      <w:r w:rsidR="00C90ECE">
        <w:t xml:space="preserve">IDBR is updated and </w:t>
      </w:r>
      <w:r w:rsidR="006A2AE1">
        <w:t>the reference period of the data</w:t>
      </w:r>
      <w:r w:rsidR="00811654">
        <w:t xml:space="preserve">, </w:t>
      </w:r>
      <w:r>
        <w:t xml:space="preserve">the September 2020 extract was used for pre-pandemic turnover data, while the September 2019 extract was used for pre-pandemic employment data. The September 2021 extract was used for post-pandemic turnover and </w:t>
      </w:r>
      <w:r w:rsidRPr="00085964">
        <w:t>employment data</w:t>
      </w:r>
      <w:r>
        <w:t>.</w:t>
      </w:r>
    </w:p>
    <w:p w14:paraId="3921DF52" w14:textId="35FC6988" w:rsidR="003C35A8" w:rsidRDefault="000B5755" w:rsidP="00AC55AD">
      <w:pPr>
        <w:pStyle w:val="FootnoteText"/>
      </w:pPr>
      <w:r>
        <w:t xml:space="preserve">Different extracts are used </w:t>
      </w:r>
      <w:r w:rsidR="00667131">
        <w:t xml:space="preserve">for pre-pandemic </w:t>
      </w:r>
      <w:r>
        <w:t xml:space="preserve">turnover and employment </w:t>
      </w:r>
      <w:r w:rsidR="00667131">
        <w:t xml:space="preserve">data because of the need </w:t>
      </w:r>
      <w:r w:rsidR="006929B5">
        <w:t>to cover a period entirely before the pandemic</w:t>
      </w:r>
      <w:r w:rsidR="00CC4863">
        <w:t xml:space="preserve">, and the fact that turnover and employment data </w:t>
      </w:r>
      <w:proofErr w:type="gramStart"/>
      <w:r w:rsidR="00CC4863">
        <w:t>in a given</w:t>
      </w:r>
      <w:proofErr w:type="gramEnd"/>
      <w:r w:rsidR="00CC4863">
        <w:t xml:space="preserve"> extract refer to different periods </w:t>
      </w:r>
      <w:r w:rsidR="009F06C0">
        <w:t xml:space="preserve">due to differences in data sources. </w:t>
      </w:r>
      <w:r w:rsidR="008B71BA" w:rsidRPr="00080FB6">
        <w:t xml:space="preserve">The post-pandemic period was chosen as </w:t>
      </w:r>
      <w:r w:rsidR="003C35A8" w:rsidRPr="00080FB6">
        <w:t>the first period that primarily refers to post pandemic dat</w:t>
      </w:r>
      <w:r w:rsidR="008B71BA" w:rsidRPr="00080FB6">
        <w:t>a</w:t>
      </w:r>
      <w:r w:rsidR="00553F69">
        <w:t>.</w:t>
      </w:r>
    </w:p>
    <w:p w14:paraId="50C487F9" w14:textId="6CCABD08" w:rsidR="00AC55AD" w:rsidRDefault="006D0A5F" w:rsidP="00AC55AD">
      <w:pPr>
        <w:pStyle w:val="FootnoteText"/>
      </w:pPr>
      <w:r>
        <w:t xml:space="preserve">Information on the data sources and reference periods </w:t>
      </w:r>
      <w:r w:rsidR="003B1849">
        <w:t xml:space="preserve">of turnover and employment data in the IDBR was gathered from internal BEIS documentation, discussions with </w:t>
      </w:r>
      <w:r w:rsidR="007A26E6">
        <w:t xml:space="preserve">BEIS and the ONS, as well as documentation </w:t>
      </w:r>
      <w:r w:rsidR="006172A3">
        <w:t xml:space="preserve">available online </w:t>
      </w:r>
      <w:r w:rsidR="00D65DB4">
        <w:t>(s</w:t>
      </w:r>
      <w:r w:rsidR="00AC55AD" w:rsidRPr="00085964">
        <w:t>ee</w:t>
      </w:r>
      <w:r w:rsidR="00D65DB4">
        <w:t>, for instance,</w:t>
      </w:r>
      <w:r w:rsidR="00AC55AD" w:rsidRPr="00085964">
        <w:t xml:space="preserve"> </w:t>
      </w:r>
      <w:r w:rsidR="00876E8E">
        <w:t xml:space="preserve">ONS (2006) </w:t>
      </w:r>
      <w:r w:rsidR="00AC55AD" w:rsidRPr="00846F78">
        <w:rPr>
          <w:i/>
          <w:iCs/>
        </w:rPr>
        <w:t>Business Structure Database User Guide</w:t>
      </w:r>
      <w:r w:rsidR="00AC55AD" w:rsidRPr="00085964">
        <w:t xml:space="preserve">, available at </w:t>
      </w:r>
      <w:hyperlink r:id="rId18" w:history="1">
        <w:r w:rsidR="00AC55AD" w:rsidRPr="00085964">
          <w:rPr>
            <w:rStyle w:val="Hyperlink"/>
          </w:rPr>
          <w:t>http://doc.ukdataservice.ac.uk/doc/6697/mrdoc/pdf/6697_user_guide.pdf</w:t>
        </w:r>
      </w:hyperlink>
      <w:r w:rsidR="004D463A">
        <w:rPr>
          <w:rStyle w:val="Hyperlink"/>
        </w:rPr>
        <w:t>)</w:t>
      </w:r>
      <w:r w:rsidR="0077409D">
        <w:rPr>
          <w:rStyle w:val="Hyperlink"/>
        </w:rPr>
        <w:t>.</w:t>
      </w:r>
      <w:r w:rsidR="00AC55AD">
        <w:t xml:space="preserve"> </w:t>
      </w:r>
    </w:p>
  </w:footnote>
  <w:footnote w:id="173">
    <w:p w14:paraId="5B1956F1" w14:textId="77777777" w:rsidR="008D0FBC" w:rsidRDefault="008D0FBC" w:rsidP="008D0FBC">
      <w:pPr>
        <w:pStyle w:val="FootnoteText"/>
      </w:pPr>
      <w:r>
        <w:rPr>
          <w:rStyle w:val="FootnoteReference"/>
        </w:rPr>
        <w:footnoteRef/>
      </w:r>
      <w:r>
        <w:t xml:space="preserve"> It should be noted that the magnitude of growth rates is also likely to be associated with size, though the PSM regression specification also controls for size. </w:t>
      </w:r>
    </w:p>
  </w:footnote>
  <w:footnote w:id="174">
    <w:p w14:paraId="762953F5" w14:textId="09B89E9D" w:rsidR="008D0FBC" w:rsidRPr="00742441" w:rsidRDefault="008D0FBC" w:rsidP="008D0FBC">
      <w:pPr>
        <w:pStyle w:val="FootnoteText"/>
      </w:pPr>
      <w:r>
        <w:rPr>
          <w:rStyle w:val="FootnoteReference"/>
        </w:rPr>
        <w:footnoteRef/>
      </w:r>
      <w:r>
        <w:t xml:space="preserve"> In addition, the variables included in the main regressions were included – namely a time dummy for </w:t>
      </w:r>
      <w:r w:rsidR="00852763">
        <w:t>the first year of the pandemic</w:t>
      </w:r>
      <w:r>
        <w:t xml:space="preserve">, an interaction between that dummy and the treatment indicator, and an indicator for CJRS use. Firm fixed effects were also used. </w:t>
      </w:r>
    </w:p>
  </w:footnote>
  <w:footnote w:id="175">
    <w:p w14:paraId="2A86DA3D" w14:textId="77777777" w:rsidR="008D0FBC" w:rsidRPr="00E7704D" w:rsidRDefault="008D0FBC" w:rsidP="008D0FBC">
      <w:pPr>
        <w:pStyle w:val="FootnoteText"/>
      </w:pPr>
      <w:r>
        <w:rPr>
          <w:rStyle w:val="FootnoteReference"/>
        </w:rPr>
        <w:footnoteRef/>
      </w:r>
      <w:r>
        <w:t xml:space="preserve"> T</w:t>
      </w:r>
      <w:r w:rsidRPr="00F77AB8">
        <w:t>he possible values for th</w:t>
      </w:r>
      <w:r>
        <w:t>e sector</w:t>
      </w:r>
      <w:r w:rsidRPr="00F77AB8">
        <w:t xml:space="preserve"> variable </w:t>
      </w:r>
      <w:proofErr w:type="gramStart"/>
      <w:r>
        <w:t>on the basis of</w:t>
      </w:r>
      <w:proofErr w:type="gramEnd"/>
      <w:r>
        <w:t xml:space="preserve"> which standard errors were clustered </w:t>
      </w:r>
      <w:r w:rsidRPr="00F77AB8">
        <w:t>were Primary/Manufacturing</w:t>
      </w:r>
      <w:r>
        <w:t xml:space="preserve"> (SIC section </w:t>
      </w:r>
      <w:r w:rsidRPr="00F25A5F">
        <w:t>A, B, C, D and E</w:t>
      </w:r>
      <w:r>
        <w:t>)</w:t>
      </w:r>
      <w:r w:rsidRPr="00F77AB8">
        <w:t>, Construction</w:t>
      </w:r>
      <w:r>
        <w:t xml:space="preserve"> (SIC section F)</w:t>
      </w:r>
      <w:r w:rsidRPr="00F77AB8">
        <w:t>, Distribution</w:t>
      </w:r>
      <w:r>
        <w:t xml:space="preserve"> (SIC section G, H, and I)</w:t>
      </w:r>
      <w:r w:rsidRPr="00F77AB8">
        <w:t>, Business Services</w:t>
      </w:r>
      <w:r>
        <w:t xml:space="preserve"> (</w:t>
      </w:r>
      <w:r w:rsidRPr="00F25A5F">
        <w:t>J,</w:t>
      </w:r>
      <w:r>
        <w:t xml:space="preserve"> </w:t>
      </w:r>
      <w:r w:rsidRPr="00F25A5F">
        <w:t>K,</w:t>
      </w:r>
      <w:r>
        <w:t xml:space="preserve"> </w:t>
      </w:r>
      <w:r w:rsidRPr="00F25A5F">
        <w:t>L,</w:t>
      </w:r>
      <w:r>
        <w:t xml:space="preserve"> </w:t>
      </w:r>
      <w:r w:rsidRPr="00F25A5F">
        <w:t>M,</w:t>
      </w:r>
      <w:r>
        <w:t xml:space="preserve"> </w:t>
      </w:r>
      <w:r w:rsidRPr="00F25A5F">
        <w:t>N</w:t>
      </w:r>
      <w:r>
        <w:t xml:space="preserve">) and </w:t>
      </w:r>
      <w:r w:rsidRPr="00F77AB8">
        <w:t>Other Services</w:t>
      </w:r>
      <w:r>
        <w:t xml:space="preserve"> (</w:t>
      </w:r>
      <w:r w:rsidRPr="00B421FF">
        <w:t>P, Q, R, S</w:t>
      </w:r>
      <w:r>
        <w:t>)</w:t>
      </w:r>
      <w:r w:rsidRPr="00F77AB8">
        <w:t>.</w:t>
      </w:r>
      <w:r>
        <w:t xml:space="preserve"> </w:t>
      </w:r>
    </w:p>
  </w:footnote>
  <w:footnote w:id="176">
    <w:p w14:paraId="44AFCAC7" w14:textId="5A554E19" w:rsidR="00292612" w:rsidRPr="00846F78" w:rsidRDefault="00292612">
      <w:pPr>
        <w:pStyle w:val="FootnoteText"/>
        <w:rPr>
          <w:lang w:val="en-US"/>
        </w:rPr>
      </w:pPr>
      <w:r>
        <w:rPr>
          <w:rStyle w:val="FootnoteReference"/>
        </w:rPr>
        <w:footnoteRef/>
      </w:r>
      <w:r>
        <w:t xml:space="preserve"> </w:t>
      </w:r>
      <w:r w:rsidR="009632B0">
        <w:t xml:space="preserve">Actual </w:t>
      </w:r>
      <w:r w:rsidR="00240F55">
        <w:t xml:space="preserve">post-pandemic </w:t>
      </w:r>
      <w:r w:rsidR="009632B0">
        <w:t xml:space="preserve">employment is equal to potential </w:t>
      </w:r>
      <w:r w:rsidR="00240F55">
        <w:t xml:space="preserve">post-pandemic </w:t>
      </w:r>
      <w:r w:rsidR="009632B0">
        <w:t xml:space="preserve">employment in the absence of the Covid-19 Loan Guarantee Schemes plus any changes in employment that occurred </w:t>
      </w:r>
      <w:proofErr w:type="gramStart"/>
      <w:r w:rsidR="009632B0">
        <w:t>as a result of</w:t>
      </w:r>
      <w:proofErr w:type="gramEnd"/>
      <w:r w:rsidR="009632B0">
        <w:t xml:space="preserve"> the </w:t>
      </w:r>
      <w:r w:rsidR="00181E0E">
        <w:t xml:space="preserve">Covid-19 </w:t>
      </w:r>
      <w:r w:rsidR="009632B0">
        <w:t>Loan Guarantee Schemes. As the change in employment due to the Loan Guarantee Schemes is</w:t>
      </w:r>
      <w:r w:rsidR="0086062F">
        <w:t xml:space="preserve"> equal to potential employment multiplied by</w:t>
      </w:r>
      <w:r w:rsidR="009632B0">
        <w:t xml:space="preserve">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m:t>
        </m:r>
      </m:oMath>
      <w:r w:rsidR="009632B0">
        <w:t xml:space="preserve">, actual </w:t>
      </w:r>
      <w:r w:rsidR="00240F55">
        <w:t xml:space="preserve">post-pandemic </w:t>
      </w:r>
      <w:r w:rsidR="009632B0">
        <w:t xml:space="preserve">employment is equal to potential </w:t>
      </w:r>
      <w:r w:rsidR="00240F55">
        <w:t xml:space="preserve">post-pandemic </w:t>
      </w:r>
      <w:r w:rsidR="009632B0">
        <w:t xml:space="preserve">employment multiplied by </w:t>
      </w:r>
      <m:oMath>
        <m:r>
          <w:rPr>
            <w:rFonts w:ascii="Cambria Math" w:hAnsi="Cambria Math"/>
            <w:szCs w:val="24"/>
          </w:rPr>
          <m:t>1+</m:t>
        </m:r>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m:t>
        </m:r>
      </m:oMath>
      <w:r w:rsidR="009632B0">
        <w:rPr>
          <w:szCs w:val="24"/>
        </w:rPr>
        <w:t xml:space="preserve">, or multiplied by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m:t>
        </m:r>
      </m:oMath>
      <w:r w:rsidR="009632B0">
        <w:rPr>
          <w:rFonts w:eastAsiaTheme="minorEastAsia"/>
          <w:lang w:val="en-US"/>
        </w:rPr>
        <w:t xml:space="preserve">. </w:t>
      </w:r>
      <w:r w:rsidR="0012170E" w:rsidRPr="00846F78">
        <w:rPr>
          <w:szCs w:val="24"/>
        </w:rPr>
        <w:t xml:space="preserve">Therefore, potential </w:t>
      </w:r>
      <w:r w:rsidR="00240F55">
        <w:rPr>
          <w:szCs w:val="24"/>
        </w:rPr>
        <w:t>post-pandemic</w:t>
      </w:r>
      <w:r w:rsidR="00240F55" w:rsidRPr="00846F78">
        <w:rPr>
          <w:szCs w:val="24"/>
        </w:rPr>
        <w:t xml:space="preserve"> </w:t>
      </w:r>
      <w:r w:rsidR="0012170E" w:rsidRPr="00846F78">
        <w:rPr>
          <w:szCs w:val="24"/>
        </w:rPr>
        <w:t xml:space="preserve">employment in the absence of the Covid-19 Loan Guarantee Schemes is obtained by dividing estimated </w:t>
      </w:r>
      <w:r w:rsidR="0086062F">
        <w:rPr>
          <w:szCs w:val="24"/>
        </w:rPr>
        <w:t xml:space="preserve">actual </w:t>
      </w:r>
      <w:r w:rsidR="00240F55">
        <w:rPr>
          <w:szCs w:val="24"/>
        </w:rPr>
        <w:t xml:space="preserve">post-pandemic </w:t>
      </w:r>
      <w:r w:rsidR="0012170E" w:rsidRPr="00846F78">
        <w:rPr>
          <w:szCs w:val="24"/>
        </w:rPr>
        <w:t>employment by</w:t>
      </w:r>
      <m:oMath>
        <m:r>
          <m:rPr>
            <m:sty m:val="p"/>
          </m:rPr>
          <w:rPr>
            <w:rFonts w:ascii="Cambria Math" w:hAnsi="Cambria Math"/>
            <w:szCs w:val="24"/>
          </w:rPr>
          <m:t xml:space="preserve"> </m:t>
        </m:r>
        <m:sSup>
          <m:sSupPr>
            <m:ctrlPr>
              <w:rPr>
                <w:rFonts w:ascii="Cambria Math" w:hAnsi="Cambria Math"/>
                <w:szCs w:val="24"/>
              </w:rPr>
            </m:ctrlPr>
          </m:sSupPr>
          <m:e>
            <m:r>
              <w:rPr>
                <w:rFonts w:ascii="Cambria Math" w:hAnsi="Cambria Math"/>
                <w:szCs w:val="24"/>
              </w:rPr>
              <m:t>e</m:t>
            </m:r>
          </m:e>
          <m:sup>
            <m:r>
              <w:rPr>
                <w:rFonts w:ascii="Cambria Math" w:hAnsi="Cambria Math"/>
                <w:szCs w:val="24"/>
              </w:rPr>
              <m:t>λ</m:t>
            </m:r>
          </m:sup>
        </m:sSup>
        <m:r>
          <m:rPr>
            <m:sty m:val="p"/>
          </m:rPr>
          <w:rPr>
            <w:rFonts w:ascii="Cambria Math" w:hAnsi="Cambria Math"/>
            <w:szCs w:val="24"/>
          </w:rPr>
          <m:t>.</m:t>
        </m:r>
      </m:oMath>
    </w:p>
  </w:footnote>
  <w:footnote w:id="177">
    <w:p w14:paraId="131C4E72" w14:textId="0293B851" w:rsidR="008B770F" w:rsidRPr="0010730E" w:rsidRDefault="008B770F" w:rsidP="008B770F">
      <w:pPr>
        <w:pStyle w:val="FootnoteText"/>
        <w:rPr>
          <w:lang w:val="en-US"/>
        </w:rPr>
      </w:pPr>
      <w:r>
        <w:rPr>
          <w:rStyle w:val="FootnoteReference"/>
        </w:rPr>
        <w:footnoteRef/>
      </w:r>
      <w:r>
        <w:t xml:space="preserve"> </w:t>
      </w:r>
      <w:r>
        <w:rPr>
          <w:lang w:val="en-US"/>
        </w:rPr>
        <w:t>There were 11 duplicate observations within the September 2019 extract.</w:t>
      </w:r>
      <w:r w:rsidR="002E04C1">
        <w:rPr>
          <w:lang w:val="en-US"/>
        </w:rPr>
        <w:t xml:space="preserve"> These were removed in the data cleaning</w:t>
      </w:r>
      <w:r w:rsidR="00E425CB">
        <w:rPr>
          <w:lang w:val="en-US"/>
        </w:rPr>
        <w:t>.</w:t>
      </w:r>
    </w:p>
  </w:footnote>
  <w:footnote w:id="178">
    <w:p w14:paraId="7539E854" w14:textId="1BD96FF6" w:rsidR="00C42850" w:rsidRPr="00846F78" w:rsidRDefault="00C42850" w:rsidP="006F275C">
      <w:pPr>
        <w:pStyle w:val="FootnoteText"/>
        <w:rPr>
          <w:lang w:val="en-US"/>
        </w:rPr>
      </w:pPr>
      <w:r>
        <w:rPr>
          <w:rStyle w:val="FootnoteReference"/>
        </w:rPr>
        <w:footnoteRef/>
      </w:r>
      <w:r>
        <w:t xml:space="preserve"> </w:t>
      </w:r>
      <w:r w:rsidR="006F275C">
        <w:t xml:space="preserve">Some businesses </w:t>
      </w:r>
      <w:r w:rsidR="00BF6044">
        <w:t xml:space="preserve">had facilities under both the BBLS and CBILS schemes. </w:t>
      </w:r>
      <w:r w:rsidR="006F275C">
        <w:rPr>
          <w:lang w:val="en-US"/>
        </w:rPr>
        <w:t>Indeed, i</w:t>
      </w:r>
      <w:r w:rsidR="006F275C" w:rsidRPr="006F275C">
        <w:rPr>
          <w:lang w:val="en-US"/>
        </w:rPr>
        <w:t>t was possible for businesses to use a BBLS facility to refinance a CBILS facility in full, or to take out a CBILS</w:t>
      </w:r>
      <w:r w:rsidR="006F275C">
        <w:rPr>
          <w:lang w:val="en-US"/>
        </w:rPr>
        <w:t xml:space="preserve"> </w:t>
      </w:r>
      <w:r w:rsidR="006F275C" w:rsidRPr="006F275C">
        <w:rPr>
          <w:lang w:val="en-US"/>
        </w:rPr>
        <w:t xml:space="preserve">facility having previously repaid a BBLS facility. </w:t>
      </w:r>
    </w:p>
  </w:footnote>
  <w:footnote w:id="179">
    <w:p w14:paraId="28C78489" w14:textId="217AA71A" w:rsidR="00581405" w:rsidRPr="00C60A21" w:rsidRDefault="00581405" w:rsidP="00581405">
      <w:pPr>
        <w:pStyle w:val="FootnoteText"/>
        <w:rPr>
          <w:lang w:val="en-US"/>
        </w:rPr>
      </w:pPr>
      <w:r>
        <w:rPr>
          <w:rStyle w:val="FootnoteReference"/>
        </w:rPr>
        <w:footnoteRef/>
      </w:r>
      <w:r>
        <w:t xml:space="preserve"> </w:t>
      </w:r>
      <w:r w:rsidRPr="00EC5893">
        <w:t xml:space="preserve">In the </w:t>
      </w:r>
      <w:r w:rsidR="00580CC2">
        <w:t>Y</w:t>
      </w:r>
      <w:r w:rsidRPr="00EC5893">
        <w:t xml:space="preserve">ear 1 </w:t>
      </w:r>
      <w:r w:rsidR="00155DED">
        <w:t>analysis</w:t>
      </w:r>
      <w:r w:rsidRPr="00EC5893">
        <w:t xml:space="preserve">, the possible values for this variable were East / Midlands, London, North / Yorkshire, Northern Ireland, Scotland, South, and Wales. In the </w:t>
      </w:r>
      <w:r w:rsidR="00CE4EB2">
        <w:t>secondary analysis</w:t>
      </w:r>
      <w:r w:rsidR="00CE4EB2" w:rsidRPr="00EC5893">
        <w:t xml:space="preserve"> </w:t>
      </w:r>
      <w:r w:rsidRPr="00EC5893">
        <w:t xml:space="preserve">exercise, the sample size of the secondary data was much larger the </w:t>
      </w:r>
      <w:r w:rsidR="00580CC2">
        <w:t>Y</w:t>
      </w:r>
      <w:r w:rsidRPr="00EC5893">
        <w:t xml:space="preserve">ear 1 survey data sample size. The values for this variable used in the PSM were at a more disaggregated level </w:t>
      </w:r>
      <w:proofErr w:type="gramStart"/>
      <w:r w:rsidRPr="00EC5893">
        <w:t>in order to</w:t>
      </w:r>
      <w:proofErr w:type="gramEnd"/>
      <w:r w:rsidRPr="00EC5893">
        <w:t xml:space="preserve"> improve the potential quality of matches. The regions used for the PSM in the </w:t>
      </w:r>
      <w:r w:rsidR="00CE4EB2">
        <w:t>secondary analysis</w:t>
      </w:r>
      <w:r w:rsidR="00CE4EB2" w:rsidRPr="00EC5893">
        <w:t xml:space="preserve"> </w:t>
      </w:r>
      <w:r w:rsidRPr="00EC5893">
        <w:t xml:space="preserve">were East Midlands, East of England, West Midlands, </w:t>
      </w:r>
      <w:proofErr w:type="gramStart"/>
      <w:r w:rsidRPr="00EC5893">
        <w:t>North East</w:t>
      </w:r>
      <w:proofErr w:type="gramEnd"/>
      <w:r w:rsidRPr="00EC5893">
        <w:t>, North West, Yorkshire and The Humber, South East, South West, London, Northern Ireland, Scotland, and Wales.</w:t>
      </w:r>
    </w:p>
  </w:footnote>
  <w:footnote w:id="180">
    <w:p w14:paraId="09344D38" w14:textId="4FDF131F" w:rsidR="00581405" w:rsidRPr="000E5DE1" w:rsidRDefault="00581405" w:rsidP="00581405">
      <w:pPr>
        <w:pStyle w:val="FootnoteText"/>
        <w:rPr>
          <w:lang w:val="en-US"/>
        </w:rPr>
      </w:pPr>
      <w:r>
        <w:rPr>
          <w:rStyle w:val="FootnoteReference"/>
        </w:rPr>
        <w:footnoteRef/>
      </w:r>
      <w:r>
        <w:t xml:space="preserve"> In the </w:t>
      </w:r>
      <w:r w:rsidR="00580CC2">
        <w:t>Y</w:t>
      </w:r>
      <w:r>
        <w:t xml:space="preserve">ear 1 </w:t>
      </w:r>
      <w:r w:rsidR="005E1527">
        <w:t>analysis</w:t>
      </w:r>
      <w:r>
        <w:t>, t</w:t>
      </w:r>
      <w:r w:rsidRPr="00F77AB8">
        <w:t>he possible values for this variable were Primary/Manufacturing</w:t>
      </w:r>
      <w:r>
        <w:t xml:space="preserve"> (SIC section </w:t>
      </w:r>
      <w:r w:rsidRPr="00F25A5F">
        <w:t>A, B, C, D and E</w:t>
      </w:r>
      <w:r>
        <w:t>)</w:t>
      </w:r>
      <w:r w:rsidRPr="00F77AB8">
        <w:t>, Construction</w:t>
      </w:r>
      <w:r>
        <w:t xml:space="preserve"> (SIC section F)</w:t>
      </w:r>
      <w:r w:rsidRPr="00F77AB8">
        <w:t>, Distribution</w:t>
      </w:r>
      <w:r>
        <w:t xml:space="preserve"> (SIC section G, H, and I)</w:t>
      </w:r>
      <w:r w:rsidRPr="00F77AB8">
        <w:t>, Business Services</w:t>
      </w:r>
      <w:r>
        <w:t xml:space="preserve"> (</w:t>
      </w:r>
      <w:r w:rsidRPr="00F25A5F">
        <w:t>J,</w:t>
      </w:r>
      <w:r>
        <w:t xml:space="preserve"> </w:t>
      </w:r>
      <w:r w:rsidRPr="00F25A5F">
        <w:t>K,</w:t>
      </w:r>
      <w:r>
        <w:t xml:space="preserve"> </w:t>
      </w:r>
      <w:r w:rsidRPr="00F25A5F">
        <w:t>L,</w:t>
      </w:r>
      <w:r>
        <w:t xml:space="preserve"> </w:t>
      </w:r>
      <w:r w:rsidRPr="00F25A5F">
        <w:t>M,</w:t>
      </w:r>
      <w:r>
        <w:t xml:space="preserve"> </w:t>
      </w:r>
      <w:r w:rsidRPr="00F25A5F">
        <w:t>N</w:t>
      </w:r>
      <w:r>
        <w:t xml:space="preserve">) and </w:t>
      </w:r>
      <w:r w:rsidRPr="00F77AB8">
        <w:t>Other Services</w:t>
      </w:r>
      <w:r>
        <w:t xml:space="preserve"> (</w:t>
      </w:r>
      <w:r w:rsidRPr="00B421FF">
        <w:t>P, Q, R, S</w:t>
      </w:r>
      <w:r>
        <w:t>)</w:t>
      </w:r>
      <w:r w:rsidRPr="00F77AB8">
        <w:t>.</w:t>
      </w:r>
      <w:r>
        <w:t xml:space="preserve"> In the </w:t>
      </w:r>
      <w:r w:rsidR="00CE4EB2">
        <w:t>secondary analysis</w:t>
      </w:r>
      <w:r>
        <w:t xml:space="preserve">, the values for this variable used in the PSM were at a more disaggregated level </w:t>
      </w:r>
      <w:proofErr w:type="gramStart"/>
      <w:r>
        <w:t>in order to</w:t>
      </w:r>
      <w:proofErr w:type="gramEnd"/>
      <w:r>
        <w:t xml:space="preserve"> improve the potential quality of matches. The </w:t>
      </w:r>
      <w:r w:rsidR="00580CC2">
        <w:t>Y</w:t>
      </w:r>
      <w:r>
        <w:t xml:space="preserve">ear 1 </w:t>
      </w:r>
      <w:r w:rsidR="00CE4EB2">
        <w:t xml:space="preserve">secondary analysis </w:t>
      </w:r>
      <w:r>
        <w:t xml:space="preserve">sectoral disaggregation used in the PSM was therefore at the level of each of the SIC sections A through to U separately. </w:t>
      </w:r>
    </w:p>
  </w:footnote>
  <w:footnote w:id="181">
    <w:p w14:paraId="368321D4" w14:textId="4BDE6033" w:rsidR="00581405" w:rsidRPr="00C60A21" w:rsidRDefault="00581405" w:rsidP="00581405">
      <w:pPr>
        <w:pStyle w:val="FootnoteText"/>
        <w:rPr>
          <w:lang w:val="en-US"/>
        </w:rPr>
      </w:pPr>
      <w:r>
        <w:rPr>
          <w:rStyle w:val="FootnoteReference"/>
        </w:rPr>
        <w:footnoteRef/>
      </w:r>
      <w:r>
        <w:t xml:space="preserve"> Turnover or employment</w:t>
      </w:r>
      <w:r w:rsidRPr="00E60D20">
        <w:t xml:space="preserve"> must not be influenced by the treatment (</w:t>
      </w:r>
      <w:proofErr w:type="gramStart"/>
      <w:r w:rsidRPr="00E60D20">
        <w:t>i.e.</w:t>
      </w:r>
      <w:proofErr w:type="gramEnd"/>
      <w:r w:rsidRPr="00E60D20">
        <w:t xml:space="preserve"> participation in the Covid-19 Loan Guarantee Schemes). </w:t>
      </w:r>
      <w:proofErr w:type="gramStart"/>
      <w:r w:rsidRPr="00E60D20">
        <w:t>Therefore</w:t>
      </w:r>
      <w:proofErr w:type="gramEnd"/>
      <w:r w:rsidRPr="00E60D20">
        <w:t xml:space="preserve"> pre-pandemic turnover and employment must refer to a period entirely before the pandemic. </w:t>
      </w:r>
    </w:p>
  </w:footnote>
  <w:footnote w:id="182">
    <w:p w14:paraId="5FB59C9A" w14:textId="77777777" w:rsidR="00581405" w:rsidRDefault="00581405" w:rsidP="00581405">
      <w:pPr>
        <w:pStyle w:val="FootnoteText"/>
      </w:pPr>
      <w:r>
        <w:rPr>
          <w:rStyle w:val="FootnoteReference"/>
        </w:rPr>
        <w:footnoteRef/>
      </w:r>
      <w:r>
        <w:t xml:space="preserve"> To allow for the possibility that the relationship between the Treatment and size is not strictly increasing or decreasing, these variables were coded into bands for the Propensity Score Matching. For employment, the bands were 1, 2-3, 4-5, 6-7, 8-9, 10-14, 15-24, 25-49, 50-249 and 250 or more. For turnover, the bands were less than £25,000, at least £25,000 but less than £50,000, at least £50,000 but less than £75,000, at least £75,000 but less than £100,000, at least £100,000 but less than £125,000, at least £125,000 but less than £150,000, at least £150,000 but less than £175,000, at least £175,000 but less than £200,000, at least £200,000 but less than £250,000, at least £250,000 but less than £350,000, at least £350,000 but less than £500,000, at least £500,000 but less than £1 million, at least £1 million but less than £5 million, at least £5 million but less than £25 million, at least £25 million but less than £100 million, and more than £100 million.</w:t>
      </w:r>
    </w:p>
  </w:footnote>
  <w:footnote w:id="183">
    <w:p w14:paraId="5545B0F0" w14:textId="77777777" w:rsidR="00581405" w:rsidRDefault="00581405" w:rsidP="00581405">
      <w:pPr>
        <w:pStyle w:val="FootnoteText"/>
      </w:pPr>
      <w:r>
        <w:rPr>
          <w:rStyle w:val="FootnoteReference"/>
        </w:rPr>
        <w:footnoteRef/>
      </w:r>
      <w:r>
        <w:t xml:space="preserve">Turnover data in the IDBR is based on a set of priority rules, prioritising (in order) data from the Annual Business Survey (ABS), VAT returns and then imputation from PAYE </w:t>
      </w:r>
      <w:r w:rsidRPr="00F61AED">
        <w:t xml:space="preserve">data. In </w:t>
      </w:r>
      <w:proofErr w:type="gramStart"/>
      <w:r w:rsidRPr="00F61AED">
        <w:t>the majority of</w:t>
      </w:r>
      <w:proofErr w:type="gramEnd"/>
      <w:r w:rsidRPr="00F61AED">
        <w:t xml:space="preserve"> cases</w:t>
      </w:r>
      <w:r>
        <w:t>,</w:t>
      </w:r>
      <w:r w:rsidRPr="00F61AED">
        <w:t xml:space="preserve"> ABS and VAT data refers to the preceding calendar year and</w:t>
      </w:r>
      <w:r>
        <w:t xml:space="preserve"> is typically uploaded annually in September of each year. The September extract of the IDBR should therefore refer to turnover in the previous calendar year for </w:t>
      </w:r>
      <w:proofErr w:type="gramStart"/>
      <w:r>
        <w:t>the majority of</w:t>
      </w:r>
      <w:proofErr w:type="gramEnd"/>
      <w:r>
        <w:t xml:space="preserve"> records based on the ABS or VAT returns (the bulk of turnover data is based on the ABS or VAT returns).</w:t>
      </w:r>
    </w:p>
    <w:p w14:paraId="6DA1BDBA" w14:textId="67EC8BD6" w:rsidR="00581405" w:rsidRDefault="00581405" w:rsidP="00581405">
      <w:pPr>
        <w:pStyle w:val="FootnoteText"/>
      </w:pPr>
      <w:r>
        <w:t xml:space="preserve">Employment data in the IDBR is based on a set of priority rules, prioritising (in order) data from the </w:t>
      </w:r>
      <w:r w:rsidRPr="00C60A21">
        <w:rPr>
          <w:color w:val="000000"/>
        </w:rPr>
        <w:t>Business Registers Employment Survey (BRES)</w:t>
      </w:r>
      <w:r>
        <w:t xml:space="preserve">, the </w:t>
      </w:r>
      <w:proofErr w:type="gramStart"/>
      <w:r w:rsidRPr="00C60A21">
        <w:rPr>
          <w:color w:val="000000"/>
        </w:rPr>
        <w:t>Short Term</w:t>
      </w:r>
      <w:proofErr w:type="gramEnd"/>
      <w:r w:rsidRPr="00C60A21">
        <w:rPr>
          <w:color w:val="000000"/>
        </w:rPr>
        <w:t xml:space="preserve"> Employment Survey (STES),</w:t>
      </w:r>
      <w:r>
        <w:t xml:space="preserve"> PAYE data, imputation from VAT, and imputation from other sources. BRES data is brought onto the IDBR </w:t>
      </w:r>
      <w:proofErr w:type="gramStart"/>
      <w:r>
        <w:t>on a monthly basis</w:t>
      </w:r>
      <w:proofErr w:type="gramEnd"/>
      <w:r>
        <w:t xml:space="preserve"> and refers to mid-September, with other sources updated quarterly, annually and at other intervals (</w:t>
      </w:r>
      <w:r w:rsidR="00994BE7">
        <w:t xml:space="preserve">for example </w:t>
      </w:r>
      <w:r>
        <w:t>PAYE employment is usually the average of the latest four quarters of returns). In many cases, the September extract of the IDBR should therefore refer to employment in September of the previous year (in the case of records based on the BRES) or the four quarters from July of the previous year to June of the extract year (assuming a one-quarter lag).</w:t>
      </w:r>
    </w:p>
    <w:p w14:paraId="70F880E7" w14:textId="7165D0E3" w:rsidR="00581405" w:rsidRDefault="00581405" w:rsidP="00581405">
      <w:pPr>
        <w:pStyle w:val="FootnoteText"/>
      </w:pPr>
      <w:r>
        <w:t>G</w:t>
      </w:r>
      <w:r w:rsidRPr="00206F64">
        <w:t xml:space="preserve">iven lags between the time at which the IDBR is updated and the reference period of the data, the September 2020 extract was used for pre-pandemic turnover data, while the September 2019 extract was used for pre-pandemic employment data. Different extracts are used for pre-pandemic turnover and employment data because of the need to cover a period entirely before the pandemic, and the fact that turnover and employment data </w:t>
      </w:r>
      <w:proofErr w:type="gramStart"/>
      <w:r w:rsidRPr="00206F64">
        <w:t>in a given</w:t>
      </w:r>
      <w:proofErr w:type="gramEnd"/>
      <w:r w:rsidRPr="00206F64">
        <w:t xml:space="preserve"> extract refer to different periods due to differences in data sources. Information on the data sources and reference periods of turnover and employment data in the IDBR was gathered from internal BEIS documentation, discussions with BEIS and the ONS, as well as documentation available online (see, for instance, ONS (2006) Business Structure Database User Guide, available at </w:t>
      </w:r>
      <w:hyperlink r:id="rId19" w:history="1">
        <w:r w:rsidRPr="00994BE7">
          <w:rPr>
            <w:rStyle w:val="Hyperlink"/>
          </w:rPr>
          <w:t>http://doc.ukdataservice.ac.uk/doc/6697/mrdoc/pdf/6697_user_guide.pdf</w:t>
        </w:r>
      </w:hyperlink>
      <w:r w:rsidRPr="00206F64">
        <w:t xml:space="preserve">). </w:t>
      </w:r>
    </w:p>
  </w:footnote>
  <w:footnote w:id="184">
    <w:p w14:paraId="08761356" w14:textId="77777777" w:rsidR="00581405" w:rsidRPr="00D77241" w:rsidRDefault="00581405" w:rsidP="00581405">
      <w:pPr>
        <w:pStyle w:val="FootnoteText"/>
      </w:pPr>
      <w:r>
        <w:rPr>
          <w:rStyle w:val="FootnoteReference"/>
        </w:rPr>
        <w:footnoteRef/>
      </w:r>
      <w:r>
        <w:t xml:space="preserve"> </w:t>
      </w:r>
      <w:proofErr w:type="gramStart"/>
      <w:r>
        <w:t>Similar to</w:t>
      </w:r>
      <w:proofErr w:type="gramEnd"/>
      <w:r>
        <w:t xml:space="preserve"> the employment and turnover variables, the age variable was coded into bands for the Propensity Score Matching. The bands were less than 2 years old, 3-5 years old, 6-10 years old, 11-15 years old, 16-20 years old, 21-40 years old, and more than 40 years old.</w:t>
      </w:r>
    </w:p>
  </w:footnote>
  <w:footnote w:id="185">
    <w:p w14:paraId="34D06FA2" w14:textId="78BD7D4F" w:rsidR="00581405" w:rsidRPr="00C60A21" w:rsidRDefault="00581405" w:rsidP="00581405">
      <w:pPr>
        <w:pStyle w:val="FootnoteText"/>
        <w:rPr>
          <w:lang w:val="en-US"/>
        </w:rPr>
      </w:pPr>
      <w:r>
        <w:rPr>
          <w:rStyle w:val="FootnoteReference"/>
        </w:rPr>
        <w:footnoteRef/>
      </w:r>
      <w:r>
        <w:t xml:space="preserve"> </w:t>
      </w:r>
      <w:r w:rsidRPr="00DA626F">
        <w:t>For example, if the last</w:t>
      </w:r>
      <w:r w:rsidRPr="00DA626F" w:rsidDel="00C450B6">
        <w:t xml:space="preserve"> </w:t>
      </w:r>
      <w:r w:rsidRPr="00497D22">
        <w:t>period that was entirely before the pandemic (and for which data was available) was the calendar year 2019</w:t>
      </w:r>
      <w:r>
        <w:t xml:space="preserve"> (</w:t>
      </w:r>
      <w:r w:rsidR="00994BE7">
        <w:t xml:space="preserve">for example </w:t>
      </w:r>
      <w:r>
        <w:t>in the case of turnover based on VAT returns provided by September 2020)</w:t>
      </w:r>
      <w:r w:rsidRPr="00497D22">
        <w:t xml:space="preserve">, then growth rates were calculated for both turnover and employment for the periods 2017-2018 and 2018-2019. </w:t>
      </w:r>
      <w:proofErr w:type="gramStart"/>
      <w:r w:rsidRPr="00497D22">
        <w:t>Similar to</w:t>
      </w:r>
      <w:proofErr w:type="gramEnd"/>
      <w:r w:rsidRPr="00497D22">
        <w:t xml:space="preserve"> the age, employment, and turnover variables, these growth rates were then coded into bands for the Propensity Score Matching. For turnover growth rates in both periods, the bands were </w:t>
      </w:r>
      <w:r w:rsidRPr="00DA626F">
        <w:t>a decrease of more than 50%, a decrease of between 25% and 50%, a decrease of between 10% and 25%, a decrease of less than 10%, no growth or an increase of less than 5%, an increase of between 5% and 25%, an increase of between 25% and 50%, and an increase of more than 50%. For employment growth rates in both periods, the bands were a decrease of more than 50%, a decrease of less than 50%, no change, an increase of less than 50%, and an increase of more than 50%.</w:t>
      </w:r>
    </w:p>
  </w:footnote>
  <w:footnote w:id="186">
    <w:p w14:paraId="1DAFEBA7" w14:textId="25BF3303" w:rsidR="004109D1" w:rsidRPr="0029144C" w:rsidRDefault="004109D1" w:rsidP="004109D1">
      <w:pPr>
        <w:pStyle w:val="FootnoteText"/>
        <w:rPr>
          <w:lang w:val="en-US"/>
        </w:rPr>
      </w:pPr>
      <w:r>
        <w:rPr>
          <w:rStyle w:val="FootnoteReference"/>
        </w:rPr>
        <w:footnoteRef/>
      </w:r>
      <w:r>
        <w:t xml:space="preserve"> </w:t>
      </w:r>
      <w:r>
        <w:rPr>
          <w:lang w:val="en-US"/>
        </w:rPr>
        <w:t>Other support could have included business grants funded by the UK or any devolved government; business rates holidays, or HMRC Time to Pay</w:t>
      </w:r>
      <w:r w:rsidR="00EB044A">
        <w:rPr>
          <w:lang w:val="en-US"/>
        </w:rPr>
        <w:t xml:space="preserve"> (among others)</w:t>
      </w:r>
      <w:r>
        <w:rPr>
          <w:lang w:val="en-US"/>
        </w:rPr>
        <w:t>.</w:t>
      </w:r>
    </w:p>
  </w:footnote>
  <w:footnote w:id="187">
    <w:p w14:paraId="01711D0F" w14:textId="77777777" w:rsidR="00BB108B" w:rsidRDefault="00BB108B" w:rsidP="0085070C">
      <w:pPr>
        <w:pStyle w:val="FootnoteText"/>
      </w:pPr>
      <w:r>
        <w:rPr>
          <w:rStyle w:val="FootnoteReference"/>
        </w:rPr>
        <w:footnoteRef/>
      </w:r>
      <w:r>
        <w:t xml:space="preserve"> </w:t>
      </w:r>
      <w:r w:rsidRPr="0085070C">
        <w:t xml:space="preserve">The September </w:t>
      </w:r>
      <w:r>
        <w:t xml:space="preserve">2020 extract was used for pre-pandemic turnover data. The September 2019 extract was used for pre-pandemic employment data. </w:t>
      </w:r>
      <w:r w:rsidRPr="0085070C">
        <w:t xml:space="preserve">The September 2021 extract was used for post-pandemic turnover and employment data. </w:t>
      </w:r>
    </w:p>
  </w:footnote>
  <w:footnote w:id="188">
    <w:p w14:paraId="418D4E24" w14:textId="77777777" w:rsidR="00BB108B" w:rsidRDefault="00BB108B" w:rsidP="004109D1">
      <w:pPr>
        <w:pStyle w:val="FootnoteText"/>
      </w:pPr>
      <w:r>
        <w:rPr>
          <w:rStyle w:val="FootnoteReference"/>
        </w:rPr>
        <w:footnoteRef/>
      </w:r>
      <w:r>
        <w:t xml:space="preserve"> It should be noted that the data available within the financial year 2020-2021 was limited to the period from December 2020 to March 2021 and therefore does not capture all businesses that received support through the CJRS scheme in that financial year.</w:t>
      </w:r>
    </w:p>
  </w:footnote>
  <w:footnote w:id="189">
    <w:p w14:paraId="0F441D2A" w14:textId="55CF82C3" w:rsidR="00062F69" w:rsidRDefault="00062F69">
      <w:pPr>
        <w:pStyle w:val="FootnoteText"/>
      </w:pPr>
      <w:r>
        <w:rPr>
          <w:rStyle w:val="FootnoteReference"/>
        </w:rPr>
        <w:footnoteRef/>
      </w:r>
      <w:r>
        <w:t xml:space="preserve"> </w:t>
      </w:r>
      <w:r>
        <w:t>Data from the Business Insights and Conditions Survey were accessed through the Secure Research Service, part of the Office for National Statistics. The use of ONS statistical data in this analysis does not imply the endorsement of the ONS in relation to the interpretation or analysis of the statistical data. This work uses research datasets which may not exactly reproduce National Statistics aggregates.</w:t>
      </w:r>
    </w:p>
  </w:footnote>
  <w:footnote w:id="190">
    <w:p w14:paraId="2A0550CE" w14:textId="4576431B" w:rsidR="004576DD" w:rsidRDefault="004576DD" w:rsidP="004576DD">
      <w:pPr>
        <w:pStyle w:val="FootnoteText"/>
      </w:pPr>
      <w:r>
        <w:rPr>
          <w:rStyle w:val="FootnoteReference"/>
        </w:rPr>
        <w:footnoteRef/>
      </w:r>
      <w:r>
        <w:t xml:space="preserve"> Office for National Statistics. (2022). </w:t>
      </w:r>
      <w:r w:rsidRPr="006E5466">
        <w:rPr>
          <w:i/>
          <w:iCs/>
        </w:rPr>
        <w:t>Business Insights and Conditions Survey (BICS) QMI</w:t>
      </w:r>
      <w:r>
        <w:t xml:space="preserve">. Retrieved from: </w:t>
      </w:r>
      <w:hyperlink r:id="rId20" w:history="1">
        <w:r w:rsidRPr="004F51AA">
          <w:rPr>
            <w:rStyle w:val="Hyperlink"/>
          </w:rPr>
          <w:t>https://www.ons.gov.uk/economy/economicoutputandproductivity/output/methodologies/businessinsightsandconditionssurveybicsqmi</w:t>
        </w:r>
      </w:hyperlink>
      <w:r>
        <w:t xml:space="preserve"> </w:t>
      </w:r>
    </w:p>
  </w:footnote>
  <w:footnote w:id="191">
    <w:p w14:paraId="28F9BEA3" w14:textId="472B6E67" w:rsidR="004576DD" w:rsidRDefault="004576DD" w:rsidP="004576DD">
      <w:pPr>
        <w:pStyle w:val="FootnoteText"/>
      </w:pPr>
      <w:r>
        <w:rPr>
          <w:rStyle w:val="FootnoteReference"/>
        </w:rPr>
        <w:footnoteRef/>
      </w:r>
      <w:r>
        <w:t xml:space="preserve"> Gough, J., Hopson, E., McLaren, G., &amp; Thorsteinsson, K. (2020). </w:t>
      </w:r>
      <w:r w:rsidRPr="006E5466">
        <w:rPr>
          <w:i/>
          <w:iCs/>
        </w:rPr>
        <w:t>The United Kingdom experience: The Business Impact of Coronavirus Survey</w:t>
      </w:r>
      <w:r>
        <w:t xml:space="preserve">. Retrieved from: </w:t>
      </w:r>
      <w:hyperlink r:id="rId21" w:history="1">
        <w:r w:rsidRPr="004F51AA">
          <w:rPr>
            <w:rStyle w:val="Hyperlink"/>
          </w:rPr>
          <w:t>https://www.imf.org/-/media/Files/Conferences/2020/8th-stats-forum/paper-craig-mclaren.ashx</w:t>
        </w:r>
      </w:hyperlink>
      <w:r>
        <w:t xml:space="preserve"> </w:t>
      </w:r>
    </w:p>
  </w:footnote>
  <w:footnote w:id="192">
    <w:p w14:paraId="101337DA" w14:textId="28635118" w:rsidR="004576DD" w:rsidRDefault="004576DD" w:rsidP="004576DD">
      <w:pPr>
        <w:pStyle w:val="FootnoteText"/>
      </w:pPr>
      <w:r>
        <w:rPr>
          <w:rStyle w:val="FootnoteReference"/>
        </w:rPr>
        <w:footnoteRef/>
      </w:r>
      <w:r>
        <w:t xml:space="preserve"> Office for National Statistics. (2022). </w:t>
      </w:r>
      <w:r w:rsidRPr="006E5466">
        <w:rPr>
          <w:i/>
          <w:iCs/>
        </w:rPr>
        <w:t>Business Insights and Conditions Survey (BICS) QMI</w:t>
      </w:r>
      <w:r>
        <w:t xml:space="preserve">. Retrieved from: </w:t>
      </w:r>
      <w:hyperlink r:id="rId22" w:history="1">
        <w:r w:rsidRPr="00BE3F56">
          <w:rPr>
            <w:rStyle w:val="Hyperlink"/>
          </w:rPr>
          <w:t>https://www.ons.gov.uk/economy/economicoutputandproductivity/output/methodologies/businessinsightsandconditionssurveybicsqmi</w:t>
        </w:r>
      </w:hyperlink>
      <w:r>
        <w:t xml:space="preserve"> </w:t>
      </w:r>
    </w:p>
  </w:footnote>
  <w:footnote w:id="193">
    <w:p w14:paraId="4A339A04" w14:textId="7BC1CFB5" w:rsidR="000C34B4" w:rsidRDefault="000C34B4">
      <w:pPr>
        <w:pStyle w:val="FootnoteText"/>
      </w:pPr>
      <w:r>
        <w:rPr>
          <w:rStyle w:val="FootnoteReference"/>
        </w:rPr>
        <w:footnoteRef/>
      </w:r>
      <w:r>
        <w:t xml:space="preserve"> </w:t>
      </w:r>
      <w:r>
        <w:t>The analysis of the Business Structure Database, which is published by the ONS, was carried out through the Secure Research Service. The Secure Research Service is part of the Office for National Statistics. Statistical data from the ONS is Crown Copyright and the use of ONS statistical data in this analysis does not imply the endorsement of the ONS in relation to the interpretation or analysis of the statistical data. This analysis uses research datasets which may not exactly reproduce National Statistics aggregates.</w:t>
      </w:r>
    </w:p>
  </w:footnote>
  <w:footnote w:id="194">
    <w:p w14:paraId="775D369D" w14:textId="192BA588" w:rsidR="009B3338" w:rsidRDefault="009B3338" w:rsidP="009B3338">
      <w:pPr>
        <w:pStyle w:val="FootnoteText"/>
      </w:pPr>
      <w:r>
        <w:rPr>
          <w:rStyle w:val="FootnoteReference"/>
        </w:rPr>
        <w:footnoteRef/>
      </w:r>
      <w:r w:rsidRPr="00A36500">
        <w:t xml:space="preserve"> Aguda, O., Hwang, K.I.,</w:t>
      </w:r>
      <w:r w:rsidR="00994BE7">
        <w:t xml:space="preserve"> Galanakis, I.</w:t>
      </w:r>
      <w:r w:rsidRPr="00A36500">
        <w:t xml:space="preserve"> &amp; </w:t>
      </w:r>
      <w:proofErr w:type="spellStart"/>
      <w:r w:rsidRPr="00A36500">
        <w:t>Savagar</w:t>
      </w:r>
      <w:proofErr w:type="spellEnd"/>
      <w:r w:rsidRPr="00A36500">
        <w:t xml:space="preserve">, A. (2021). </w:t>
      </w:r>
      <w:r w:rsidRPr="00902DAA">
        <w:rPr>
          <w:i/>
          <w:iCs/>
        </w:rPr>
        <w:t>Product Market Concentration and Productivity in the UK</w:t>
      </w:r>
      <w:r>
        <w:t xml:space="preserve">. Retrieved from: </w:t>
      </w:r>
      <w:hyperlink r:id="rId23" w:history="1">
        <w:r w:rsidR="00994BE7" w:rsidRPr="00994BE7">
          <w:rPr>
            <w:rStyle w:val="Hyperlink"/>
          </w:rPr>
          <w:t>https://www.yannisgalanakis.com/publication/preprint/agudagalanakishwangsavagar/AgudaGalanakisHwangSavagar_UKconcentration.pdf</w:t>
        </w:r>
      </w:hyperlink>
    </w:p>
  </w:footnote>
  <w:footnote w:id="195">
    <w:p w14:paraId="4E051A13" w14:textId="16EC6F21" w:rsidR="009B3338" w:rsidRDefault="009B3338" w:rsidP="009B3338">
      <w:pPr>
        <w:pStyle w:val="FootnoteText"/>
      </w:pPr>
      <w:r>
        <w:rPr>
          <w:rStyle w:val="FootnoteReference"/>
        </w:rPr>
        <w:footnoteRef/>
      </w:r>
      <w:r>
        <w:t xml:space="preserve"> </w:t>
      </w:r>
      <w:r w:rsidR="00C7171C" w:rsidRPr="00C7171C">
        <w:t xml:space="preserve">Information on the data sources and reference periods of turnover data in the IDBR was gathered from internal BEIS documentation, discussions with BEIS and the ONS, as well as documentation available online (see, for instance, ONS (2006) Business Structure Database User Guide, available at http://doc.ukdataservice.ac.uk/doc/6697/mrdoc/pdf/6697_user_guide.pdf). </w:t>
      </w:r>
    </w:p>
  </w:footnote>
  <w:footnote w:id="196">
    <w:p w14:paraId="34C61A41" w14:textId="385297CA" w:rsidR="009B3338" w:rsidRDefault="009B3338" w:rsidP="009B3338">
      <w:pPr>
        <w:pStyle w:val="FootnoteText"/>
      </w:pPr>
      <w:r>
        <w:rPr>
          <w:rStyle w:val="FootnoteReference"/>
        </w:rPr>
        <w:footnoteRef/>
      </w:r>
      <w:r>
        <w:t xml:space="preserve"> Du, J., &amp; Bonner, K. (2016). </w:t>
      </w:r>
      <w:r w:rsidRPr="00886ED8">
        <w:rPr>
          <w:i/>
          <w:iCs/>
        </w:rPr>
        <w:t>Decomposing UK aggregate labour productivity and growth: 1998-2013 using the ONS business structure database data.</w:t>
      </w:r>
      <w:r>
        <w:t xml:space="preserve"> Retrieved from: </w:t>
      </w:r>
      <w:hyperlink r:id="rId24" w:history="1">
        <w:r w:rsidRPr="004F51AA">
          <w:rPr>
            <w:rStyle w:val="Hyperlink"/>
          </w:rPr>
          <w:t>https://www.enterpriseresearch.ac.uk/wp-content/uploads/2016/07/ERC-ResPap48-DuBonner-final.pdf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6B2F" w14:textId="787408AC" w:rsidR="00D13154" w:rsidRPr="00D13154" w:rsidRDefault="00D13154" w:rsidP="00D13154">
    <w:pPr>
      <w:pStyle w:val="Header"/>
      <w:tabs>
        <w:tab w:val="clear" w:pos="4513"/>
      </w:tabs>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40DC" w14:textId="099C80CF" w:rsidR="00016B1D" w:rsidRDefault="00016B1D">
    <w:pPr>
      <w:pStyle w:val="Header"/>
    </w:pPr>
    <w:r>
      <w:rPr>
        <w:noProof/>
      </w:rPr>
      <w:drawing>
        <wp:anchor distT="0" distB="0" distL="114300" distR="114300" simplePos="0" relativeHeight="251658240" behindDoc="1" locked="1" layoutInCell="1" allowOverlap="1" wp14:anchorId="54063CDF" wp14:editId="5F8724C9">
          <wp:simplePos x="0" y="0"/>
          <wp:positionH relativeFrom="page">
            <wp:posOffset>0</wp:posOffset>
          </wp:positionH>
          <wp:positionV relativeFrom="page">
            <wp:posOffset>0</wp:posOffset>
          </wp:positionV>
          <wp:extent cx="7560000" cy="106920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D01C" w14:textId="167DA3E6" w:rsidR="003F296C" w:rsidRPr="00D13154" w:rsidRDefault="003F296C" w:rsidP="00D13154">
    <w:pPr>
      <w:pStyle w:val="Header"/>
      <w:tabs>
        <w:tab w:val="clear" w:pos="4513"/>
      </w:tabs>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A6BB" w14:textId="6D057A4E" w:rsidR="00BB5C8B" w:rsidRPr="00D13154" w:rsidRDefault="00BB5C8B" w:rsidP="00D13154">
    <w:pPr>
      <w:pStyle w:val="Header"/>
      <w:tabs>
        <w:tab w:val="clear" w:pos="4513"/>
      </w:tabs>
      <w:rPr>
        <w:rFonts w:ascii="Arial" w:hAnsi="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B566" w14:textId="584C12EC" w:rsidR="00240A4C" w:rsidRPr="00D13154" w:rsidRDefault="00240A4C" w:rsidP="00240A4C">
    <w:pPr>
      <w:pStyle w:val="Header"/>
      <w:tabs>
        <w:tab w:val="clear" w:pos="4513"/>
      </w:tabs>
      <w:jc w:val="right"/>
      <w:rPr>
        <w:rFonts w:ascii="Arial" w:hAnsi="Arial"/>
      </w:rPr>
    </w:pPr>
    <w:r w:rsidRPr="00D13154">
      <w:rPr>
        <w:noProof/>
      </w:rPr>
      <w:drawing>
        <wp:inline distT="0" distB="0" distL="0" distR="0" wp14:anchorId="797EDF3E" wp14:editId="55B24804">
          <wp:extent cx="2124000" cy="792000"/>
          <wp:effectExtent l="0" t="0" r="0" b="8255"/>
          <wp:docPr id="9" name="Graphic 9" descr="British Business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ritish Business Bank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24000" cy="79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18AF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0CE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CA21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5266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5ADF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0CA8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AAF8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C46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7A36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A49DC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0B8396E"/>
    <w:multiLevelType w:val="hybridMultilevel"/>
    <w:tmpl w:val="CB923C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010432A3"/>
    <w:multiLevelType w:val="multilevel"/>
    <w:tmpl w:val="0FFA5A16"/>
    <w:styleLink w:val="ListStyle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33D6012"/>
    <w:multiLevelType w:val="multilevel"/>
    <w:tmpl w:val="549C7C98"/>
    <w:styleLink w:val="NumblistNumb"/>
    <w:lvl w:ilvl="0">
      <w:start w:val="1"/>
      <w:numFmt w:val="decimal"/>
      <w:lvlText w:val="%1)"/>
      <w:lvlJc w:val="left"/>
      <w:pPr>
        <w:tabs>
          <w:tab w:val="num" w:pos="1077"/>
        </w:tabs>
        <w:ind w:left="737" w:hanging="567"/>
      </w:pPr>
      <w:rPr>
        <w:rFonts w:hint="default"/>
      </w:rPr>
    </w:lvl>
    <w:lvl w:ilvl="1">
      <w:start w:val="1"/>
      <w:numFmt w:val="lowerLetter"/>
      <w:lvlText w:val="%2)"/>
      <w:lvlJc w:val="left"/>
      <w:pPr>
        <w:tabs>
          <w:tab w:val="num" w:pos="1134"/>
        </w:tabs>
        <w:ind w:left="1134" w:hanging="283"/>
      </w:pPr>
      <w:rPr>
        <w:rFonts w:hint="default"/>
      </w:rPr>
    </w:lvl>
    <w:lvl w:ilvl="2">
      <w:start w:val="1"/>
      <w:numFmt w:val="lowerRoman"/>
      <w:lvlText w:val="%3)"/>
      <w:lvlJc w:val="left"/>
      <w:pPr>
        <w:tabs>
          <w:tab w:val="num" w:pos="1531"/>
        </w:tabs>
        <w:ind w:left="1531" w:hanging="284"/>
      </w:pPr>
      <w:rPr>
        <w:rFonts w:hint="default"/>
      </w:rPr>
    </w:lvl>
    <w:lvl w:ilvl="3">
      <w:start w:val="1"/>
      <w:numFmt w:val="none"/>
      <w:lvlText w:val=""/>
      <w:lvlJc w:val="left"/>
      <w:pPr>
        <w:tabs>
          <w:tab w:val="num" w:pos="1531"/>
        </w:tabs>
        <w:ind w:left="1531" w:firstLine="0"/>
      </w:pPr>
      <w:rPr>
        <w:rFonts w:hint="default"/>
      </w:rPr>
    </w:lvl>
    <w:lvl w:ilvl="4">
      <w:start w:val="1"/>
      <w:numFmt w:val="none"/>
      <w:lvlText w:val=""/>
      <w:lvlJc w:val="left"/>
      <w:pPr>
        <w:tabs>
          <w:tab w:val="num" w:pos="1531"/>
        </w:tabs>
        <w:ind w:left="1531" w:firstLine="0"/>
      </w:pPr>
      <w:rPr>
        <w:rFonts w:hint="default"/>
      </w:rPr>
    </w:lvl>
    <w:lvl w:ilvl="5">
      <w:start w:val="1"/>
      <w:numFmt w:val="none"/>
      <w:lvlText w:val=""/>
      <w:lvlJc w:val="left"/>
      <w:pPr>
        <w:tabs>
          <w:tab w:val="num" w:pos="1531"/>
        </w:tabs>
        <w:ind w:left="1531" w:firstLine="0"/>
      </w:pPr>
      <w:rPr>
        <w:rFonts w:hint="default"/>
      </w:rPr>
    </w:lvl>
    <w:lvl w:ilvl="6">
      <w:start w:val="1"/>
      <w:numFmt w:val="none"/>
      <w:lvlText w:val=""/>
      <w:lvlJc w:val="left"/>
      <w:pPr>
        <w:tabs>
          <w:tab w:val="num" w:pos="1531"/>
        </w:tabs>
        <w:ind w:left="1531" w:firstLine="0"/>
      </w:pPr>
      <w:rPr>
        <w:rFonts w:hint="default"/>
      </w:rPr>
    </w:lvl>
    <w:lvl w:ilvl="7">
      <w:start w:val="1"/>
      <w:numFmt w:val="none"/>
      <w:lvlText w:val=""/>
      <w:lvlJc w:val="left"/>
      <w:pPr>
        <w:tabs>
          <w:tab w:val="num" w:pos="1531"/>
        </w:tabs>
        <w:ind w:left="1531" w:firstLine="0"/>
      </w:pPr>
      <w:rPr>
        <w:rFonts w:hint="default"/>
      </w:rPr>
    </w:lvl>
    <w:lvl w:ilvl="8">
      <w:start w:val="1"/>
      <w:numFmt w:val="none"/>
      <w:lvlText w:val=""/>
      <w:lvlJc w:val="left"/>
      <w:pPr>
        <w:tabs>
          <w:tab w:val="num" w:pos="1531"/>
        </w:tabs>
        <w:ind w:left="1531" w:firstLine="0"/>
      </w:pPr>
      <w:rPr>
        <w:rFonts w:hint="default"/>
      </w:rPr>
    </w:lvl>
  </w:abstractNum>
  <w:abstractNum w:abstractNumId="13" w15:restartNumberingAfterBreak="0">
    <w:nsid w:val="05C167CF"/>
    <w:multiLevelType w:val="hybridMultilevel"/>
    <w:tmpl w:val="5B6CA08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63E20F4"/>
    <w:multiLevelType w:val="hybridMultilevel"/>
    <w:tmpl w:val="AE22BF3C"/>
    <w:lvl w:ilvl="0" w:tplc="FC247962">
      <w:start w:val="98"/>
      <w:numFmt w:val="decimal"/>
      <w:lvlText w:val="%1."/>
      <w:lvlJc w:val="left"/>
      <w:pPr>
        <w:ind w:left="1004" w:hanging="360"/>
      </w:pPr>
      <w:rPr>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066B658B"/>
    <w:multiLevelType w:val="multilevel"/>
    <w:tmpl w:val="AB8484A2"/>
    <w:styleLink w:val="Style1Header"/>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75208FB"/>
    <w:multiLevelType w:val="multilevel"/>
    <w:tmpl w:val="5E2C38B6"/>
    <w:styleLink w:val="JayeshNavinShahEasterEgg"/>
    <w:lvl w:ilvl="0">
      <w:start w:val="1"/>
      <w:numFmt w:val="none"/>
      <w:suff w:val="nothing"/>
      <w:lvlText w:val=""/>
      <w:lvlJc w:val="left"/>
      <w:pPr>
        <w:ind w:left="0" w:firstLine="0"/>
      </w:pPr>
      <w:rPr>
        <w:rFonts w:hint="default"/>
      </w:rPr>
    </w:lvl>
    <w:lvl w:ilvl="1">
      <w:start w:val="1"/>
      <w:numFmt w:val="bullet"/>
      <w:lvlText w:val="▪"/>
      <w:lvlJc w:val="left"/>
      <w:pPr>
        <w:ind w:left="5387" w:hanging="283"/>
      </w:pPr>
      <w:rPr>
        <w:rFonts w:ascii="Segoe UI Light" w:hAnsi="Segoe UI Light" w:hint="default"/>
        <w:color w:val="7E89C1" w:themeColor="accent3"/>
      </w:rPr>
    </w:lvl>
    <w:lvl w:ilvl="2">
      <w:start w:val="1"/>
      <w:numFmt w:val="bullet"/>
      <w:lvlText w:val="−"/>
      <w:lvlJc w:val="left"/>
      <w:pPr>
        <w:ind w:left="3262" w:hanging="284"/>
      </w:pPr>
      <w:rPr>
        <w:rFonts w:ascii="Segoe UI Light" w:hAnsi="Segoe UI Light" w:hint="default"/>
        <w:color w:val="7E89C1"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307"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87B1599"/>
    <w:multiLevelType w:val="multilevel"/>
    <w:tmpl w:val="A5B496B0"/>
    <w:styleLink w:val="JayeshNavinShahEasterEgg2"/>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NON-TOC"/>
      <w:lvlText w:val="%1.%2.%3"/>
      <w:lvlJc w:val="left"/>
      <w:pPr>
        <w:ind w:left="567" w:hanging="567"/>
      </w:pPr>
      <w:rPr>
        <w:rFonts w:hint="default"/>
      </w:rPr>
    </w:lvl>
    <w:lvl w:ilvl="3">
      <w:start w:val="1"/>
      <w:numFmt w:val="decimal"/>
      <w:lvlRestart w:val="1"/>
      <w:pStyle w:val="07BImageCaptionNumbered"/>
      <w:suff w:val="space"/>
      <w:lvlText w:val="Figure %1.%4:"/>
      <w:lvlJc w:val="left"/>
      <w:pPr>
        <w:ind w:left="2268"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08BB1C28"/>
    <w:multiLevelType w:val="multilevel"/>
    <w:tmpl w:val="0CC66390"/>
    <w:styleLink w:val="NumbListHeadings"/>
    <w:lvl w:ilvl="0">
      <w:start w:val="1"/>
      <w:numFmt w:val="decimal"/>
      <w:lvlText w:val="%1"/>
      <w:lvlJc w:val="left"/>
      <w:pPr>
        <w:tabs>
          <w:tab w:val="num" w:pos="1077"/>
        </w:tabs>
        <w:ind w:left="1077" w:hanging="1077"/>
      </w:pPr>
      <w:rPr>
        <w:rFonts w:hint="default"/>
      </w:rPr>
    </w:lvl>
    <w:lvl w:ilvl="1">
      <w:start w:val="1"/>
      <w:numFmt w:val="decimal"/>
      <w:lvlText w:val="%1.%2"/>
      <w:lvlJc w:val="left"/>
      <w:pPr>
        <w:tabs>
          <w:tab w:val="num" w:pos="1077"/>
        </w:tabs>
        <w:ind w:left="1077" w:hanging="1077"/>
      </w:pPr>
      <w:rPr>
        <w:rFonts w:hint="default"/>
      </w:rPr>
    </w:lvl>
    <w:lvl w:ilvl="2">
      <w:start w:val="1"/>
      <w:numFmt w:val="decimal"/>
      <w:lvlText w:val="%1.%2.%3"/>
      <w:lvlJc w:val="left"/>
      <w:pPr>
        <w:tabs>
          <w:tab w:val="num" w:pos="1077"/>
        </w:tabs>
        <w:ind w:left="1077" w:hanging="107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0EE0483B"/>
    <w:multiLevelType w:val="multilevel"/>
    <w:tmpl w:val="74D0ABE0"/>
    <w:numStyleLink w:val="NumblistBox"/>
  </w:abstractNum>
  <w:abstractNum w:abstractNumId="20" w15:restartNumberingAfterBreak="0">
    <w:nsid w:val="0EE87A0D"/>
    <w:multiLevelType w:val="hybridMultilevel"/>
    <w:tmpl w:val="15F8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2052EB"/>
    <w:multiLevelType w:val="hybridMultilevel"/>
    <w:tmpl w:val="86B2F3C0"/>
    <w:lvl w:ilvl="0" w:tplc="A9DCE454">
      <w:start w:val="1"/>
      <w:numFmt w:val="bullet"/>
      <w:lvlText w:val="•"/>
      <w:lvlJc w:val="left"/>
      <w:pPr>
        <w:tabs>
          <w:tab w:val="num" w:pos="720"/>
        </w:tabs>
        <w:ind w:left="720" w:hanging="360"/>
      </w:pPr>
      <w:rPr>
        <w:rFonts w:ascii="Arial" w:hAnsi="Arial" w:hint="default"/>
      </w:rPr>
    </w:lvl>
    <w:lvl w:ilvl="1" w:tplc="299E0988" w:tentative="1">
      <w:start w:val="1"/>
      <w:numFmt w:val="bullet"/>
      <w:lvlText w:val="•"/>
      <w:lvlJc w:val="left"/>
      <w:pPr>
        <w:tabs>
          <w:tab w:val="num" w:pos="1440"/>
        </w:tabs>
        <w:ind w:left="1440" w:hanging="360"/>
      </w:pPr>
      <w:rPr>
        <w:rFonts w:ascii="Arial" w:hAnsi="Arial" w:hint="default"/>
      </w:rPr>
    </w:lvl>
    <w:lvl w:ilvl="2" w:tplc="00A61F36" w:tentative="1">
      <w:start w:val="1"/>
      <w:numFmt w:val="bullet"/>
      <w:lvlText w:val="•"/>
      <w:lvlJc w:val="left"/>
      <w:pPr>
        <w:tabs>
          <w:tab w:val="num" w:pos="2160"/>
        </w:tabs>
        <w:ind w:left="2160" w:hanging="360"/>
      </w:pPr>
      <w:rPr>
        <w:rFonts w:ascii="Arial" w:hAnsi="Arial" w:hint="default"/>
      </w:rPr>
    </w:lvl>
    <w:lvl w:ilvl="3" w:tplc="E3FAAD7A" w:tentative="1">
      <w:start w:val="1"/>
      <w:numFmt w:val="bullet"/>
      <w:lvlText w:val="•"/>
      <w:lvlJc w:val="left"/>
      <w:pPr>
        <w:tabs>
          <w:tab w:val="num" w:pos="2880"/>
        </w:tabs>
        <w:ind w:left="2880" w:hanging="360"/>
      </w:pPr>
      <w:rPr>
        <w:rFonts w:ascii="Arial" w:hAnsi="Arial" w:hint="default"/>
      </w:rPr>
    </w:lvl>
    <w:lvl w:ilvl="4" w:tplc="CBD43AB0" w:tentative="1">
      <w:start w:val="1"/>
      <w:numFmt w:val="bullet"/>
      <w:lvlText w:val="•"/>
      <w:lvlJc w:val="left"/>
      <w:pPr>
        <w:tabs>
          <w:tab w:val="num" w:pos="3600"/>
        </w:tabs>
        <w:ind w:left="3600" w:hanging="360"/>
      </w:pPr>
      <w:rPr>
        <w:rFonts w:ascii="Arial" w:hAnsi="Arial" w:hint="default"/>
      </w:rPr>
    </w:lvl>
    <w:lvl w:ilvl="5" w:tplc="EC564826" w:tentative="1">
      <w:start w:val="1"/>
      <w:numFmt w:val="bullet"/>
      <w:lvlText w:val="•"/>
      <w:lvlJc w:val="left"/>
      <w:pPr>
        <w:tabs>
          <w:tab w:val="num" w:pos="4320"/>
        </w:tabs>
        <w:ind w:left="4320" w:hanging="360"/>
      </w:pPr>
      <w:rPr>
        <w:rFonts w:ascii="Arial" w:hAnsi="Arial" w:hint="default"/>
      </w:rPr>
    </w:lvl>
    <w:lvl w:ilvl="6" w:tplc="402C5332" w:tentative="1">
      <w:start w:val="1"/>
      <w:numFmt w:val="bullet"/>
      <w:lvlText w:val="•"/>
      <w:lvlJc w:val="left"/>
      <w:pPr>
        <w:tabs>
          <w:tab w:val="num" w:pos="5040"/>
        </w:tabs>
        <w:ind w:left="5040" w:hanging="360"/>
      </w:pPr>
      <w:rPr>
        <w:rFonts w:ascii="Arial" w:hAnsi="Arial" w:hint="default"/>
      </w:rPr>
    </w:lvl>
    <w:lvl w:ilvl="7" w:tplc="1D2C852A" w:tentative="1">
      <w:start w:val="1"/>
      <w:numFmt w:val="bullet"/>
      <w:lvlText w:val="•"/>
      <w:lvlJc w:val="left"/>
      <w:pPr>
        <w:tabs>
          <w:tab w:val="num" w:pos="5760"/>
        </w:tabs>
        <w:ind w:left="5760" w:hanging="360"/>
      </w:pPr>
      <w:rPr>
        <w:rFonts w:ascii="Arial" w:hAnsi="Arial" w:hint="default"/>
      </w:rPr>
    </w:lvl>
    <w:lvl w:ilvl="8" w:tplc="12048A4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1C86B1E"/>
    <w:multiLevelType w:val="multilevel"/>
    <w:tmpl w:val="F5B24310"/>
    <w:styleLink w:val="NumbListAnnex"/>
    <w:lvl w:ilvl="0">
      <w:start w:val="1"/>
      <w:numFmt w:val="decimal"/>
      <w:pStyle w:val="AnnexHeading1"/>
      <w:lvlText w:val="Annex %1"/>
      <w:lvlJc w:val="left"/>
      <w:pPr>
        <w:tabs>
          <w:tab w:val="num" w:pos="1077"/>
        </w:tabs>
        <w:ind w:left="1077" w:hanging="1077"/>
      </w:pPr>
      <w:rPr>
        <w:rFonts w:hint="default"/>
      </w:rPr>
    </w:lvl>
    <w:lvl w:ilvl="1">
      <w:start w:val="1"/>
      <w:numFmt w:val="decimal"/>
      <w:pStyle w:val="AnnexHeading2"/>
      <w:lvlText w:val="A%1.%2"/>
      <w:lvlJc w:val="left"/>
      <w:pPr>
        <w:tabs>
          <w:tab w:val="num" w:pos="1077"/>
        </w:tabs>
        <w:ind w:left="1077" w:hanging="1077"/>
      </w:pPr>
      <w:rPr>
        <w:rFonts w:hint="default"/>
      </w:rPr>
    </w:lvl>
    <w:lvl w:ilvl="2">
      <w:start w:val="1"/>
      <w:numFmt w:val="decimal"/>
      <w:pStyle w:val="AnnexHeading3"/>
      <w:lvlText w:val="A%1.%2.%3"/>
      <w:lvlJc w:val="left"/>
      <w:pPr>
        <w:tabs>
          <w:tab w:val="num" w:pos="1077"/>
        </w:tabs>
        <w:ind w:left="1077" w:hanging="1077"/>
      </w:pPr>
      <w:rPr>
        <w:rFonts w:hint="default"/>
      </w:rPr>
    </w:lvl>
    <w:lvl w:ilvl="3">
      <w:start w:val="1"/>
      <w:numFmt w:val="none"/>
      <w:lvlText w:val=""/>
      <w:lvlJc w:val="left"/>
      <w:pPr>
        <w:tabs>
          <w:tab w:val="num" w:pos="1077"/>
        </w:tabs>
        <w:ind w:left="1077" w:hanging="1077"/>
      </w:pPr>
      <w:rPr>
        <w:rFonts w:hint="default"/>
      </w:rPr>
    </w:lvl>
    <w:lvl w:ilvl="4">
      <w:start w:val="1"/>
      <w:numFmt w:val="none"/>
      <w:lvlText w:val=""/>
      <w:lvlJc w:val="left"/>
      <w:pPr>
        <w:tabs>
          <w:tab w:val="num" w:pos="1077"/>
        </w:tabs>
        <w:ind w:left="1077" w:hanging="1077"/>
      </w:pPr>
      <w:rPr>
        <w:rFonts w:hint="default"/>
      </w:rPr>
    </w:lvl>
    <w:lvl w:ilvl="5">
      <w:start w:val="1"/>
      <w:numFmt w:val="none"/>
      <w:lvlText w:val=""/>
      <w:lvlJc w:val="left"/>
      <w:pPr>
        <w:tabs>
          <w:tab w:val="num" w:pos="1077"/>
        </w:tabs>
        <w:ind w:left="1077" w:hanging="1077"/>
      </w:pPr>
      <w:rPr>
        <w:rFonts w:hint="default"/>
      </w:rPr>
    </w:lvl>
    <w:lvl w:ilvl="6">
      <w:start w:val="1"/>
      <w:numFmt w:val="none"/>
      <w:lvlText w:val=""/>
      <w:lvlJc w:val="left"/>
      <w:pPr>
        <w:tabs>
          <w:tab w:val="num" w:pos="1077"/>
        </w:tabs>
        <w:ind w:left="1077" w:hanging="1077"/>
      </w:pPr>
      <w:rPr>
        <w:rFonts w:hint="default"/>
      </w:rPr>
    </w:lvl>
    <w:lvl w:ilvl="7">
      <w:start w:val="1"/>
      <w:numFmt w:val="none"/>
      <w:lvlText w:val=""/>
      <w:lvlJc w:val="left"/>
      <w:pPr>
        <w:tabs>
          <w:tab w:val="num" w:pos="1077"/>
        </w:tabs>
        <w:ind w:left="1077" w:hanging="1077"/>
      </w:pPr>
      <w:rPr>
        <w:rFonts w:hint="default"/>
      </w:rPr>
    </w:lvl>
    <w:lvl w:ilvl="8">
      <w:start w:val="1"/>
      <w:numFmt w:val="none"/>
      <w:lvlText w:val=""/>
      <w:lvlJc w:val="left"/>
      <w:pPr>
        <w:tabs>
          <w:tab w:val="num" w:pos="1077"/>
        </w:tabs>
        <w:ind w:left="1077" w:hanging="1077"/>
      </w:pPr>
      <w:rPr>
        <w:rFonts w:hint="default"/>
      </w:rPr>
    </w:lvl>
  </w:abstractNum>
  <w:abstractNum w:abstractNumId="23" w15:restartNumberingAfterBreak="0">
    <w:nsid w:val="124A4F2C"/>
    <w:multiLevelType w:val="multilevel"/>
    <w:tmpl w:val="A5B496B0"/>
    <w:numStyleLink w:val="JayeshNavinShahEasterEgg2"/>
  </w:abstractNum>
  <w:abstractNum w:abstractNumId="24" w15:restartNumberingAfterBreak="0">
    <w:nsid w:val="131C51E5"/>
    <w:multiLevelType w:val="hybridMultilevel"/>
    <w:tmpl w:val="2D66F01E"/>
    <w:lvl w:ilvl="0" w:tplc="29D892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DD0D89"/>
    <w:multiLevelType w:val="multilevel"/>
    <w:tmpl w:val="33DE43BE"/>
    <w:styleLink w:val="NumblistFigure"/>
    <w:lvl w:ilvl="0">
      <w:start w:val="1"/>
      <w:numFmt w:val="decimal"/>
      <w:pStyle w:val="FigureTitle"/>
      <w:lvlText w:val="Figure %1"/>
      <w:lvlJc w:val="left"/>
      <w:pPr>
        <w:tabs>
          <w:tab w:val="num" w:pos="1134"/>
        </w:tabs>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19AC1F24"/>
    <w:multiLevelType w:val="hybridMultilevel"/>
    <w:tmpl w:val="D6BA3EE0"/>
    <w:lvl w:ilvl="0" w:tplc="83E8E4A2">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BD058E"/>
    <w:multiLevelType w:val="hybridMultilevel"/>
    <w:tmpl w:val="AD52AA26"/>
    <w:lvl w:ilvl="0" w:tplc="2766F3FE">
      <w:start w:val="1"/>
      <w:numFmt w:val="bullet"/>
      <w:lvlText w:val="•"/>
      <w:lvlJc w:val="left"/>
      <w:pPr>
        <w:tabs>
          <w:tab w:val="num" w:pos="720"/>
        </w:tabs>
        <w:ind w:left="720" w:hanging="360"/>
      </w:pPr>
      <w:rPr>
        <w:rFonts w:ascii="Arial" w:hAnsi="Arial" w:hint="default"/>
      </w:rPr>
    </w:lvl>
    <w:lvl w:ilvl="1" w:tplc="E6ACE85A" w:tentative="1">
      <w:start w:val="1"/>
      <w:numFmt w:val="bullet"/>
      <w:lvlText w:val="•"/>
      <w:lvlJc w:val="left"/>
      <w:pPr>
        <w:tabs>
          <w:tab w:val="num" w:pos="1440"/>
        </w:tabs>
        <w:ind w:left="1440" w:hanging="360"/>
      </w:pPr>
      <w:rPr>
        <w:rFonts w:ascii="Arial" w:hAnsi="Arial" w:hint="default"/>
      </w:rPr>
    </w:lvl>
    <w:lvl w:ilvl="2" w:tplc="47B692F0" w:tentative="1">
      <w:start w:val="1"/>
      <w:numFmt w:val="bullet"/>
      <w:lvlText w:val="•"/>
      <w:lvlJc w:val="left"/>
      <w:pPr>
        <w:tabs>
          <w:tab w:val="num" w:pos="2160"/>
        </w:tabs>
        <w:ind w:left="2160" w:hanging="360"/>
      </w:pPr>
      <w:rPr>
        <w:rFonts w:ascii="Arial" w:hAnsi="Arial" w:hint="default"/>
      </w:rPr>
    </w:lvl>
    <w:lvl w:ilvl="3" w:tplc="A94674BE" w:tentative="1">
      <w:start w:val="1"/>
      <w:numFmt w:val="bullet"/>
      <w:lvlText w:val="•"/>
      <w:lvlJc w:val="left"/>
      <w:pPr>
        <w:tabs>
          <w:tab w:val="num" w:pos="2880"/>
        </w:tabs>
        <w:ind w:left="2880" w:hanging="360"/>
      </w:pPr>
      <w:rPr>
        <w:rFonts w:ascii="Arial" w:hAnsi="Arial" w:hint="default"/>
      </w:rPr>
    </w:lvl>
    <w:lvl w:ilvl="4" w:tplc="3DE6FFF0" w:tentative="1">
      <w:start w:val="1"/>
      <w:numFmt w:val="bullet"/>
      <w:lvlText w:val="•"/>
      <w:lvlJc w:val="left"/>
      <w:pPr>
        <w:tabs>
          <w:tab w:val="num" w:pos="3600"/>
        </w:tabs>
        <w:ind w:left="3600" w:hanging="360"/>
      </w:pPr>
      <w:rPr>
        <w:rFonts w:ascii="Arial" w:hAnsi="Arial" w:hint="default"/>
      </w:rPr>
    </w:lvl>
    <w:lvl w:ilvl="5" w:tplc="3A3EE4B6" w:tentative="1">
      <w:start w:val="1"/>
      <w:numFmt w:val="bullet"/>
      <w:lvlText w:val="•"/>
      <w:lvlJc w:val="left"/>
      <w:pPr>
        <w:tabs>
          <w:tab w:val="num" w:pos="4320"/>
        </w:tabs>
        <w:ind w:left="4320" w:hanging="360"/>
      </w:pPr>
      <w:rPr>
        <w:rFonts w:ascii="Arial" w:hAnsi="Arial" w:hint="default"/>
      </w:rPr>
    </w:lvl>
    <w:lvl w:ilvl="6" w:tplc="BEF0AD36" w:tentative="1">
      <w:start w:val="1"/>
      <w:numFmt w:val="bullet"/>
      <w:lvlText w:val="•"/>
      <w:lvlJc w:val="left"/>
      <w:pPr>
        <w:tabs>
          <w:tab w:val="num" w:pos="5040"/>
        </w:tabs>
        <w:ind w:left="5040" w:hanging="360"/>
      </w:pPr>
      <w:rPr>
        <w:rFonts w:ascii="Arial" w:hAnsi="Arial" w:hint="default"/>
      </w:rPr>
    </w:lvl>
    <w:lvl w:ilvl="7" w:tplc="82043D6C" w:tentative="1">
      <w:start w:val="1"/>
      <w:numFmt w:val="bullet"/>
      <w:lvlText w:val="•"/>
      <w:lvlJc w:val="left"/>
      <w:pPr>
        <w:tabs>
          <w:tab w:val="num" w:pos="5760"/>
        </w:tabs>
        <w:ind w:left="5760" w:hanging="360"/>
      </w:pPr>
      <w:rPr>
        <w:rFonts w:ascii="Arial" w:hAnsi="Arial" w:hint="default"/>
      </w:rPr>
    </w:lvl>
    <w:lvl w:ilvl="8" w:tplc="E1EE184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1BA15B0"/>
    <w:multiLevelType w:val="hybridMultilevel"/>
    <w:tmpl w:val="73A289C0"/>
    <w:lvl w:ilvl="0" w:tplc="E5EC34CA">
      <w:start w:val="1"/>
      <w:numFmt w:val="decimal"/>
      <w:lvlText w:val="Q%1"/>
      <w:lvlJc w:val="left"/>
      <w:pPr>
        <w:tabs>
          <w:tab w:val="num" w:pos="907"/>
        </w:tabs>
        <w:ind w:left="907" w:hanging="907"/>
      </w:pPr>
      <w:rPr>
        <w:rFonts w:ascii="Arial" w:hAnsi="Arial" w:cs="Arial" w:hint="default"/>
        <w:b w:val="0"/>
        <w:bCs w:val="0"/>
        <w:i w:val="0"/>
        <w:iCs w:val="0"/>
        <w:sz w:val="20"/>
        <w:szCs w:val="20"/>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lowerLetter"/>
      <w:lvlText w:val="%5."/>
      <w:lvlJc w:val="left"/>
      <w:pPr>
        <w:tabs>
          <w:tab w:val="num" w:pos="3600"/>
        </w:tabs>
        <w:ind w:left="3600" w:hanging="360"/>
      </w:pPr>
      <w:rPr>
        <w:rFonts w:cs="Times New Roman"/>
      </w:rPr>
    </w:lvl>
    <w:lvl w:ilvl="5" w:tplc="08090005">
      <w:start w:val="1"/>
      <w:numFmt w:val="lowerRoman"/>
      <w:lvlText w:val="%6."/>
      <w:lvlJc w:val="right"/>
      <w:pPr>
        <w:tabs>
          <w:tab w:val="num" w:pos="4320"/>
        </w:tabs>
        <w:ind w:left="4320" w:hanging="18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lowerLetter"/>
      <w:lvlText w:val="%8."/>
      <w:lvlJc w:val="left"/>
      <w:pPr>
        <w:tabs>
          <w:tab w:val="num" w:pos="5760"/>
        </w:tabs>
        <w:ind w:left="5760" w:hanging="360"/>
      </w:pPr>
      <w:rPr>
        <w:rFonts w:cs="Times New Roman"/>
      </w:rPr>
    </w:lvl>
    <w:lvl w:ilvl="8" w:tplc="08090005">
      <w:start w:val="1"/>
      <w:numFmt w:val="lowerRoman"/>
      <w:lvlText w:val="%9."/>
      <w:lvlJc w:val="right"/>
      <w:pPr>
        <w:tabs>
          <w:tab w:val="num" w:pos="6480"/>
        </w:tabs>
        <w:ind w:left="6480" w:hanging="180"/>
      </w:pPr>
      <w:rPr>
        <w:rFonts w:cs="Times New Roman"/>
      </w:rPr>
    </w:lvl>
  </w:abstractNum>
  <w:abstractNum w:abstractNumId="29" w15:restartNumberingAfterBreak="0">
    <w:nsid w:val="226F4490"/>
    <w:multiLevelType w:val="multilevel"/>
    <w:tmpl w:val="C83A13BA"/>
    <w:numStyleLink w:val="NumbListMinorBullet"/>
  </w:abstractNum>
  <w:abstractNum w:abstractNumId="30" w15:restartNumberingAfterBreak="0">
    <w:nsid w:val="234B3D85"/>
    <w:multiLevelType w:val="multilevel"/>
    <w:tmpl w:val="2DFEB474"/>
    <w:lvl w:ilvl="0">
      <w:start w:val="1"/>
      <w:numFmt w:val="bullet"/>
      <w:lvlText w:val="–"/>
      <w:lvlJc w:val="left"/>
      <w:pPr>
        <w:ind w:left="360" w:hanging="360"/>
      </w:pPr>
      <w:rPr>
        <w:rFonts w:ascii="Arial" w:hAnsi="Aria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5AF5B98"/>
    <w:multiLevelType w:val="multilevel"/>
    <w:tmpl w:val="33DE43BE"/>
    <w:numStyleLink w:val="NumblistFigure"/>
  </w:abstractNum>
  <w:abstractNum w:abstractNumId="32" w15:restartNumberingAfterBreak="0">
    <w:nsid w:val="260B2529"/>
    <w:multiLevelType w:val="multilevel"/>
    <w:tmpl w:val="65722B18"/>
    <w:lvl w:ilvl="0">
      <w:start w:val="1"/>
      <w:numFmt w:val="decimal"/>
      <w:pStyle w:val="DfESOutNumbered"/>
      <w:lvlText w:val="%1."/>
      <w:lvlJc w:val="left"/>
      <w:pPr>
        <w:tabs>
          <w:tab w:val="num" w:pos="720"/>
        </w:tabs>
        <w:ind w:left="0" w:firstLine="0"/>
      </w:pPr>
      <w:rPr>
        <w:rFonts w:cs="Times New Roman"/>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lowerRoman"/>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lowerLetter"/>
      <w:lvlText w:val="%8."/>
      <w:lvlJc w:val="left"/>
      <w:pPr>
        <w:tabs>
          <w:tab w:val="num" w:pos="5760"/>
        </w:tabs>
        <w:ind w:left="5760" w:hanging="720"/>
      </w:pPr>
      <w:rPr>
        <w:rFonts w:cs="Times New Roman"/>
      </w:rPr>
    </w:lvl>
    <w:lvl w:ilvl="8">
      <w:start w:val="1"/>
      <w:numFmt w:val="lowerRoman"/>
      <w:lvlText w:val="%9."/>
      <w:lvlJc w:val="left"/>
      <w:pPr>
        <w:tabs>
          <w:tab w:val="num" w:pos="6480"/>
        </w:tabs>
        <w:ind w:left="6480" w:hanging="720"/>
      </w:pPr>
      <w:rPr>
        <w:rFonts w:cs="Times New Roman"/>
      </w:rPr>
    </w:lvl>
  </w:abstractNum>
  <w:abstractNum w:abstractNumId="33" w15:restartNumberingAfterBreak="0">
    <w:nsid w:val="287D6E02"/>
    <w:multiLevelType w:val="hybridMultilevel"/>
    <w:tmpl w:val="519C60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29055384"/>
    <w:multiLevelType w:val="hybridMultilevel"/>
    <w:tmpl w:val="8BEA3B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29381147"/>
    <w:multiLevelType w:val="hybridMultilevel"/>
    <w:tmpl w:val="213EC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pStyle w:val="QuestionTextSub"/>
      <w:lvlText w:val=""/>
      <w:lvlJc w:val="left"/>
      <w:pPr>
        <w:ind w:left="2160" w:hanging="360"/>
      </w:pPr>
      <w:rPr>
        <w:rFonts w:ascii="Wingdings" w:hAnsi="Wingdings" w:hint="default"/>
      </w:rPr>
    </w:lvl>
    <w:lvl w:ilvl="3" w:tplc="08090001">
      <w:start w:val="1"/>
      <w:numFmt w:val="bullet"/>
      <w:pStyle w:val="QTableFO"/>
      <w:lvlText w:val=""/>
      <w:lvlJc w:val="left"/>
      <w:pPr>
        <w:ind w:left="2880" w:hanging="360"/>
      </w:pPr>
      <w:rPr>
        <w:rFonts w:ascii="Symbol" w:hAnsi="Symbol" w:hint="default"/>
      </w:rPr>
    </w:lvl>
    <w:lvl w:ilvl="4" w:tplc="08090003">
      <w:start w:val="1"/>
      <w:numFmt w:val="bullet"/>
      <w:pStyle w:val="QTblabc"/>
      <w:lvlText w:val="o"/>
      <w:lvlJc w:val="left"/>
      <w:pPr>
        <w:ind w:left="3600" w:hanging="360"/>
      </w:pPr>
      <w:rPr>
        <w:rFonts w:ascii="Courier New" w:hAnsi="Courier New" w:cs="Times New Roman" w:hint="default"/>
      </w:rPr>
    </w:lvl>
    <w:lvl w:ilvl="5" w:tplc="08090005">
      <w:start w:val="1"/>
      <w:numFmt w:val="bullet"/>
      <w:pStyle w:val="Qtable1to10Horiz"/>
      <w:lvlText w:val=""/>
      <w:lvlJc w:val="left"/>
      <w:pPr>
        <w:ind w:left="4320" w:hanging="360"/>
      </w:pPr>
      <w:rPr>
        <w:rFonts w:ascii="Wingdings" w:hAnsi="Wingdings" w:hint="default"/>
      </w:rPr>
    </w:lvl>
    <w:lvl w:ilvl="6" w:tplc="08090001">
      <w:start w:val="1"/>
      <w:numFmt w:val="bullet"/>
      <w:pStyle w:val="QuestionDer"/>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2B017EF4"/>
    <w:multiLevelType w:val="hybridMultilevel"/>
    <w:tmpl w:val="3CF62126"/>
    <w:lvl w:ilvl="0" w:tplc="92820868">
      <w:start w:val="9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BCC6E7A"/>
    <w:multiLevelType w:val="multilevel"/>
    <w:tmpl w:val="1D049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0310452"/>
    <w:multiLevelType w:val="hybridMultilevel"/>
    <w:tmpl w:val="A0C4F6EC"/>
    <w:lvl w:ilvl="0" w:tplc="03705256">
      <w:start w:val="1"/>
      <w:numFmt w:val="decimal"/>
      <w:pStyle w:val="quest1"/>
      <w:lvlText w:val="%1."/>
      <w:lvlJc w:val="left"/>
      <w:pPr>
        <w:ind w:left="360" w:hanging="360"/>
      </w:pPr>
      <w:rPr>
        <w:rFonts w:cs="Times New Roman"/>
        <w:b/>
        <w:i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9" w15:restartNumberingAfterBreak="0">
    <w:nsid w:val="31FA12B3"/>
    <w:multiLevelType w:val="hybridMultilevel"/>
    <w:tmpl w:val="A3543F66"/>
    <w:lvl w:ilvl="0" w:tplc="D92C26DA">
      <w:start w:val="1"/>
      <w:numFmt w:val="bullet"/>
      <w:pStyle w:val="Level1bullet"/>
      <w:lvlText w:val=""/>
      <w:lvlJc w:val="left"/>
      <w:pPr>
        <w:tabs>
          <w:tab w:val="num" w:pos="899"/>
        </w:tabs>
        <w:ind w:left="709" w:hanging="170"/>
      </w:pPr>
      <w:rPr>
        <w:rFonts w:ascii="Symbol" w:hAnsi="Symbol" w:hint="default"/>
        <w:color w:val="357C2A"/>
        <w:position w:val="0"/>
      </w:rPr>
    </w:lvl>
    <w:lvl w:ilvl="1" w:tplc="ED8A7FB2">
      <w:start w:val="1"/>
      <w:numFmt w:val="bullet"/>
      <w:lvlText w:val="o"/>
      <w:lvlJc w:val="left"/>
      <w:pPr>
        <w:tabs>
          <w:tab w:val="num" w:pos="1440"/>
        </w:tabs>
        <w:ind w:left="1440" w:hanging="360"/>
      </w:pPr>
      <w:rPr>
        <w:rFonts w:ascii="Courier New" w:hAnsi="Courier New" w:cs="Times New Roman" w:hint="default"/>
      </w:rPr>
    </w:lvl>
    <w:lvl w:ilvl="2" w:tplc="4C9A0C4C">
      <w:start w:val="1"/>
      <w:numFmt w:val="bullet"/>
      <w:lvlText w:val=""/>
      <w:lvlJc w:val="left"/>
      <w:pPr>
        <w:tabs>
          <w:tab w:val="num" w:pos="2160"/>
        </w:tabs>
        <w:ind w:left="2160" w:hanging="360"/>
      </w:pPr>
      <w:rPr>
        <w:rFonts w:ascii="Wingdings" w:hAnsi="Wingdings" w:hint="default"/>
      </w:rPr>
    </w:lvl>
    <w:lvl w:ilvl="3" w:tplc="01708238">
      <w:start w:val="1"/>
      <w:numFmt w:val="bullet"/>
      <w:lvlText w:val=""/>
      <w:lvlJc w:val="left"/>
      <w:pPr>
        <w:tabs>
          <w:tab w:val="num" w:pos="2880"/>
        </w:tabs>
        <w:ind w:left="2880" w:hanging="360"/>
      </w:pPr>
      <w:rPr>
        <w:rFonts w:ascii="Symbol" w:hAnsi="Symbol" w:hint="default"/>
      </w:rPr>
    </w:lvl>
    <w:lvl w:ilvl="4" w:tplc="103C281A">
      <w:start w:val="1"/>
      <w:numFmt w:val="bullet"/>
      <w:lvlText w:val="o"/>
      <w:lvlJc w:val="left"/>
      <w:pPr>
        <w:tabs>
          <w:tab w:val="num" w:pos="3600"/>
        </w:tabs>
        <w:ind w:left="3600" w:hanging="360"/>
      </w:pPr>
      <w:rPr>
        <w:rFonts w:ascii="Courier New" w:hAnsi="Courier New" w:cs="Times New Roman" w:hint="default"/>
      </w:rPr>
    </w:lvl>
    <w:lvl w:ilvl="5" w:tplc="BAA49B6E">
      <w:start w:val="1"/>
      <w:numFmt w:val="bullet"/>
      <w:lvlText w:val=""/>
      <w:lvlJc w:val="left"/>
      <w:pPr>
        <w:tabs>
          <w:tab w:val="num" w:pos="4320"/>
        </w:tabs>
        <w:ind w:left="4320" w:hanging="360"/>
      </w:pPr>
      <w:rPr>
        <w:rFonts w:ascii="Wingdings" w:hAnsi="Wingdings" w:hint="default"/>
      </w:rPr>
    </w:lvl>
    <w:lvl w:ilvl="6" w:tplc="3B7C813E">
      <w:start w:val="1"/>
      <w:numFmt w:val="bullet"/>
      <w:lvlText w:val=""/>
      <w:lvlJc w:val="left"/>
      <w:pPr>
        <w:tabs>
          <w:tab w:val="num" w:pos="5040"/>
        </w:tabs>
        <w:ind w:left="5040" w:hanging="360"/>
      </w:pPr>
      <w:rPr>
        <w:rFonts w:ascii="Symbol" w:hAnsi="Symbol" w:hint="default"/>
      </w:rPr>
    </w:lvl>
    <w:lvl w:ilvl="7" w:tplc="C8AE4952">
      <w:start w:val="1"/>
      <w:numFmt w:val="bullet"/>
      <w:lvlText w:val="o"/>
      <w:lvlJc w:val="left"/>
      <w:pPr>
        <w:tabs>
          <w:tab w:val="num" w:pos="5760"/>
        </w:tabs>
        <w:ind w:left="5760" w:hanging="360"/>
      </w:pPr>
      <w:rPr>
        <w:rFonts w:ascii="Courier New" w:hAnsi="Courier New" w:cs="Times New Roman" w:hint="default"/>
      </w:rPr>
    </w:lvl>
    <w:lvl w:ilvl="8" w:tplc="26F8686A">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2552140"/>
    <w:multiLevelType w:val="hybridMultilevel"/>
    <w:tmpl w:val="83E67DAE"/>
    <w:lvl w:ilvl="0" w:tplc="03203F7A">
      <w:start w:val="1"/>
      <w:numFmt w:val="bullet"/>
      <w:lvlText w:val="•"/>
      <w:lvlJc w:val="left"/>
      <w:pPr>
        <w:tabs>
          <w:tab w:val="num" w:pos="720"/>
        </w:tabs>
        <w:ind w:left="720" w:hanging="360"/>
      </w:pPr>
      <w:rPr>
        <w:rFonts w:ascii="Arial" w:hAnsi="Arial" w:hint="default"/>
      </w:rPr>
    </w:lvl>
    <w:lvl w:ilvl="1" w:tplc="81AE9594" w:tentative="1">
      <w:start w:val="1"/>
      <w:numFmt w:val="bullet"/>
      <w:lvlText w:val="•"/>
      <w:lvlJc w:val="left"/>
      <w:pPr>
        <w:tabs>
          <w:tab w:val="num" w:pos="1440"/>
        </w:tabs>
        <w:ind w:left="1440" w:hanging="360"/>
      </w:pPr>
      <w:rPr>
        <w:rFonts w:ascii="Arial" w:hAnsi="Arial" w:hint="default"/>
      </w:rPr>
    </w:lvl>
    <w:lvl w:ilvl="2" w:tplc="B65A3F08" w:tentative="1">
      <w:start w:val="1"/>
      <w:numFmt w:val="bullet"/>
      <w:lvlText w:val="•"/>
      <w:lvlJc w:val="left"/>
      <w:pPr>
        <w:tabs>
          <w:tab w:val="num" w:pos="2160"/>
        </w:tabs>
        <w:ind w:left="2160" w:hanging="360"/>
      </w:pPr>
      <w:rPr>
        <w:rFonts w:ascii="Arial" w:hAnsi="Arial" w:hint="default"/>
      </w:rPr>
    </w:lvl>
    <w:lvl w:ilvl="3" w:tplc="9CD666F6" w:tentative="1">
      <w:start w:val="1"/>
      <w:numFmt w:val="bullet"/>
      <w:lvlText w:val="•"/>
      <w:lvlJc w:val="left"/>
      <w:pPr>
        <w:tabs>
          <w:tab w:val="num" w:pos="2880"/>
        </w:tabs>
        <w:ind w:left="2880" w:hanging="360"/>
      </w:pPr>
      <w:rPr>
        <w:rFonts w:ascii="Arial" w:hAnsi="Arial" w:hint="default"/>
      </w:rPr>
    </w:lvl>
    <w:lvl w:ilvl="4" w:tplc="6E3C578A" w:tentative="1">
      <w:start w:val="1"/>
      <w:numFmt w:val="bullet"/>
      <w:lvlText w:val="•"/>
      <w:lvlJc w:val="left"/>
      <w:pPr>
        <w:tabs>
          <w:tab w:val="num" w:pos="3600"/>
        </w:tabs>
        <w:ind w:left="3600" w:hanging="360"/>
      </w:pPr>
      <w:rPr>
        <w:rFonts w:ascii="Arial" w:hAnsi="Arial" w:hint="default"/>
      </w:rPr>
    </w:lvl>
    <w:lvl w:ilvl="5" w:tplc="BEFE927C" w:tentative="1">
      <w:start w:val="1"/>
      <w:numFmt w:val="bullet"/>
      <w:lvlText w:val="•"/>
      <w:lvlJc w:val="left"/>
      <w:pPr>
        <w:tabs>
          <w:tab w:val="num" w:pos="4320"/>
        </w:tabs>
        <w:ind w:left="4320" w:hanging="360"/>
      </w:pPr>
      <w:rPr>
        <w:rFonts w:ascii="Arial" w:hAnsi="Arial" w:hint="default"/>
      </w:rPr>
    </w:lvl>
    <w:lvl w:ilvl="6" w:tplc="1382DBAE" w:tentative="1">
      <w:start w:val="1"/>
      <w:numFmt w:val="bullet"/>
      <w:lvlText w:val="•"/>
      <w:lvlJc w:val="left"/>
      <w:pPr>
        <w:tabs>
          <w:tab w:val="num" w:pos="5040"/>
        </w:tabs>
        <w:ind w:left="5040" w:hanging="360"/>
      </w:pPr>
      <w:rPr>
        <w:rFonts w:ascii="Arial" w:hAnsi="Arial" w:hint="default"/>
      </w:rPr>
    </w:lvl>
    <w:lvl w:ilvl="7" w:tplc="516032C4" w:tentative="1">
      <w:start w:val="1"/>
      <w:numFmt w:val="bullet"/>
      <w:lvlText w:val="•"/>
      <w:lvlJc w:val="left"/>
      <w:pPr>
        <w:tabs>
          <w:tab w:val="num" w:pos="5760"/>
        </w:tabs>
        <w:ind w:left="5760" w:hanging="360"/>
      </w:pPr>
      <w:rPr>
        <w:rFonts w:ascii="Arial" w:hAnsi="Arial" w:hint="default"/>
      </w:rPr>
    </w:lvl>
    <w:lvl w:ilvl="8" w:tplc="F59278D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2FD6268"/>
    <w:multiLevelType w:val="multilevel"/>
    <w:tmpl w:val="5A443E3E"/>
    <w:lvl w:ilvl="0">
      <w:start w:val="1"/>
      <w:numFmt w:val="decimal"/>
      <w:pStyle w:val="ListNumber"/>
      <w:lvlText w:val="%1"/>
      <w:lvlJc w:val="left"/>
      <w:pPr>
        <w:ind w:left="227" w:hanging="227"/>
      </w:pPr>
      <w:rPr>
        <w:rFonts w:ascii="Arial" w:hAnsi="Arial" w:hint="default"/>
        <w:b w:val="0"/>
        <w:i w:val="0"/>
        <w:caps w:val="0"/>
        <w:strike w:val="0"/>
        <w:dstrike w:val="0"/>
        <w:vanish w:val="0"/>
        <w:color w:val="1D1D1B" w:themeColor="text1"/>
        <w:sz w:val="24"/>
        <w:u w:val="none"/>
        <w:vertAlign w:val="baseline"/>
      </w:rPr>
    </w:lvl>
    <w:lvl w:ilvl="1">
      <w:start w:val="1"/>
      <w:numFmt w:val="lowerLetter"/>
      <w:lvlText w:val="%2"/>
      <w:lvlJc w:val="left"/>
      <w:pPr>
        <w:tabs>
          <w:tab w:val="num" w:pos="227"/>
        </w:tabs>
        <w:ind w:left="454" w:hanging="227"/>
      </w:pPr>
      <w:rPr>
        <w:rFonts w:ascii="Arial" w:hAnsi="Arial" w:hint="default"/>
        <w:b w:val="0"/>
        <w:i w:val="0"/>
        <w:color w:val="1D1D1B" w:themeColor="text1"/>
        <w:sz w:val="24"/>
      </w:rPr>
    </w:lvl>
    <w:lvl w:ilvl="2">
      <w:start w:val="1"/>
      <w:numFmt w:val="lowerRoman"/>
      <w:lvlText w:val="%3"/>
      <w:lvlJc w:val="left"/>
      <w:pPr>
        <w:ind w:left="680" w:hanging="226"/>
      </w:pPr>
      <w:rPr>
        <w:rFonts w:ascii="Arial" w:hAnsi="Arial" w:hint="default"/>
        <w:b w:val="0"/>
        <w:i w:val="0"/>
        <w:color w:val="1D1D1B" w:themeColor="text1"/>
        <w:sz w:val="24"/>
      </w:rPr>
    </w:lvl>
    <w:lvl w:ilvl="3">
      <w:start w:val="1"/>
      <w:numFmt w:val="bullet"/>
      <w:lvlText w:val=""/>
      <w:lvlJc w:val="left"/>
      <w:pPr>
        <w:tabs>
          <w:tab w:val="num" w:pos="794"/>
        </w:tabs>
        <w:ind w:left="907" w:hanging="227"/>
      </w:pPr>
      <w:rPr>
        <w:rFonts w:ascii="Symbol" w:hAnsi="Symbol" w:hint="default"/>
      </w:rPr>
    </w:lvl>
    <w:lvl w:ilvl="4">
      <w:start w:val="1"/>
      <w:numFmt w:val="bullet"/>
      <w:lvlText w:val=""/>
      <w:lvlJc w:val="left"/>
      <w:pPr>
        <w:ind w:left="1134" w:hanging="227"/>
      </w:pPr>
      <w:rPr>
        <w:rFonts w:ascii="Symbol" w:hAnsi="Symbol" w:hint="default"/>
      </w:rPr>
    </w:lvl>
    <w:lvl w:ilvl="5">
      <w:start w:val="1"/>
      <w:numFmt w:val="bullet"/>
      <w:lvlText w:val=""/>
      <w:lvlJc w:val="left"/>
      <w:pPr>
        <w:tabs>
          <w:tab w:val="num" w:pos="1134"/>
        </w:tabs>
        <w:ind w:left="1361" w:hanging="227"/>
      </w:pPr>
      <w:rPr>
        <w:rFonts w:ascii="Wingdings" w:hAnsi="Wingdings" w:hint="default"/>
      </w:rPr>
    </w:lvl>
    <w:lvl w:ilvl="6">
      <w:start w:val="1"/>
      <w:numFmt w:val="bullet"/>
      <w:lvlText w:val=""/>
      <w:lvlJc w:val="left"/>
      <w:pPr>
        <w:tabs>
          <w:tab w:val="num" w:pos="1361"/>
        </w:tabs>
        <w:ind w:left="1588" w:hanging="227"/>
      </w:pPr>
      <w:rPr>
        <w:rFonts w:ascii="Wingdings" w:hAnsi="Wingdings" w:hint="default"/>
      </w:rPr>
    </w:lvl>
    <w:lvl w:ilvl="7">
      <w:start w:val="1"/>
      <w:numFmt w:val="bullet"/>
      <w:lvlText w:val=""/>
      <w:lvlJc w:val="left"/>
      <w:pPr>
        <w:ind w:left="1814" w:hanging="226"/>
      </w:pPr>
      <w:rPr>
        <w:rFonts w:ascii="Symbol" w:hAnsi="Symbol" w:hint="default"/>
      </w:rPr>
    </w:lvl>
    <w:lvl w:ilvl="8">
      <w:start w:val="1"/>
      <w:numFmt w:val="bullet"/>
      <w:lvlText w:val=""/>
      <w:lvlJc w:val="left"/>
      <w:pPr>
        <w:ind w:left="2041" w:hanging="227"/>
      </w:pPr>
      <w:rPr>
        <w:rFonts w:ascii="Symbol" w:hAnsi="Symbol" w:hint="default"/>
      </w:rPr>
    </w:lvl>
  </w:abstractNum>
  <w:abstractNum w:abstractNumId="42" w15:restartNumberingAfterBreak="0">
    <w:nsid w:val="35A1133E"/>
    <w:multiLevelType w:val="hybridMultilevel"/>
    <w:tmpl w:val="CDFE076E"/>
    <w:lvl w:ilvl="0" w:tplc="29D892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965F05"/>
    <w:multiLevelType w:val="multilevel"/>
    <w:tmpl w:val="3C90E856"/>
    <w:styleLink w:val="NumblistBox0"/>
    <w:lvl w:ilvl="0">
      <w:start w:val="1"/>
      <w:numFmt w:val="decimal"/>
      <w:lvlText w:val="Box %1"/>
      <w:lvlJc w:val="left"/>
      <w:pPr>
        <w:tabs>
          <w:tab w:val="num" w:pos="1134"/>
        </w:tabs>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38012F95"/>
    <w:multiLevelType w:val="multilevel"/>
    <w:tmpl w:val="32E27678"/>
    <w:numStyleLink w:val="NumbListBullets"/>
  </w:abstractNum>
  <w:abstractNum w:abstractNumId="45" w15:restartNumberingAfterBreak="0">
    <w:nsid w:val="3A725D05"/>
    <w:multiLevelType w:val="hybridMultilevel"/>
    <w:tmpl w:val="9252B95C"/>
    <w:lvl w:ilvl="0" w:tplc="88583414">
      <w:start w:val="1"/>
      <w:numFmt w:val="bullet"/>
      <w:lvlText w:val="•"/>
      <w:lvlJc w:val="left"/>
      <w:pPr>
        <w:tabs>
          <w:tab w:val="num" w:pos="720"/>
        </w:tabs>
        <w:ind w:left="720" w:hanging="360"/>
      </w:pPr>
      <w:rPr>
        <w:rFonts w:ascii="Arial" w:hAnsi="Arial" w:hint="default"/>
      </w:rPr>
    </w:lvl>
    <w:lvl w:ilvl="1" w:tplc="3EE8C910" w:tentative="1">
      <w:start w:val="1"/>
      <w:numFmt w:val="bullet"/>
      <w:lvlText w:val="•"/>
      <w:lvlJc w:val="left"/>
      <w:pPr>
        <w:tabs>
          <w:tab w:val="num" w:pos="1440"/>
        </w:tabs>
        <w:ind w:left="1440" w:hanging="360"/>
      </w:pPr>
      <w:rPr>
        <w:rFonts w:ascii="Arial" w:hAnsi="Arial" w:hint="default"/>
      </w:rPr>
    </w:lvl>
    <w:lvl w:ilvl="2" w:tplc="22F80720" w:tentative="1">
      <w:start w:val="1"/>
      <w:numFmt w:val="bullet"/>
      <w:lvlText w:val="•"/>
      <w:lvlJc w:val="left"/>
      <w:pPr>
        <w:tabs>
          <w:tab w:val="num" w:pos="2160"/>
        </w:tabs>
        <w:ind w:left="2160" w:hanging="360"/>
      </w:pPr>
      <w:rPr>
        <w:rFonts w:ascii="Arial" w:hAnsi="Arial" w:hint="default"/>
      </w:rPr>
    </w:lvl>
    <w:lvl w:ilvl="3" w:tplc="95686326" w:tentative="1">
      <w:start w:val="1"/>
      <w:numFmt w:val="bullet"/>
      <w:lvlText w:val="•"/>
      <w:lvlJc w:val="left"/>
      <w:pPr>
        <w:tabs>
          <w:tab w:val="num" w:pos="2880"/>
        </w:tabs>
        <w:ind w:left="2880" w:hanging="360"/>
      </w:pPr>
      <w:rPr>
        <w:rFonts w:ascii="Arial" w:hAnsi="Arial" w:hint="default"/>
      </w:rPr>
    </w:lvl>
    <w:lvl w:ilvl="4" w:tplc="2B5CC6DC" w:tentative="1">
      <w:start w:val="1"/>
      <w:numFmt w:val="bullet"/>
      <w:lvlText w:val="•"/>
      <w:lvlJc w:val="left"/>
      <w:pPr>
        <w:tabs>
          <w:tab w:val="num" w:pos="3600"/>
        </w:tabs>
        <w:ind w:left="3600" w:hanging="360"/>
      </w:pPr>
      <w:rPr>
        <w:rFonts w:ascii="Arial" w:hAnsi="Arial" w:hint="default"/>
      </w:rPr>
    </w:lvl>
    <w:lvl w:ilvl="5" w:tplc="8E585A38" w:tentative="1">
      <w:start w:val="1"/>
      <w:numFmt w:val="bullet"/>
      <w:lvlText w:val="•"/>
      <w:lvlJc w:val="left"/>
      <w:pPr>
        <w:tabs>
          <w:tab w:val="num" w:pos="4320"/>
        </w:tabs>
        <w:ind w:left="4320" w:hanging="360"/>
      </w:pPr>
      <w:rPr>
        <w:rFonts w:ascii="Arial" w:hAnsi="Arial" w:hint="default"/>
      </w:rPr>
    </w:lvl>
    <w:lvl w:ilvl="6" w:tplc="A32A00AA" w:tentative="1">
      <w:start w:val="1"/>
      <w:numFmt w:val="bullet"/>
      <w:lvlText w:val="•"/>
      <w:lvlJc w:val="left"/>
      <w:pPr>
        <w:tabs>
          <w:tab w:val="num" w:pos="5040"/>
        </w:tabs>
        <w:ind w:left="5040" w:hanging="360"/>
      </w:pPr>
      <w:rPr>
        <w:rFonts w:ascii="Arial" w:hAnsi="Arial" w:hint="default"/>
      </w:rPr>
    </w:lvl>
    <w:lvl w:ilvl="7" w:tplc="C7E4F788" w:tentative="1">
      <w:start w:val="1"/>
      <w:numFmt w:val="bullet"/>
      <w:lvlText w:val="•"/>
      <w:lvlJc w:val="left"/>
      <w:pPr>
        <w:tabs>
          <w:tab w:val="num" w:pos="5760"/>
        </w:tabs>
        <w:ind w:left="5760" w:hanging="360"/>
      </w:pPr>
      <w:rPr>
        <w:rFonts w:ascii="Arial" w:hAnsi="Arial" w:hint="default"/>
      </w:rPr>
    </w:lvl>
    <w:lvl w:ilvl="8" w:tplc="BC06E22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BFE3B0E"/>
    <w:multiLevelType w:val="hybridMultilevel"/>
    <w:tmpl w:val="B136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FD04A6B"/>
    <w:multiLevelType w:val="hybridMultilevel"/>
    <w:tmpl w:val="838295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40314BCC"/>
    <w:multiLevelType w:val="hybridMultilevel"/>
    <w:tmpl w:val="1986B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036192E"/>
    <w:multiLevelType w:val="multilevel"/>
    <w:tmpl w:val="74D0ABE0"/>
    <w:styleLink w:val="NumblistBox"/>
    <w:lvl w:ilvl="0">
      <w:start w:val="1"/>
      <w:numFmt w:val="decimal"/>
      <w:pStyle w:val="BoxTitle"/>
      <w:lvlText w:val="Box %1"/>
      <w:lvlJc w:val="left"/>
      <w:pPr>
        <w:tabs>
          <w:tab w:val="num" w:pos="1134"/>
        </w:tabs>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42CE19F7"/>
    <w:multiLevelType w:val="multilevel"/>
    <w:tmpl w:val="622A3E62"/>
    <w:lvl w:ilvl="0">
      <w:start w:val="1"/>
      <w:numFmt w:val="bullet"/>
      <w:lvlText w:val=""/>
      <w:lvlJc w:val="left"/>
      <w:pPr>
        <w:ind w:left="227" w:hanging="227"/>
      </w:pPr>
      <w:rPr>
        <w:rFonts w:ascii="Symbol" w:hAnsi="Symbol" w:hint="default"/>
        <w:b/>
        <w:i w:val="0"/>
        <w:caps w:val="0"/>
        <w:strike w:val="0"/>
        <w:dstrike w:val="0"/>
        <w:vanish w:val="0"/>
        <w:color w:val="auto"/>
        <w:sz w:val="20"/>
        <w:u w:val="none"/>
        <w:vertAlign w:val="baseline"/>
      </w:rPr>
    </w:lvl>
    <w:lvl w:ilvl="1">
      <w:start w:val="1"/>
      <w:numFmt w:val="bullet"/>
      <w:lvlText w:val="̶"/>
      <w:lvlJc w:val="left"/>
      <w:pPr>
        <w:ind w:left="454" w:hanging="227"/>
      </w:pPr>
      <w:rPr>
        <w:rFonts w:ascii="Arial" w:hAnsi="Arial" w:hint="default"/>
        <w:b/>
        <w:i w:val="0"/>
        <w:color w:val="auto"/>
        <w:sz w:val="20"/>
      </w:rPr>
    </w:lvl>
    <w:lvl w:ilvl="2">
      <w:start w:val="1"/>
      <w:numFmt w:val="bullet"/>
      <w:lvlText w:val="̶"/>
      <w:lvlJc w:val="left"/>
      <w:pPr>
        <w:ind w:left="680" w:hanging="226"/>
      </w:pPr>
      <w:rPr>
        <w:rFonts w:ascii="Arial" w:hAnsi="Arial" w:hint="default"/>
        <w:b/>
        <w:i w:val="0"/>
        <w:sz w:val="20"/>
      </w:rPr>
    </w:lvl>
    <w:lvl w:ilvl="3">
      <w:start w:val="1"/>
      <w:numFmt w:val="bullet"/>
      <w:lvlText w:val=""/>
      <w:lvlJc w:val="left"/>
      <w:pPr>
        <w:ind w:left="1327" w:hanging="360"/>
      </w:pPr>
      <w:rPr>
        <w:rFonts w:ascii="Symbol" w:hAnsi="Symbol" w:hint="default"/>
      </w:rPr>
    </w:lvl>
    <w:lvl w:ilvl="4">
      <w:start w:val="1"/>
      <w:numFmt w:val="bullet"/>
      <w:lvlText w:val=""/>
      <w:lvlJc w:val="left"/>
      <w:pPr>
        <w:ind w:left="1687" w:hanging="360"/>
      </w:pPr>
      <w:rPr>
        <w:rFonts w:ascii="Symbol" w:hAnsi="Symbol" w:hint="default"/>
      </w:rPr>
    </w:lvl>
    <w:lvl w:ilvl="5">
      <w:start w:val="1"/>
      <w:numFmt w:val="bullet"/>
      <w:lvlText w:val=""/>
      <w:lvlJc w:val="left"/>
      <w:pPr>
        <w:ind w:left="2047" w:hanging="360"/>
      </w:pPr>
      <w:rPr>
        <w:rFonts w:ascii="Wingdings" w:hAnsi="Wingdings" w:hint="default"/>
      </w:rPr>
    </w:lvl>
    <w:lvl w:ilvl="6">
      <w:start w:val="1"/>
      <w:numFmt w:val="bullet"/>
      <w:lvlText w:val=""/>
      <w:lvlJc w:val="left"/>
      <w:pPr>
        <w:ind w:left="2407" w:hanging="360"/>
      </w:pPr>
      <w:rPr>
        <w:rFonts w:ascii="Wingdings" w:hAnsi="Wingdings" w:hint="default"/>
      </w:rPr>
    </w:lvl>
    <w:lvl w:ilvl="7">
      <w:start w:val="1"/>
      <w:numFmt w:val="bullet"/>
      <w:lvlText w:val=""/>
      <w:lvlJc w:val="left"/>
      <w:pPr>
        <w:ind w:left="2767" w:hanging="360"/>
      </w:pPr>
      <w:rPr>
        <w:rFonts w:ascii="Symbol" w:hAnsi="Symbol" w:hint="default"/>
      </w:rPr>
    </w:lvl>
    <w:lvl w:ilvl="8">
      <w:start w:val="1"/>
      <w:numFmt w:val="bullet"/>
      <w:lvlText w:val=""/>
      <w:lvlJc w:val="left"/>
      <w:pPr>
        <w:ind w:left="3127" w:hanging="360"/>
      </w:pPr>
      <w:rPr>
        <w:rFonts w:ascii="Symbol" w:hAnsi="Symbol" w:hint="default"/>
      </w:rPr>
    </w:lvl>
  </w:abstractNum>
  <w:abstractNum w:abstractNumId="51" w15:restartNumberingAfterBreak="0">
    <w:nsid w:val="43414C20"/>
    <w:multiLevelType w:val="hybridMultilevel"/>
    <w:tmpl w:val="BD7A980E"/>
    <w:lvl w:ilvl="0" w:tplc="22DA6D0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5A6040"/>
    <w:multiLevelType w:val="hybridMultilevel"/>
    <w:tmpl w:val="BA98FB42"/>
    <w:lvl w:ilvl="0" w:tplc="B51C7C6E">
      <w:start w:val="1"/>
      <w:numFmt w:val="bullet"/>
      <w:lvlText w:val=""/>
      <w:lvlJc w:val="left"/>
      <w:pPr>
        <w:ind w:left="227" w:hanging="227"/>
      </w:pPr>
      <w:rPr>
        <w:rFonts w:ascii="Symbol" w:hAnsi="Symbol" w:hint="default"/>
        <w:b/>
        <w:i w:val="0"/>
        <w:caps w:val="0"/>
        <w:strike w:val="0"/>
        <w:dstrike w:val="0"/>
        <w:vanish w:val="0"/>
        <w:color w:val="auto"/>
        <w:sz w:val="20"/>
        <w:u w:val="none"/>
        <w:vertAlign w:val="baseline"/>
      </w:rPr>
    </w:lvl>
    <w:lvl w:ilvl="1" w:tplc="137A7E24">
      <w:start w:val="1"/>
      <w:numFmt w:val="bullet"/>
      <w:lvlText w:val=""/>
      <w:lvlJc w:val="left"/>
      <w:pPr>
        <w:ind w:left="587" w:hanging="360"/>
      </w:pPr>
      <w:rPr>
        <w:rFonts w:ascii="Symbol" w:hAnsi="Symbol" w:hint="default"/>
      </w:rPr>
    </w:lvl>
    <w:lvl w:ilvl="2" w:tplc="ADE470A0">
      <w:start w:val="1"/>
      <w:numFmt w:val="bullet"/>
      <w:lvlText w:val="̶"/>
      <w:lvlJc w:val="left"/>
      <w:pPr>
        <w:ind w:left="680" w:hanging="226"/>
      </w:pPr>
      <w:rPr>
        <w:rFonts w:ascii="Arial" w:hAnsi="Arial" w:hint="default"/>
        <w:b/>
        <w:i w:val="0"/>
        <w:sz w:val="20"/>
      </w:rPr>
    </w:lvl>
    <w:lvl w:ilvl="3" w:tplc="203C28A6">
      <w:start w:val="1"/>
      <w:numFmt w:val="bullet"/>
      <w:lvlText w:val=""/>
      <w:lvlJc w:val="left"/>
      <w:pPr>
        <w:ind w:left="1327" w:hanging="360"/>
      </w:pPr>
      <w:rPr>
        <w:rFonts w:ascii="Symbol" w:hAnsi="Symbol" w:hint="default"/>
      </w:rPr>
    </w:lvl>
    <w:lvl w:ilvl="4" w:tplc="BB4E0E40">
      <w:start w:val="1"/>
      <w:numFmt w:val="bullet"/>
      <w:lvlText w:val=""/>
      <w:lvlJc w:val="left"/>
      <w:pPr>
        <w:ind w:left="1687" w:hanging="360"/>
      </w:pPr>
      <w:rPr>
        <w:rFonts w:ascii="Symbol" w:hAnsi="Symbol" w:hint="default"/>
      </w:rPr>
    </w:lvl>
    <w:lvl w:ilvl="5" w:tplc="005C312E">
      <w:start w:val="1"/>
      <w:numFmt w:val="bullet"/>
      <w:lvlText w:val=""/>
      <w:lvlJc w:val="left"/>
      <w:pPr>
        <w:ind w:left="2047" w:hanging="360"/>
      </w:pPr>
      <w:rPr>
        <w:rFonts w:ascii="Wingdings" w:hAnsi="Wingdings" w:hint="default"/>
      </w:rPr>
    </w:lvl>
    <w:lvl w:ilvl="6" w:tplc="3E20DDA4">
      <w:start w:val="1"/>
      <w:numFmt w:val="bullet"/>
      <w:lvlText w:val=""/>
      <w:lvlJc w:val="left"/>
      <w:pPr>
        <w:ind w:left="2407" w:hanging="360"/>
      </w:pPr>
      <w:rPr>
        <w:rFonts w:ascii="Wingdings" w:hAnsi="Wingdings" w:hint="default"/>
      </w:rPr>
    </w:lvl>
    <w:lvl w:ilvl="7" w:tplc="5ACA83E6">
      <w:start w:val="1"/>
      <w:numFmt w:val="bullet"/>
      <w:lvlText w:val=""/>
      <w:lvlJc w:val="left"/>
      <w:pPr>
        <w:ind w:left="2767" w:hanging="360"/>
      </w:pPr>
      <w:rPr>
        <w:rFonts w:ascii="Symbol" w:hAnsi="Symbol" w:hint="default"/>
      </w:rPr>
    </w:lvl>
    <w:lvl w:ilvl="8" w:tplc="ACCE06C0">
      <w:start w:val="1"/>
      <w:numFmt w:val="bullet"/>
      <w:lvlText w:val=""/>
      <w:lvlJc w:val="left"/>
      <w:pPr>
        <w:ind w:left="3127" w:hanging="360"/>
      </w:pPr>
      <w:rPr>
        <w:rFonts w:ascii="Symbol" w:hAnsi="Symbol" w:hint="default"/>
      </w:rPr>
    </w:lvl>
  </w:abstractNum>
  <w:abstractNum w:abstractNumId="53" w15:restartNumberingAfterBreak="0">
    <w:nsid w:val="477D5583"/>
    <w:multiLevelType w:val="hybridMultilevel"/>
    <w:tmpl w:val="8B32A0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482B523D"/>
    <w:multiLevelType w:val="hybridMultilevel"/>
    <w:tmpl w:val="6D5CC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7C3326"/>
    <w:multiLevelType w:val="hybridMultilevel"/>
    <w:tmpl w:val="B2200A2E"/>
    <w:lvl w:ilvl="0" w:tplc="04EE6E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BA535D2"/>
    <w:multiLevelType w:val="hybridMultilevel"/>
    <w:tmpl w:val="37204E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4DD1067D"/>
    <w:multiLevelType w:val="hybridMultilevel"/>
    <w:tmpl w:val="362A6C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526E15C9"/>
    <w:multiLevelType w:val="hybridMultilevel"/>
    <w:tmpl w:val="1B2CA5E4"/>
    <w:lvl w:ilvl="0" w:tplc="C51A1BCE">
      <w:start w:val="1"/>
      <w:numFmt w:val="decimal"/>
      <w:lvlText w:val="%1."/>
      <w:lvlJc w:val="left"/>
      <w:pPr>
        <w:ind w:left="1004" w:hanging="360"/>
      </w:pPr>
      <w:rPr>
        <w:sz w:val="20"/>
        <w:szCs w:val="20"/>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59" w15:restartNumberingAfterBreak="0">
    <w:nsid w:val="53FD4A72"/>
    <w:multiLevelType w:val="multilevel"/>
    <w:tmpl w:val="192C1204"/>
    <w:numStyleLink w:val="NumbListTable"/>
  </w:abstractNum>
  <w:abstractNum w:abstractNumId="60" w15:restartNumberingAfterBreak="0">
    <w:nsid w:val="543712FD"/>
    <w:multiLevelType w:val="multilevel"/>
    <w:tmpl w:val="71F651DC"/>
    <w:lvl w:ilvl="0">
      <w:start w:val="1"/>
      <w:numFmt w:val="decimal"/>
      <w:pStyle w:val="ParaNumber"/>
      <w:isLgl/>
      <w:lvlText w:val="%1."/>
      <w:lvlJc w:val="left"/>
      <w:pPr>
        <w:tabs>
          <w:tab w:val="num" w:pos="720"/>
        </w:tabs>
        <w:ind w:left="720" w:hanging="720"/>
      </w:pPr>
      <w:rPr>
        <w:rFonts w:cs="Times New Roman"/>
      </w:rPr>
    </w:lvl>
    <w:lvl w:ilvl="1">
      <w:start w:val="1"/>
      <w:numFmt w:val="decimal"/>
      <w:isLgl/>
      <w:lvlText w:val="%1.%2"/>
      <w:lvlJc w:val="left"/>
      <w:pPr>
        <w:tabs>
          <w:tab w:val="num" w:pos="720"/>
        </w:tabs>
        <w:ind w:left="720" w:hanging="720"/>
      </w:pPr>
      <w:rPr>
        <w:rFonts w:ascii="Times New Roman" w:hAnsi="Times New Roman" w:cs="Times New Roman" w:hint="default"/>
        <w:b w:val="0"/>
        <w:i w:val="0"/>
        <w:sz w:val="23"/>
      </w:rPr>
    </w:lvl>
    <w:lvl w:ilvl="2">
      <w:start w:val="1"/>
      <w:numFmt w:val="decimal"/>
      <w:lvlText w:val="%1.%2.%3"/>
      <w:lvlJc w:val="left"/>
      <w:pPr>
        <w:tabs>
          <w:tab w:val="num" w:pos="1728"/>
        </w:tabs>
        <w:ind w:left="1728" w:hanging="1728"/>
      </w:pPr>
      <w:rPr>
        <w:rFonts w:ascii="Times New Roman" w:hAnsi="Times New Roman" w:cs="Times New Roman" w:hint="default"/>
        <w:b w:val="0"/>
        <w:i w:val="0"/>
        <w:sz w:val="23"/>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1" w15:restartNumberingAfterBreak="0">
    <w:nsid w:val="54FA4F4F"/>
    <w:multiLevelType w:val="hybridMultilevel"/>
    <w:tmpl w:val="B20E4DA0"/>
    <w:lvl w:ilvl="0" w:tplc="EA4A9DC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5611CD14"/>
    <w:multiLevelType w:val="hybridMultilevel"/>
    <w:tmpl w:val="FFFFFFFF"/>
    <w:lvl w:ilvl="0" w:tplc="D3089944">
      <w:start w:val="1"/>
      <w:numFmt w:val="bullet"/>
      <w:lvlText w:val=""/>
      <w:lvlJc w:val="left"/>
      <w:pPr>
        <w:ind w:left="720" w:hanging="360"/>
      </w:pPr>
      <w:rPr>
        <w:rFonts w:ascii="Symbol" w:hAnsi="Symbol" w:hint="default"/>
      </w:rPr>
    </w:lvl>
    <w:lvl w:ilvl="1" w:tplc="6C56810C">
      <w:start w:val="1"/>
      <w:numFmt w:val="bullet"/>
      <w:lvlText w:val="o"/>
      <w:lvlJc w:val="left"/>
      <w:pPr>
        <w:ind w:left="1440" w:hanging="360"/>
      </w:pPr>
      <w:rPr>
        <w:rFonts w:ascii="Courier New" w:hAnsi="Courier New" w:hint="default"/>
      </w:rPr>
    </w:lvl>
    <w:lvl w:ilvl="2" w:tplc="07361252">
      <w:start w:val="1"/>
      <w:numFmt w:val="bullet"/>
      <w:lvlText w:val=""/>
      <w:lvlJc w:val="left"/>
      <w:pPr>
        <w:ind w:left="2160" w:hanging="360"/>
      </w:pPr>
      <w:rPr>
        <w:rFonts w:ascii="Wingdings" w:hAnsi="Wingdings" w:hint="default"/>
      </w:rPr>
    </w:lvl>
    <w:lvl w:ilvl="3" w:tplc="230CCF34">
      <w:start w:val="1"/>
      <w:numFmt w:val="bullet"/>
      <w:lvlText w:val=""/>
      <w:lvlJc w:val="left"/>
      <w:pPr>
        <w:ind w:left="2880" w:hanging="360"/>
      </w:pPr>
      <w:rPr>
        <w:rFonts w:ascii="Symbol" w:hAnsi="Symbol" w:hint="default"/>
      </w:rPr>
    </w:lvl>
    <w:lvl w:ilvl="4" w:tplc="8410E592">
      <w:start w:val="1"/>
      <w:numFmt w:val="bullet"/>
      <w:lvlText w:val="o"/>
      <w:lvlJc w:val="left"/>
      <w:pPr>
        <w:ind w:left="3600" w:hanging="360"/>
      </w:pPr>
      <w:rPr>
        <w:rFonts w:ascii="Courier New" w:hAnsi="Courier New" w:hint="default"/>
      </w:rPr>
    </w:lvl>
    <w:lvl w:ilvl="5" w:tplc="AE8CB366">
      <w:start w:val="1"/>
      <w:numFmt w:val="bullet"/>
      <w:lvlText w:val=""/>
      <w:lvlJc w:val="left"/>
      <w:pPr>
        <w:ind w:left="4320" w:hanging="360"/>
      </w:pPr>
      <w:rPr>
        <w:rFonts w:ascii="Wingdings" w:hAnsi="Wingdings" w:hint="default"/>
      </w:rPr>
    </w:lvl>
    <w:lvl w:ilvl="6" w:tplc="0672A6AE">
      <w:start w:val="1"/>
      <w:numFmt w:val="bullet"/>
      <w:lvlText w:val=""/>
      <w:lvlJc w:val="left"/>
      <w:pPr>
        <w:ind w:left="5040" w:hanging="360"/>
      </w:pPr>
      <w:rPr>
        <w:rFonts w:ascii="Symbol" w:hAnsi="Symbol" w:hint="default"/>
      </w:rPr>
    </w:lvl>
    <w:lvl w:ilvl="7" w:tplc="C9624B2C">
      <w:start w:val="1"/>
      <w:numFmt w:val="bullet"/>
      <w:lvlText w:val="o"/>
      <w:lvlJc w:val="left"/>
      <w:pPr>
        <w:ind w:left="5760" w:hanging="360"/>
      </w:pPr>
      <w:rPr>
        <w:rFonts w:ascii="Courier New" w:hAnsi="Courier New" w:hint="default"/>
      </w:rPr>
    </w:lvl>
    <w:lvl w:ilvl="8" w:tplc="5A140742">
      <w:start w:val="1"/>
      <w:numFmt w:val="bullet"/>
      <w:lvlText w:val=""/>
      <w:lvlJc w:val="left"/>
      <w:pPr>
        <w:ind w:left="6480" w:hanging="360"/>
      </w:pPr>
      <w:rPr>
        <w:rFonts w:ascii="Wingdings" w:hAnsi="Wingdings" w:hint="default"/>
      </w:rPr>
    </w:lvl>
  </w:abstractNum>
  <w:abstractNum w:abstractNumId="63" w15:restartNumberingAfterBreak="0">
    <w:nsid w:val="56373C9A"/>
    <w:multiLevelType w:val="hybridMultilevel"/>
    <w:tmpl w:val="AEA804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6E12D42"/>
    <w:multiLevelType w:val="hybridMultilevel"/>
    <w:tmpl w:val="2B72FFE4"/>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570119B7"/>
    <w:multiLevelType w:val="hybridMultilevel"/>
    <w:tmpl w:val="519C6038"/>
    <w:lvl w:ilvl="0" w:tplc="280CCC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573719C9"/>
    <w:multiLevelType w:val="hybridMultilevel"/>
    <w:tmpl w:val="519C60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579B1D27"/>
    <w:multiLevelType w:val="hybridMultilevel"/>
    <w:tmpl w:val="91C6C4A6"/>
    <w:lvl w:ilvl="0" w:tplc="08090015">
      <w:start w:val="1"/>
      <w:numFmt w:val="upperLetter"/>
      <w:lvlText w:val="%1."/>
      <w:lvlJc w:val="left"/>
      <w:pPr>
        <w:ind w:left="1004" w:hanging="360"/>
      </w:pPr>
      <w:rPr>
        <w:sz w:val="22"/>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68" w15:restartNumberingAfterBreak="0">
    <w:nsid w:val="58AA3821"/>
    <w:multiLevelType w:val="hybridMultilevel"/>
    <w:tmpl w:val="8C02B5B8"/>
    <w:lvl w:ilvl="0" w:tplc="2D9AF99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B969BB"/>
    <w:multiLevelType w:val="hybridMultilevel"/>
    <w:tmpl w:val="E87684FE"/>
    <w:lvl w:ilvl="0" w:tplc="08090001">
      <w:start w:val="1"/>
      <w:numFmt w:val="bullet"/>
      <w:lvlText w:val=""/>
      <w:lvlJc w:val="left"/>
      <w:pPr>
        <w:ind w:left="720" w:hanging="360"/>
      </w:pPr>
      <w:rPr>
        <w:rFonts w:ascii="Symbol" w:hAnsi="Symbol" w:hint="default"/>
      </w:rPr>
    </w:lvl>
    <w:lvl w:ilvl="1" w:tplc="08090003">
      <w:start w:val="1"/>
      <w:numFmt w:val="bullet"/>
      <w:pStyle w:val="QuestionTex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5AE42131"/>
    <w:multiLevelType w:val="hybridMultilevel"/>
    <w:tmpl w:val="4D4C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79197C"/>
    <w:multiLevelType w:val="hybridMultilevel"/>
    <w:tmpl w:val="839676B0"/>
    <w:lvl w:ilvl="0" w:tplc="F500B030">
      <w:start w:val="1"/>
      <w:numFmt w:val="decimal"/>
      <w:lvlText w:val="%1."/>
      <w:lvlJc w:val="left"/>
      <w:pPr>
        <w:ind w:left="587" w:hanging="360"/>
      </w:pPr>
    </w:lvl>
    <w:lvl w:ilvl="1" w:tplc="08090019">
      <w:start w:val="1"/>
      <w:numFmt w:val="lowerLetter"/>
      <w:lvlText w:val="%2."/>
      <w:lvlJc w:val="left"/>
      <w:pPr>
        <w:ind w:left="1307" w:hanging="360"/>
      </w:pPr>
    </w:lvl>
    <w:lvl w:ilvl="2" w:tplc="0809001B">
      <w:start w:val="1"/>
      <w:numFmt w:val="lowerRoman"/>
      <w:lvlText w:val="%3."/>
      <w:lvlJc w:val="right"/>
      <w:pPr>
        <w:ind w:left="2027" w:hanging="180"/>
      </w:pPr>
    </w:lvl>
    <w:lvl w:ilvl="3" w:tplc="0809000F">
      <w:start w:val="1"/>
      <w:numFmt w:val="decimal"/>
      <w:lvlText w:val="%4."/>
      <w:lvlJc w:val="left"/>
      <w:pPr>
        <w:ind w:left="2747" w:hanging="360"/>
      </w:pPr>
    </w:lvl>
    <w:lvl w:ilvl="4" w:tplc="08090019">
      <w:start w:val="1"/>
      <w:numFmt w:val="lowerLetter"/>
      <w:lvlText w:val="%5."/>
      <w:lvlJc w:val="left"/>
      <w:pPr>
        <w:ind w:left="3467" w:hanging="360"/>
      </w:pPr>
    </w:lvl>
    <w:lvl w:ilvl="5" w:tplc="0809001B">
      <w:start w:val="1"/>
      <w:numFmt w:val="lowerRoman"/>
      <w:lvlText w:val="%6."/>
      <w:lvlJc w:val="right"/>
      <w:pPr>
        <w:ind w:left="4187" w:hanging="180"/>
      </w:pPr>
    </w:lvl>
    <w:lvl w:ilvl="6" w:tplc="0809000F">
      <w:start w:val="1"/>
      <w:numFmt w:val="decimal"/>
      <w:lvlText w:val="%7."/>
      <w:lvlJc w:val="left"/>
      <w:pPr>
        <w:ind w:left="4907" w:hanging="360"/>
      </w:pPr>
    </w:lvl>
    <w:lvl w:ilvl="7" w:tplc="08090019">
      <w:start w:val="1"/>
      <w:numFmt w:val="lowerLetter"/>
      <w:lvlText w:val="%8."/>
      <w:lvlJc w:val="left"/>
      <w:pPr>
        <w:ind w:left="5627" w:hanging="360"/>
      </w:pPr>
    </w:lvl>
    <w:lvl w:ilvl="8" w:tplc="0809001B">
      <w:start w:val="1"/>
      <w:numFmt w:val="lowerRoman"/>
      <w:lvlText w:val="%9."/>
      <w:lvlJc w:val="right"/>
      <w:pPr>
        <w:ind w:left="6347" w:hanging="180"/>
      </w:pPr>
    </w:lvl>
  </w:abstractNum>
  <w:abstractNum w:abstractNumId="72" w15:restartNumberingAfterBreak="0">
    <w:nsid w:val="5FEE6D5A"/>
    <w:multiLevelType w:val="hybridMultilevel"/>
    <w:tmpl w:val="FE58F88C"/>
    <w:lvl w:ilvl="0" w:tplc="77E610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56133D"/>
    <w:multiLevelType w:val="multilevel"/>
    <w:tmpl w:val="C83A13BA"/>
    <w:styleLink w:val="NumbListMinorBullet"/>
    <w:lvl w:ilvl="0">
      <w:start w:val="1"/>
      <w:numFmt w:val="bullet"/>
      <w:lvlText w:val=""/>
      <w:lvlJc w:val="left"/>
      <w:pPr>
        <w:tabs>
          <w:tab w:val="num" w:pos="794"/>
        </w:tabs>
        <w:ind w:left="794" w:hanging="363"/>
      </w:pPr>
      <w:rPr>
        <w:rFonts w:ascii="Wingdings 2" w:hAnsi="Wingdings 2" w:hint="default"/>
        <w:color w:val="06357A"/>
        <w:sz w:val="12"/>
      </w:rPr>
    </w:lvl>
    <w:lvl w:ilvl="1">
      <w:start w:val="1"/>
      <w:numFmt w:val="bullet"/>
      <w:lvlText w:val=""/>
      <w:lvlJc w:val="left"/>
      <w:pPr>
        <w:tabs>
          <w:tab w:val="num" w:pos="1157"/>
        </w:tabs>
        <w:ind w:left="1157" w:hanging="363"/>
      </w:pPr>
      <w:rPr>
        <w:rFonts w:ascii="Wingdings 2" w:hAnsi="Wingdings 2" w:hint="default"/>
        <w:color w:val="06357A"/>
        <w:sz w:val="12"/>
      </w:rPr>
    </w:lvl>
    <w:lvl w:ilvl="2">
      <w:start w:val="1"/>
      <w:numFmt w:val="bullet"/>
      <w:lvlText w:val="̶"/>
      <w:lvlJc w:val="left"/>
      <w:pPr>
        <w:tabs>
          <w:tab w:val="num" w:pos="1520"/>
        </w:tabs>
        <w:ind w:left="1520" w:hanging="363"/>
      </w:pPr>
      <w:rPr>
        <w:rFonts w:ascii="Calibri" w:hAnsi="Calibri" w:hint="default"/>
        <w:color w:val="06357A"/>
        <w:sz w:val="12"/>
      </w:rPr>
    </w:lvl>
    <w:lvl w:ilvl="3">
      <w:start w:val="1"/>
      <w:numFmt w:val="none"/>
      <w:lvlText w:val=""/>
      <w:lvlJc w:val="left"/>
      <w:pPr>
        <w:tabs>
          <w:tab w:val="num" w:pos="1520"/>
        </w:tabs>
        <w:ind w:left="1520" w:firstLine="0"/>
      </w:pPr>
      <w:rPr>
        <w:rFonts w:hint="default"/>
      </w:rPr>
    </w:lvl>
    <w:lvl w:ilvl="4">
      <w:start w:val="1"/>
      <w:numFmt w:val="none"/>
      <w:lvlText w:val=""/>
      <w:lvlJc w:val="left"/>
      <w:pPr>
        <w:tabs>
          <w:tab w:val="num" w:pos="1520"/>
        </w:tabs>
        <w:ind w:left="1520" w:firstLine="0"/>
      </w:pPr>
      <w:rPr>
        <w:rFonts w:hint="default"/>
      </w:rPr>
    </w:lvl>
    <w:lvl w:ilvl="5">
      <w:start w:val="1"/>
      <w:numFmt w:val="none"/>
      <w:lvlText w:val=""/>
      <w:lvlJc w:val="left"/>
      <w:pPr>
        <w:tabs>
          <w:tab w:val="num" w:pos="1520"/>
        </w:tabs>
        <w:ind w:left="1520" w:firstLine="0"/>
      </w:pPr>
      <w:rPr>
        <w:rFonts w:hint="default"/>
      </w:rPr>
    </w:lvl>
    <w:lvl w:ilvl="6">
      <w:start w:val="1"/>
      <w:numFmt w:val="none"/>
      <w:lvlText w:val=""/>
      <w:lvlJc w:val="left"/>
      <w:pPr>
        <w:tabs>
          <w:tab w:val="num" w:pos="1520"/>
        </w:tabs>
        <w:ind w:left="1520" w:firstLine="0"/>
      </w:pPr>
      <w:rPr>
        <w:rFonts w:hint="default"/>
      </w:rPr>
    </w:lvl>
    <w:lvl w:ilvl="7">
      <w:start w:val="1"/>
      <w:numFmt w:val="none"/>
      <w:lvlText w:val=""/>
      <w:lvlJc w:val="left"/>
      <w:pPr>
        <w:tabs>
          <w:tab w:val="num" w:pos="1520"/>
        </w:tabs>
        <w:ind w:left="1520" w:firstLine="0"/>
      </w:pPr>
      <w:rPr>
        <w:rFonts w:hint="default"/>
      </w:rPr>
    </w:lvl>
    <w:lvl w:ilvl="8">
      <w:start w:val="1"/>
      <w:numFmt w:val="none"/>
      <w:lvlText w:val=""/>
      <w:lvlJc w:val="left"/>
      <w:pPr>
        <w:tabs>
          <w:tab w:val="num" w:pos="1520"/>
        </w:tabs>
        <w:ind w:left="1520" w:firstLine="0"/>
      </w:pPr>
      <w:rPr>
        <w:rFonts w:hint="default"/>
      </w:rPr>
    </w:lvl>
  </w:abstractNum>
  <w:abstractNum w:abstractNumId="74" w15:restartNumberingAfterBreak="0">
    <w:nsid w:val="61D334F2"/>
    <w:multiLevelType w:val="multilevel"/>
    <w:tmpl w:val="32E27678"/>
    <w:styleLink w:val="NumbListBullets"/>
    <w:lvl w:ilvl="0">
      <w:start w:val="1"/>
      <w:numFmt w:val="bullet"/>
      <w:lvlText w:val=""/>
      <w:lvlJc w:val="left"/>
      <w:pPr>
        <w:tabs>
          <w:tab w:val="num" w:pos="737"/>
        </w:tabs>
        <w:ind w:left="737" w:hanging="567"/>
      </w:pPr>
      <w:rPr>
        <w:rFonts w:ascii="Wingdings 2" w:hAnsi="Wingdings 2" w:hint="default"/>
        <w:color w:val="244890"/>
        <w:sz w:val="16"/>
      </w:rPr>
    </w:lvl>
    <w:lvl w:ilvl="1">
      <w:start w:val="1"/>
      <w:numFmt w:val="bullet"/>
      <w:lvlText w:val=""/>
      <w:lvlJc w:val="left"/>
      <w:pPr>
        <w:tabs>
          <w:tab w:val="num" w:pos="851"/>
        </w:tabs>
        <w:ind w:left="1134" w:hanging="283"/>
      </w:pPr>
      <w:rPr>
        <w:rFonts w:ascii="Wingdings 2" w:hAnsi="Wingdings 2" w:hint="default"/>
        <w:color w:val="002395"/>
        <w:sz w:val="16"/>
      </w:rPr>
    </w:lvl>
    <w:lvl w:ilvl="2">
      <w:start w:val="1"/>
      <w:numFmt w:val="bullet"/>
      <w:lvlText w:val="̶"/>
      <w:lvlJc w:val="left"/>
      <w:pPr>
        <w:tabs>
          <w:tab w:val="num" w:pos="1531"/>
        </w:tabs>
        <w:ind w:left="1531" w:hanging="284"/>
      </w:pPr>
      <w:rPr>
        <w:rFonts w:ascii="Calibri" w:hAnsi="Calibri" w:hint="default"/>
        <w:color w:val="auto"/>
        <w:sz w:val="16"/>
        <w:u w:color="244890"/>
      </w:rPr>
    </w:lvl>
    <w:lvl w:ilvl="3">
      <w:start w:val="1"/>
      <w:numFmt w:val="none"/>
      <w:lvlText w:val=""/>
      <w:lvlJc w:val="left"/>
      <w:pPr>
        <w:tabs>
          <w:tab w:val="num" w:pos="1531"/>
        </w:tabs>
        <w:ind w:left="1531" w:firstLine="0"/>
      </w:pPr>
      <w:rPr>
        <w:rFonts w:hint="default"/>
      </w:rPr>
    </w:lvl>
    <w:lvl w:ilvl="4">
      <w:start w:val="1"/>
      <w:numFmt w:val="none"/>
      <w:lvlText w:val=""/>
      <w:lvlJc w:val="left"/>
      <w:pPr>
        <w:tabs>
          <w:tab w:val="num" w:pos="1531"/>
        </w:tabs>
        <w:ind w:left="1531" w:firstLine="0"/>
      </w:pPr>
      <w:rPr>
        <w:rFonts w:hint="default"/>
      </w:rPr>
    </w:lvl>
    <w:lvl w:ilvl="5">
      <w:start w:val="1"/>
      <w:numFmt w:val="none"/>
      <w:lvlText w:val=""/>
      <w:lvlJc w:val="left"/>
      <w:pPr>
        <w:tabs>
          <w:tab w:val="num" w:pos="1531"/>
        </w:tabs>
        <w:ind w:left="1531" w:firstLine="0"/>
      </w:pPr>
      <w:rPr>
        <w:rFonts w:hint="default"/>
      </w:rPr>
    </w:lvl>
    <w:lvl w:ilvl="6">
      <w:start w:val="1"/>
      <w:numFmt w:val="none"/>
      <w:lvlText w:val=""/>
      <w:lvlJc w:val="left"/>
      <w:pPr>
        <w:tabs>
          <w:tab w:val="num" w:pos="1531"/>
        </w:tabs>
        <w:ind w:left="1531" w:firstLine="0"/>
      </w:pPr>
      <w:rPr>
        <w:rFonts w:hint="default"/>
      </w:rPr>
    </w:lvl>
    <w:lvl w:ilvl="7">
      <w:start w:val="1"/>
      <w:numFmt w:val="none"/>
      <w:lvlText w:val=""/>
      <w:lvlJc w:val="left"/>
      <w:pPr>
        <w:tabs>
          <w:tab w:val="num" w:pos="1531"/>
        </w:tabs>
        <w:ind w:left="1531" w:firstLine="0"/>
      </w:pPr>
      <w:rPr>
        <w:rFonts w:hint="default"/>
      </w:rPr>
    </w:lvl>
    <w:lvl w:ilvl="8">
      <w:start w:val="1"/>
      <w:numFmt w:val="none"/>
      <w:lvlText w:val=""/>
      <w:lvlJc w:val="left"/>
      <w:pPr>
        <w:tabs>
          <w:tab w:val="num" w:pos="1531"/>
        </w:tabs>
        <w:ind w:left="1531" w:firstLine="0"/>
      </w:pPr>
      <w:rPr>
        <w:rFonts w:hint="default"/>
      </w:rPr>
    </w:lvl>
  </w:abstractNum>
  <w:abstractNum w:abstractNumId="75" w15:restartNumberingAfterBreak="0">
    <w:nsid w:val="623F52E2"/>
    <w:multiLevelType w:val="hybridMultilevel"/>
    <w:tmpl w:val="519C60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62D9790C"/>
    <w:multiLevelType w:val="singleLevel"/>
    <w:tmpl w:val="4CC82344"/>
    <w:lvl w:ilvl="0">
      <w:start w:val="1"/>
      <w:numFmt w:val="decimal"/>
      <w:pStyle w:val="QUEST"/>
      <w:lvlText w:val="%1."/>
      <w:lvlJc w:val="left"/>
      <w:pPr>
        <w:tabs>
          <w:tab w:val="num" w:pos="360"/>
        </w:tabs>
        <w:ind w:left="360" w:hanging="360"/>
      </w:pPr>
      <w:rPr>
        <w:rFonts w:cs="Times New Roman"/>
      </w:rPr>
    </w:lvl>
  </w:abstractNum>
  <w:abstractNum w:abstractNumId="77" w15:restartNumberingAfterBreak="0">
    <w:nsid w:val="63544980"/>
    <w:multiLevelType w:val="hybridMultilevel"/>
    <w:tmpl w:val="03647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0F3B52"/>
    <w:multiLevelType w:val="hybridMultilevel"/>
    <w:tmpl w:val="4AEED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5BA50BF"/>
    <w:multiLevelType w:val="hybridMultilevel"/>
    <w:tmpl w:val="1B2CA5E4"/>
    <w:lvl w:ilvl="0" w:tplc="C51A1BCE">
      <w:start w:val="1"/>
      <w:numFmt w:val="decimal"/>
      <w:lvlText w:val="%1."/>
      <w:lvlJc w:val="left"/>
      <w:pPr>
        <w:ind w:left="1004" w:hanging="360"/>
      </w:pPr>
      <w:rPr>
        <w:sz w:val="20"/>
        <w:szCs w:val="20"/>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80" w15:restartNumberingAfterBreak="0">
    <w:nsid w:val="67296370"/>
    <w:multiLevelType w:val="hybridMultilevel"/>
    <w:tmpl w:val="3696874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76F5E84"/>
    <w:multiLevelType w:val="hybridMultilevel"/>
    <w:tmpl w:val="DB5867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14B73"/>
    <w:multiLevelType w:val="hybridMultilevel"/>
    <w:tmpl w:val="E7F8AF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0325CE"/>
    <w:multiLevelType w:val="hybridMultilevel"/>
    <w:tmpl w:val="FAB81F1A"/>
    <w:lvl w:ilvl="0" w:tplc="EA4A9DC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6B655A00"/>
    <w:multiLevelType w:val="hybridMultilevel"/>
    <w:tmpl w:val="F6AE21D8"/>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5" w15:restartNumberingAfterBreak="0">
    <w:nsid w:val="6F4D3C01"/>
    <w:multiLevelType w:val="hybridMultilevel"/>
    <w:tmpl w:val="6F8CCDAA"/>
    <w:lvl w:ilvl="0" w:tplc="9CD29AC8">
      <w:start w:val="1"/>
      <w:numFmt w:val="bullet"/>
      <w:lvlText w:val=""/>
      <w:lvlJc w:val="left"/>
      <w:pPr>
        <w:ind w:left="720" w:hanging="360"/>
      </w:pPr>
      <w:rPr>
        <w:rFonts w:ascii="Symbol" w:hAnsi="Symbol"/>
      </w:rPr>
    </w:lvl>
    <w:lvl w:ilvl="1" w:tplc="7E06544E">
      <w:start w:val="1"/>
      <w:numFmt w:val="bullet"/>
      <w:lvlText w:val=""/>
      <w:lvlJc w:val="left"/>
      <w:pPr>
        <w:ind w:left="720" w:hanging="360"/>
      </w:pPr>
      <w:rPr>
        <w:rFonts w:ascii="Symbol" w:hAnsi="Symbol"/>
      </w:rPr>
    </w:lvl>
    <w:lvl w:ilvl="2" w:tplc="ACD88AB8">
      <w:start w:val="1"/>
      <w:numFmt w:val="bullet"/>
      <w:lvlText w:val=""/>
      <w:lvlJc w:val="left"/>
      <w:pPr>
        <w:ind w:left="720" w:hanging="360"/>
      </w:pPr>
      <w:rPr>
        <w:rFonts w:ascii="Symbol" w:hAnsi="Symbol"/>
      </w:rPr>
    </w:lvl>
    <w:lvl w:ilvl="3" w:tplc="56B823D6">
      <w:start w:val="1"/>
      <w:numFmt w:val="bullet"/>
      <w:lvlText w:val=""/>
      <w:lvlJc w:val="left"/>
      <w:pPr>
        <w:ind w:left="720" w:hanging="360"/>
      </w:pPr>
      <w:rPr>
        <w:rFonts w:ascii="Symbol" w:hAnsi="Symbol"/>
      </w:rPr>
    </w:lvl>
    <w:lvl w:ilvl="4" w:tplc="53CE7CD4">
      <w:start w:val="1"/>
      <w:numFmt w:val="bullet"/>
      <w:lvlText w:val=""/>
      <w:lvlJc w:val="left"/>
      <w:pPr>
        <w:ind w:left="720" w:hanging="360"/>
      </w:pPr>
      <w:rPr>
        <w:rFonts w:ascii="Symbol" w:hAnsi="Symbol"/>
      </w:rPr>
    </w:lvl>
    <w:lvl w:ilvl="5" w:tplc="504E1AD4">
      <w:start w:val="1"/>
      <w:numFmt w:val="bullet"/>
      <w:lvlText w:val=""/>
      <w:lvlJc w:val="left"/>
      <w:pPr>
        <w:ind w:left="720" w:hanging="360"/>
      </w:pPr>
      <w:rPr>
        <w:rFonts w:ascii="Symbol" w:hAnsi="Symbol"/>
      </w:rPr>
    </w:lvl>
    <w:lvl w:ilvl="6" w:tplc="8D58CB4E">
      <w:start w:val="1"/>
      <w:numFmt w:val="bullet"/>
      <w:lvlText w:val=""/>
      <w:lvlJc w:val="left"/>
      <w:pPr>
        <w:ind w:left="720" w:hanging="360"/>
      </w:pPr>
      <w:rPr>
        <w:rFonts w:ascii="Symbol" w:hAnsi="Symbol"/>
      </w:rPr>
    </w:lvl>
    <w:lvl w:ilvl="7" w:tplc="0FD841C6">
      <w:start w:val="1"/>
      <w:numFmt w:val="bullet"/>
      <w:lvlText w:val=""/>
      <w:lvlJc w:val="left"/>
      <w:pPr>
        <w:ind w:left="720" w:hanging="360"/>
      </w:pPr>
      <w:rPr>
        <w:rFonts w:ascii="Symbol" w:hAnsi="Symbol"/>
      </w:rPr>
    </w:lvl>
    <w:lvl w:ilvl="8" w:tplc="A52E55CE">
      <w:start w:val="1"/>
      <w:numFmt w:val="bullet"/>
      <w:lvlText w:val=""/>
      <w:lvlJc w:val="left"/>
      <w:pPr>
        <w:ind w:left="720" w:hanging="360"/>
      </w:pPr>
      <w:rPr>
        <w:rFonts w:ascii="Symbol" w:hAnsi="Symbol"/>
      </w:rPr>
    </w:lvl>
  </w:abstractNum>
  <w:abstractNum w:abstractNumId="86" w15:restartNumberingAfterBreak="0">
    <w:nsid w:val="73555976"/>
    <w:multiLevelType w:val="hybridMultilevel"/>
    <w:tmpl w:val="DB58676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4885590"/>
    <w:multiLevelType w:val="multilevel"/>
    <w:tmpl w:val="192C1204"/>
    <w:styleLink w:val="NumbListTable"/>
    <w:lvl w:ilvl="0">
      <w:start w:val="1"/>
      <w:numFmt w:val="decimal"/>
      <w:pStyle w:val="TableTitle"/>
      <w:lvlText w:val="Table %1"/>
      <w:lvlJc w:val="left"/>
      <w:pPr>
        <w:tabs>
          <w:tab w:val="num" w:pos="1134"/>
        </w:tabs>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8" w15:restartNumberingAfterBreak="0">
    <w:nsid w:val="753672F6"/>
    <w:multiLevelType w:val="hybridMultilevel"/>
    <w:tmpl w:val="148A3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755D46D6"/>
    <w:multiLevelType w:val="hybridMultilevel"/>
    <w:tmpl w:val="519C60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7612647F"/>
    <w:multiLevelType w:val="multilevel"/>
    <w:tmpl w:val="5E2C38B6"/>
    <w:numStyleLink w:val="JayeshNavinShahEasterEgg"/>
  </w:abstractNum>
  <w:abstractNum w:abstractNumId="91" w15:restartNumberingAfterBreak="0">
    <w:nsid w:val="76736333"/>
    <w:multiLevelType w:val="hybridMultilevel"/>
    <w:tmpl w:val="5BCCF2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77F95F32"/>
    <w:multiLevelType w:val="hybridMultilevel"/>
    <w:tmpl w:val="91C6C4A6"/>
    <w:lvl w:ilvl="0" w:tplc="08090015">
      <w:start w:val="1"/>
      <w:numFmt w:val="upperLetter"/>
      <w:lvlText w:val="%1."/>
      <w:lvlJc w:val="left"/>
      <w:pPr>
        <w:ind w:left="1004" w:hanging="360"/>
      </w:pPr>
      <w:rPr>
        <w:sz w:val="22"/>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93" w15:restartNumberingAfterBreak="0">
    <w:nsid w:val="7C190EC7"/>
    <w:multiLevelType w:val="hybridMultilevel"/>
    <w:tmpl w:val="377608FC"/>
    <w:lvl w:ilvl="0" w:tplc="29D8928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321111"/>
    <w:multiLevelType w:val="hybridMultilevel"/>
    <w:tmpl w:val="AE22BF3C"/>
    <w:lvl w:ilvl="0" w:tplc="FC247962">
      <w:start w:val="98"/>
      <w:numFmt w:val="decimal"/>
      <w:lvlText w:val="%1."/>
      <w:lvlJc w:val="left"/>
      <w:pPr>
        <w:ind w:left="1004" w:hanging="360"/>
      </w:pPr>
      <w:rPr>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5" w15:restartNumberingAfterBreak="0">
    <w:nsid w:val="7E943952"/>
    <w:multiLevelType w:val="hybridMultilevel"/>
    <w:tmpl w:val="7A76943C"/>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385446403">
    <w:abstractNumId w:val="9"/>
  </w:num>
  <w:num w:numId="2" w16cid:durableId="12845232">
    <w:abstractNumId w:val="7"/>
  </w:num>
  <w:num w:numId="3" w16cid:durableId="1941182867">
    <w:abstractNumId w:val="6"/>
  </w:num>
  <w:num w:numId="4" w16cid:durableId="1188062158">
    <w:abstractNumId w:val="5"/>
  </w:num>
  <w:num w:numId="5" w16cid:durableId="736166534">
    <w:abstractNumId w:val="4"/>
  </w:num>
  <w:num w:numId="6" w16cid:durableId="567813573">
    <w:abstractNumId w:val="8"/>
  </w:num>
  <w:num w:numId="7" w16cid:durableId="2026709629">
    <w:abstractNumId w:val="3"/>
  </w:num>
  <w:num w:numId="8" w16cid:durableId="1755126445">
    <w:abstractNumId w:val="2"/>
  </w:num>
  <w:num w:numId="9" w16cid:durableId="1747606268">
    <w:abstractNumId w:val="1"/>
  </w:num>
  <w:num w:numId="10" w16cid:durableId="486821145">
    <w:abstractNumId w:val="0"/>
  </w:num>
  <w:num w:numId="11" w16cid:durableId="120730603">
    <w:abstractNumId w:val="30"/>
  </w:num>
  <w:num w:numId="12" w16cid:durableId="885262857">
    <w:abstractNumId w:val="52"/>
  </w:num>
  <w:num w:numId="13" w16cid:durableId="536893402">
    <w:abstractNumId w:val="41"/>
  </w:num>
  <w:num w:numId="14" w16cid:durableId="2141142246">
    <w:abstractNumId w:val="41"/>
  </w:num>
  <w:num w:numId="15" w16cid:durableId="562763998">
    <w:abstractNumId w:val="41"/>
  </w:num>
  <w:num w:numId="16" w16cid:durableId="7943257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70374266">
    <w:abstractNumId w:val="55"/>
  </w:num>
  <w:num w:numId="18" w16cid:durableId="1336375714">
    <w:abstractNumId w:val="91"/>
  </w:num>
  <w:num w:numId="19" w16cid:durableId="291136498">
    <w:abstractNumId w:val="56"/>
  </w:num>
  <w:num w:numId="20" w16cid:durableId="143932249">
    <w:abstractNumId w:val="68"/>
  </w:num>
  <w:num w:numId="21" w16cid:durableId="1486511617">
    <w:abstractNumId w:val="36"/>
  </w:num>
  <w:num w:numId="22" w16cid:durableId="1648392440">
    <w:abstractNumId w:val="4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 w16cid:durableId="6211129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0615353">
    <w:abstractNumId w:val="48"/>
  </w:num>
  <w:num w:numId="25" w16cid:durableId="1590581162">
    <w:abstractNumId w:val="12"/>
  </w:num>
  <w:num w:numId="26" w16cid:durableId="1495880668">
    <w:abstractNumId w:val="73"/>
  </w:num>
  <w:num w:numId="27" w16cid:durableId="1549104698">
    <w:abstractNumId w:val="82"/>
  </w:num>
  <w:num w:numId="28" w16cid:durableId="1829636352">
    <w:abstractNumId w:val="51"/>
  </w:num>
  <w:num w:numId="29" w16cid:durableId="101149127">
    <w:abstractNumId w:val="81"/>
  </w:num>
  <w:num w:numId="30" w16cid:durableId="1323391620">
    <w:abstractNumId w:val="86"/>
  </w:num>
  <w:num w:numId="31" w16cid:durableId="1237975040">
    <w:abstractNumId w:val="87"/>
  </w:num>
  <w:num w:numId="32" w16cid:durableId="803162929">
    <w:abstractNumId w:val="59"/>
  </w:num>
  <w:num w:numId="33" w16cid:durableId="1513642191">
    <w:abstractNumId w:val="15"/>
  </w:num>
  <w:num w:numId="34" w16cid:durableId="1310288519">
    <w:abstractNumId w:val="11"/>
  </w:num>
  <w:num w:numId="35" w16cid:durableId="2050762295">
    <w:abstractNumId w:val="18"/>
  </w:num>
  <w:num w:numId="36" w16cid:durableId="1454591808">
    <w:abstractNumId w:val="74"/>
  </w:num>
  <w:num w:numId="37" w16cid:durableId="8720173">
    <w:abstractNumId w:val="22"/>
  </w:num>
  <w:num w:numId="38" w16cid:durableId="1517378259">
    <w:abstractNumId w:val="44"/>
  </w:num>
  <w:num w:numId="39" w16cid:durableId="188687600">
    <w:abstractNumId w:val="25"/>
  </w:num>
  <w:num w:numId="40" w16cid:durableId="1224484411">
    <w:abstractNumId w:val="49"/>
  </w:num>
  <w:num w:numId="41" w16cid:durableId="1780876217">
    <w:abstractNumId w:val="19"/>
  </w:num>
  <w:num w:numId="42" w16cid:durableId="1891647631">
    <w:abstractNumId w:val="31"/>
  </w:num>
  <w:num w:numId="43" w16cid:durableId="1765107411">
    <w:abstractNumId w:val="16"/>
  </w:num>
  <w:num w:numId="44" w16cid:durableId="1925989554">
    <w:abstractNumId w:val="43"/>
  </w:num>
  <w:num w:numId="45" w16cid:durableId="496917608">
    <w:abstractNumId w:val="17"/>
  </w:num>
  <w:num w:numId="46" w16cid:durableId="1260136592">
    <w:abstractNumId w:val="23"/>
  </w:num>
  <w:num w:numId="47" w16cid:durableId="1714698339">
    <w:abstractNumId w:val="69"/>
  </w:num>
  <w:num w:numId="48" w16cid:durableId="1626302842">
    <w:abstractNumId w:val="35"/>
  </w:num>
  <w:num w:numId="49" w16cid:durableId="952397259">
    <w:abstractNumId w:val="39"/>
  </w:num>
  <w:num w:numId="50" w16cid:durableId="17844192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71406623">
    <w:abstractNumId w:val="76"/>
    <w:lvlOverride w:ilvl="0">
      <w:startOverride w:val="1"/>
    </w:lvlOverride>
  </w:num>
  <w:num w:numId="52" w16cid:durableId="21242299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547269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51278428">
    <w:abstractNumId w:val="63"/>
  </w:num>
  <w:num w:numId="55" w16cid:durableId="947197030">
    <w:abstractNumId w:val="72"/>
  </w:num>
  <w:num w:numId="56" w16cid:durableId="57747092">
    <w:abstractNumId w:val="52"/>
  </w:num>
  <w:num w:numId="57" w16cid:durableId="80419845">
    <w:abstractNumId w:val="77"/>
  </w:num>
  <w:num w:numId="58" w16cid:durableId="259997266">
    <w:abstractNumId w:val="52"/>
  </w:num>
  <w:num w:numId="59" w16cid:durableId="1752237486">
    <w:abstractNumId w:val="52"/>
  </w:num>
  <w:num w:numId="60" w16cid:durableId="170144977">
    <w:abstractNumId w:val="38"/>
  </w:num>
  <w:num w:numId="61" w16cid:durableId="1246496610">
    <w:abstractNumId w:val="52"/>
  </w:num>
  <w:num w:numId="62" w16cid:durableId="655185748">
    <w:abstractNumId w:val="80"/>
  </w:num>
  <w:num w:numId="63" w16cid:durableId="19022802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87709342">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71791171">
    <w:abstractNumId w:val="29"/>
  </w:num>
  <w:num w:numId="66" w16cid:durableId="1053583462">
    <w:abstractNumId w:val="37"/>
  </w:num>
  <w:num w:numId="67" w16cid:durableId="5935887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220494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58895086">
    <w:abstractNumId w:val="79"/>
    <w:lvlOverride w:ilvl="0">
      <w:startOverride w:val="1"/>
    </w:lvlOverride>
    <w:lvlOverride w:ilvl="1"/>
    <w:lvlOverride w:ilvl="2"/>
    <w:lvlOverride w:ilvl="3"/>
    <w:lvlOverride w:ilvl="4"/>
    <w:lvlOverride w:ilvl="5"/>
    <w:lvlOverride w:ilvl="6"/>
    <w:lvlOverride w:ilvl="7"/>
    <w:lvlOverride w:ilvl="8"/>
  </w:num>
  <w:num w:numId="70" w16cid:durableId="617444461">
    <w:abstractNumId w:val="94"/>
    <w:lvlOverride w:ilvl="0">
      <w:startOverride w:val="9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36024532">
    <w:abstractNumId w:val="92"/>
    <w:lvlOverride w:ilvl="0">
      <w:startOverride w:val="1"/>
    </w:lvlOverride>
    <w:lvlOverride w:ilvl="1"/>
    <w:lvlOverride w:ilvl="2"/>
    <w:lvlOverride w:ilvl="3"/>
    <w:lvlOverride w:ilvl="4"/>
    <w:lvlOverride w:ilvl="5"/>
    <w:lvlOverride w:ilvl="6"/>
    <w:lvlOverride w:ilvl="7"/>
    <w:lvlOverride w:ilvl="8"/>
  </w:num>
  <w:num w:numId="72" w16cid:durableId="1983848200">
    <w:abstractNumId w:val="88"/>
  </w:num>
  <w:num w:numId="73" w16cid:durableId="1287202219">
    <w:abstractNumId w:val="58"/>
    <w:lvlOverride w:ilvl="0">
      <w:startOverride w:val="1"/>
    </w:lvlOverride>
    <w:lvlOverride w:ilvl="1"/>
    <w:lvlOverride w:ilvl="2"/>
    <w:lvlOverride w:ilvl="3"/>
    <w:lvlOverride w:ilvl="4"/>
    <w:lvlOverride w:ilvl="5"/>
    <w:lvlOverride w:ilvl="6"/>
    <w:lvlOverride w:ilvl="7"/>
    <w:lvlOverride w:ilvl="8"/>
  </w:num>
  <w:num w:numId="74" w16cid:durableId="41636926">
    <w:abstractNumId w:val="14"/>
    <w:lvlOverride w:ilvl="0">
      <w:startOverride w:val="9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24737670">
    <w:abstractNumId w:val="67"/>
    <w:lvlOverride w:ilvl="0">
      <w:startOverride w:val="1"/>
    </w:lvlOverride>
    <w:lvlOverride w:ilvl="1"/>
    <w:lvlOverride w:ilvl="2"/>
    <w:lvlOverride w:ilvl="3"/>
    <w:lvlOverride w:ilvl="4"/>
    <w:lvlOverride w:ilvl="5"/>
    <w:lvlOverride w:ilvl="6"/>
    <w:lvlOverride w:ilvl="7"/>
    <w:lvlOverride w:ilvl="8"/>
  </w:num>
  <w:num w:numId="76" w16cid:durableId="1891458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374640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524935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24014010">
    <w:abstractNumId w:val="10"/>
  </w:num>
  <w:num w:numId="80" w16cid:durableId="1428501886">
    <w:abstractNumId w:val="28"/>
  </w:num>
  <w:num w:numId="81" w16cid:durableId="1584797977">
    <w:abstractNumId w:val="67"/>
  </w:num>
  <w:num w:numId="82" w16cid:durableId="324670332">
    <w:abstractNumId w:val="13"/>
  </w:num>
  <w:num w:numId="83" w16cid:durableId="951396244">
    <w:abstractNumId w:val="64"/>
  </w:num>
  <w:num w:numId="84" w16cid:durableId="20261321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200268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9100685">
    <w:abstractNumId w:val="83"/>
  </w:num>
  <w:num w:numId="87" w16cid:durableId="470244740">
    <w:abstractNumId w:val="61"/>
  </w:num>
  <w:num w:numId="88" w16cid:durableId="1001200031">
    <w:abstractNumId w:val="65"/>
  </w:num>
  <w:num w:numId="89" w16cid:durableId="788089275">
    <w:abstractNumId w:val="66"/>
  </w:num>
  <w:num w:numId="90" w16cid:durableId="1532959229">
    <w:abstractNumId w:val="46"/>
  </w:num>
  <w:num w:numId="91" w16cid:durableId="1881625180">
    <w:abstractNumId w:val="54"/>
  </w:num>
  <w:num w:numId="92" w16cid:durableId="920335695">
    <w:abstractNumId w:val="70"/>
  </w:num>
  <w:num w:numId="93" w16cid:durableId="1331300483">
    <w:abstractNumId w:val="53"/>
  </w:num>
  <w:num w:numId="94" w16cid:durableId="1736780839">
    <w:abstractNumId w:val="20"/>
  </w:num>
  <w:num w:numId="95" w16cid:durableId="1606692866">
    <w:abstractNumId w:val="62"/>
  </w:num>
  <w:num w:numId="96" w16cid:durableId="978416382">
    <w:abstractNumId w:val="26"/>
  </w:num>
  <w:num w:numId="97" w16cid:durableId="961496131">
    <w:abstractNumId w:val="50"/>
  </w:num>
  <w:num w:numId="98" w16cid:durableId="1040134399">
    <w:abstractNumId w:val="75"/>
  </w:num>
  <w:num w:numId="99" w16cid:durableId="722631276">
    <w:abstractNumId w:val="33"/>
  </w:num>
  <w:num w:numId="100" w16cid:durableId="1692415676">
    <w:abstractNumId w:val="89"/>
  </w:num>
  <w:num w:numId="101" w16cid:durableId="178930252">
    <w:abstractNumId w:val="45"/>
  </w:num>
  <w:num w:numId="102" w16cid:durableId="464393631">
    <w:abstractNumId w:val="21"/>
  </w:num>
  <w:num w:numId="103" w16cid:durableId="486560401">
    <w:abstractNumId w:val="27"/>
  </w:num>
  <w:num w:numId="104" w16cid:durableId="973019896">
    <w:abstractNumId w:val="40"/>
  </w:num>
  <w:num w:numId="105" w16cid:durableId="1586721748">
    <w:abstractNumId w:val="78"/>
  </w:num>
  <w:num w:numId="106" w16cid:durableId="812061133">
    <w:abstractNumId w:val="9"/>
  </w:num>
  <w:num w:numId="107" w16cid:durableId="166748088">
    <w:abstractNumId w:val="90"/>
  </w:num>
  <w:num w:numId="108" w16cid:durableId="14771470">
    <w:abstractNumId w:val="52"/>
  </w:num>
  <w:num w:numId="109" w16cid:durableId="441219702">
    <w:abstractNumId w:val="52"/>
  </w:num>
  <w:num w:numId="110" w16cid:durableId="1055158997">
    <w:abstractNumId w:val="52"/>
  </w:num>
  <w:num w:numId="111" w16cid:durableId="461966212">
    <w:abstractNumId w:val="52"/>
  </w:num>
  <w:num w:numId="112" w16cid:durableId="775101879">
    <w:abstractNumId w:val="42"/>
  </w:num>
  <w:num w:numId="113" w16cid:durableId="972519174">
    <w:abstractNumId w:val="93"/>
  </w:num>
  <w:num w:numId="114" w16cid:durableId="1498301064">
    <w:abstractNumId w:val="24"/>
  </w:num>
  <w:num w:numId="115" w16cid:durableId="503281625">
    <w:abstractNumId w:val="8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032"/>
    <w:rsid w:val="00000A48"/>
    <w:rsid w:val="00001B4F"/>
    <w:rsid w:val="0000278A"/>
    <w:rsid w:val="0000288C"/>
    <w:rsid w:val="000029F4"/>
    <w:rsid w:val="000035F9"/>
    <w:rsid w:val="00003930"/>
    <w:rsid w:val="00003AC5"/>
    <w:rsid w:val="000045A4"/>
    <w:rsid w:val="0000468F"/>
    <w:rsid w:val="000048D9"/>
    <w:rsid w:val="000048E7"/>
    <w:rsid w:val="000048F7"/>
    <w:rsid w:val="00006274"/>
    <w:rsid w:val="000062F1"/>
    <w:rsid w:val="000067AE"/>
    <w:rsid w:val="00007285"/>
    <w:rsid w:val="000072AC"/>
    <w:rsid w:val="000074AA"/>
    <w:rsid w:val="00007526"/>
    <w:rsid w:val="0000752C"/>
    <w:rsid w:val="00010C6A"/>
    <w:rsid w:val="00010D13"/>
    <w:rsid w:val="000110DC"/>
    <w:rsid w:val="000112B6"/>
    <w:rsid w:val="000119A3"/>
    <w:rsid w:val="00011DF1"/>
    <w:rsid w:val="00011E3E"/>
    <w:rsid w:val="000130AD"/>
    <w:rsid w:val="000130C8"/>
    <w:rsid w:val="00013371"/>
    <w:rsid w:val="000134CF"/>
    <w:rsid w:val="000134FB"/>
    <w:rsid w:val="00013687"/>
    <w:rsid w:val="00013BE1"/>
    <w:rsid w:val="000140C3"/>
    <w:rsid w:val="000140C4"/>
    <w:rsid w:val="00014561"/>
    <w:rsid w:val="00014978"/>
    <w:rsid w:val="00015D50"/>
    <w:rsid w:val="000161F9"/>
    <w:rsid w:val="00016B1D"/>
    <w:rsid w:val="00016C7D"/>
    <w:rsid w:val="00016CC7"/>
    <w:rsid w:val="00016DBE"/>
    <w:rsid w:val="00016DE0"/>
    <w:rsid w:val="00016E49"/>
    <w:rsid w:val="00017010"/>
    <w:rsid w:val="0001702D"/>
    <w:rsid w:val="000172CE"/>
    <w:rsid w:val="00017895"/>
    <w:rsid w:val="00017BA0"/>
    <w:rsid w:val="000204C7"/>
    <w:rsid w:val="00020857"/>
    <w:rsid w:val="00020A44"/>
    <w:rsid w:val="000211E2"/>
    <w:rsid w:val="00021992"/>
    <w:rsid w:val="00022D5A"/>
    <w:rsid w:val="0002314A"/>
    <w:rsid w:val="000231A0"/>
    <w:rsid w:val="000234B5"/>
    <w:rsid w:val="0002367D"/>
    <w:rsid w:val="000236A8"/>
    <w:rsid w:val="00023780"/>
    <w:rsid w:val="0002381B"/>
    <w:rsid w:val="0002395A"/>
    <w:rsid w:val="000239A0"/>
    <w:rsid w:val="00023DB8"/>
    <w:rsid w:val="00023F92"/>
    <w:rsid w:val="000244D3"/>
    <w:rsid w:val="00024657"/>
    <w:rsid w:val="000247EA"/>
    <w:rsid w:val="00024DD8"/>
    <w:rsid w:val="00024E9F"/>
    <w:rsid w:val="000250E8"/>
    <w:rsid w:val="00025156"/>
    <w:rsid w:val="0002521C"/>
    <w:rsid w:val="00025612"/>
    <w:rsid w:val="000257B1"/>
    <w:rsid w:val="00025EFE"/>
    <w:rsid w:val="00026292"/>
    <w:rsid w:val="00026559"/>
    <w:rsid w:val="00026789"/>
    <w:rsid w:val="00026B0A"/>
    <w:rsid w:val="00027AE1"/>
    <w:rsid w:val="00027B3C"/>
    <w:rsid w:val="000303A4"/>
    <w:rsid w:val="00030F14"/>
    <w:rsid w:val="00030F3E"/>
    <w:rsid w:val="00030FAA"/>
    <w:rsid w:val="000311E4"/>
    <w:rsid w:val="00031605"/>
    <w:rsid w:val="000316AD"/>
    <w:rsid w:val="000317CC"/>
    <w:rsid w:val="00031915"/>
    <w:rsid w:val="00031ACC"/>
    <w:rsid w:val="00031CE7"/>
    <w:rsid w:val="00031D31"/>
    <w:rsid w:val="000322A1"/>
    <w:rsid w:val="00032F27"/>
    <w:rsid w:val="00033A22"/>
    <w:rsid w:val="00033C99"/>
    <w:rsid w:val="0003447A"/>
    <w:rsid w:val="00034C38"/>
    <w:rsid w:val="00034F7E"/>
    <w:rsid w:val="000355DA"/>
    <w:rsid w:val="000356AB"/>
    <w:rsid w:val="000359F5"/>
    <w:rsid w:val="00035CA3"/>
    <w:rsid w:val="00035CDA"/>
    <w:rsid w:val="00035E3D"/>
    <w:rsid w:val="00035F84"/>
    <w:rsid w:val="000363E1"/>
    <w:rsid w:val="00036719"/>
    <w:rsid w:val="00037445"/>
    <w:rsid w:val="00037A4F"/>
    <w:rsid w:val="00037ABC"/>
    <w:rsid w:val="00037BA0"/>
    <w:rsid w:val="00037DFB"/>
    <w:rsid w:val="00040050"/>
    <w:rsid w:val="0004097B"/>
    <w:rsid w:val="000409DF"/>
    <w:rsid w:val="00040ABF"/>
    <w:rsid w:val="00040B1F"/>
    <w:rsid w:val="00040B3A"/>
    <w:rsid w:val="00040DC5"/>
    <w:rsid w:val="00040E9A"/>
    <w:rsid w:val="00041925"/>
    <w:rsid w:val="00042454"/>
    <w:rsid w:val="00042DD6"/>
    <w:rsid w:val="00042DFB"/>
    <w:rsid w:val="000430FE"/>
    <w:rsid w:val="00043804"/>
    <w:rsid w:val="00043B33"/>
    <w:rsid w:val="00043F53"/>
    <w:rsid w:val="00043FD6"/>
    <w:rsid w:val="0004408E"/>
    <w:rsid w:val="0004432E"/>
    <w:rsid w:val="000443E3"/>
    <w:rsid w:val="000447D5"/>
    <w:rsid w:val="00044D1F"/>
    <w:rsid w:val="0004517E"/>
    <w:rsid w:val="00045469"/>
    <w:rsid w:val="000455BD"/>
    <w:rsid w:val="000459F6"/>
    <w:rsid w:val="00045B1F"/>
    <w:rsid w:val="00045B47"/>
    <w:rsid w:val="00045C92"/>
    <w:rsid w:val="00045CE2"/>
    <w:rsid w:val="00045EC3"/>
    <w:rsid w:val="0004668E"/>
    <w:rsid w:val="00046F9E"/>
    <w:rsid w:val="000472BB"/>
    <w:rsid w:val="000473E8"/>
    <w:rsid w:val="00047824"/>
    <w:rsid w:val="00047A27"/>
    <w:rsid w:val="00047E09"/>
    <w:rsid w:val="00050102"/>
    <w:rsid w:val="000502B4"/>
    <w:rsid w:val="00050370"/>
    <w:rsid w:val="0005050A"/>
    <w:rsid w:val="00050A1B"/>
    <w:rsid w:val="00050DD0"/>
    <w:rsid w:val="000514D7"/>
    <w:rsid w:val="000516B2"/>
    <w:rsid w:val="00051ED5"/>
    <w:rsid w:val="0005238F"/>
    <w:rsid w:val="000523DA"/>
    <w:rsid w:val="00052F68"/>
    <w:rsid w:val="00053152"/>
    <w:rsid w:val="00053203"/>
    <w:rsid w:val="00053307"/>
    <w:rsid w:val="00053437"/>
    <w:rsid w:val="00053741"/>
    <w:rsid w:val="000537DE"/>
    <w:rsid w:val="00053D23"/>
    <w:rsid w:val="00053EF6"/>
    <w:rsid w:val="000543B4"/>
    <w:rsid w:val="000547E5"/>
    <w:rsid w:val="00054889"/>
    <w:rsid w:val="000548A5"/>
    <w:rsid w:val="00054F0A"/>
    <w:rsid w:val="00055530"/>
    <w:rsid w:val="0005587F"/>
    <w:rsid w:val="00055C3C"/>
    <w:rsid w:val="00055D7D"/>
    <w:rsid w:val="000560D4"/>
    <w:rsid w:val="000568B8"/>
    <w:rsid w:val="00056B51"/>
    <w:rsid w:val="00056CA1"/>
    <w:rsid w:val="00056E95"/>
    <w:rsid w:val="00056F10"/>
    <w:rsid w:val="00057036"/>
    <w:rsid w:val="0005722F"/>
    <w:rsid w:val="000573F9"/>
    <w:rsid w:val="0005752F"/>
    <w:rsid w:val="000579D9"/>
    <w:rsid w:val="00060438"/>
    <w:rsid w:val="00060746"/>
    <w:rsid w:val="0006075A"/>
    <w:rsid w:val="0006082E"/>
    <w:rsid w:val="00060C28"/>
    <w:rsid w:val="00061226"/>
    <w:rsid w:val="0006137F"/>
    <w:rsid w:val="000621B4"/>
    <w:rsid w:val="000625DB"/>
    <w:rsid w:val="0006262A"/>
    <w:rsid w:val="00062B84"/>
    <w:rsid w:val="00062F69"/>
    <w:rsid w:val="0006381A"/>
    <w:rsid w:val="00063F83"/>
    <w:rsid w:val="00064481"/>
    <w:rsid w:val="00064549"/>
    <w:rsid w:val="000655A1"/>
    <w:rsid w:val="00065754"/>
    <w:rsid w:val="0006587D"/>
    <w:rsid w:val="00065885"/>
    <w:rsid w:val="000658D1"/>
    <w:rsid w:val="000665B4"/>
    <w:rsid w:val="0006670D"/>
    <w:rsid w:val="00066986"/>
    <w:rsid w:val="00066BA7"/>
    <w:rsid w:val="000670F5"/>
    <w:rsid w:val="000671C3"/>
    <w:rsid w:val="00067433"/>
    <w:rsid w:val="00067479"/>
    <w:rsid w:val="00067753"/>
    <w:rsid w:val="00070160"/>
    <w:rsid w:val="000701C3"/>
    <w:rsid w:val="0007049D"/>
    <w:rsid w:val="000704E3"/>
    <w:rsid w:val="00070CDB"/>
    <w:rsid w:val="00070E37"/>
    <w:rsid w:val="00071219"/>
    <w:rsid w:val="0007122C"/>
    <w:rsid w:val="000714AD"/>
    <w:rsid w:val="00071575"/>
    <w:rsid w:val="00071C89"/>
    <w:rsid w:val="00071EB8"/>
    <w:rsid w:val="0007215D"/>
    <w:rsid w:val="000723F1"/>
    <w:rsid w:val="00072631"/>
    <w:rsid w:val="00073832"/>
    <w:rsid w:val="00073FEF"/>
    <w:rsid w:val="00073FFB"/>
    <w:rsid w:val="00074D16"/>
    <w:rsid w:val="0007525E"/>
    <w:rsid w:val="00075676"/>
    <w:rsid w:val="000757AA"/>
    <w:rsid w:val="00075AAE"/>
    <w:rsid w:val="00075C04"/>
    <w:rsid w:val="00075C94"/>
    <w:rsid w:val="000760E0"/>
    <w:rsid w:val="0007649C"/>
    <w:rsid w:val="00076BB4"/>
    <w:rsid w:val="00076DA8"/>
    <w:rsid w:val="00076DBC"/>
    <w:rsid w:val="00076E3C"/>
    <w:rsid w:val="00076F6D"/>
    <w:rsid w:val="00077010"/>
    <w:rsid w:val="0007710D"/>
    <w:rsid w:val="000774F2"/>
    <w:rsid w:val="0007760B"/>
    <w:rsid w:val="0007769F"/>
    <w:rsid w:val="00077955"/>
    <w:rsid w:val="000805C8"/>
    <w:rsid w:val="00080FB6"/>
    <w:rsid w:val="00081D57"/>
    <w:rsid w:val="00081E01"/>
    <w:rsid w:val="00082392"/>
    <w:rsid w:val="00082443"/>
    <w:rsid w:val="000824A5"/>
    <w:rsid w:val="0008277A"/>
    <w:rsid w:val="000827BF"/>
    <w:rsid w:val="00082F27"/>
    <w:rsid w:val="00082FB4"/>
    <w:rsid w:val="00083505"/>
    <w:rsid w:val="00083ACA"/>
    <w:rsid w:val="00083BB4"/>
    <w:rsid w:val="00083C2A"/>
    <w:rsid w:val="00083E30"/>
    <w:rsid w:val="00084AB9"/>
    <w:rsid w:val="0008527A"/>
    <w:rsid w:val="000855F1"/>
    <w:rsid w:val="000857E4"/>
    <w:rsid w:val="00085895"/>
    <w:rsid w:val="00085B3D"/>
    <w:rsid w:val="0008638A"/>
    <w:rsid w:val="000869B5"/>
    <w:rsid w:val="000869FA"/>
    <w:rsid w:val="000872C8"/>
    <w:rsid w:val="000875DA"/>
    <w:rsid w:val="00087B46"/>
    <w:rsid w:val="000900DD"/>
    <w:rsid w:val="00090368"/>
    <w:rsid w:val="0009094A"/>
    <w:rsid w:val="00090A15"/>
    <w:rsid w:val="00090FB9"/>
    <w:rsid w:val="0009144B"/>
    <w:rsid w:val="00091835"/>
    <w:rsid w:val="00091A2E"/>
    <w:rsid w:val="00091E75"/>
    <w:rsid w:val="00091EF7"/>
    <w:rsid w:val="00092752"/>
    <w:rsid w:val="0009314C"/>
    <w:rsid w:val="000932B0"/>
    <w:rsid w:val="00093860"/>
    <w:rsid w:val="00093D9D"/>
    <w:rsid w:val="00093EFF"/>
    <w:rsid w:val="0009434B"/>
    <w:rsid w:val="000943FF"/>
    <w:rsid w:val="00094B91"/>
    <w:rsid w:val="00094CB3"/>
    <w:rsid w:val="00095123"/>
    <w:rsid w:val="00095351"/>
    <w:rsid w:val="00095DE3"/>
    <w:rsid w:val="00096605"/>
    <w:rsid w:val="000967A4"/>
    <w:rsid w:val="000968E4"/>
    <w:rsid w:val="0009793A"/>
    <w:rsid w:val="00097C88"/>
    <w:rsid w:val="000A009C"/>
    <w:rsid w:val="000A0210"/>
    <w:rsid w:val="000A0B8B"/>
    <w:rsid w:val="000A0BB6"/>
    <w:rsid w:val="000A0C43"/>
    <w:rsid w:val="000A0C9B"/>
    <w:rsid w:val="000A1009"/>
    <w:rsid w:val="000A1A2D"/>
    <w:rsid w:val="000A1A8C"/>
    <w:rsid w:val="000A1BA5"/>
    <w:rsid w:val="000A2092"/>
    <w:rsid w:val="000A2234"/>
    <w:rsid w:val="000A23C4"/>
    <w:rsid w:val="000A244F"/>
    <w:rsid w:val="000A261E"/>
    <w:rsid w:val="000A2762"/>
    <w:rsid w:val="000A2998"/>
    <w:rsid w:val="000A2E71"/>
    <w:rsid w:val="000A2FE3"/>
    <w:rsid w:val="000A3A33"/>
    <w:rsid w:val="000A40C3"/>
    <w:rsid w:val="000A48F0"/>
    <w:rsid w:val="000A4C78"/>
    <w:rsid w:val="000A4E04"/>
    <w:rsid w:val="000A51B3"/>
    <w:rsid w:val="000A5863"/>
    <w:rsid w:val="000A5A0E"/>
    <w:rsid w:val="000A5B33"/>
    <w:rsid w:val="000A5BA6"/>
    <w:rsid w:val="000A5F76"/>
    <w:rsid w:val="000A6265"/>
    <w:rsid w:val="000A62B1"/>
    <w:rsid w:val="000A6436"/>
    <w:rsid w:val="000A6907"/>
    <w:rsid w:val="000A75E8"/>
    <w:rsid w:val="000A760D"/>
    <w:rsid w:val="000A7836"/>
    <w:rsid w:val="000B02E8"/>
    <w:rsid w:val="000B0519"/>
    <w:rsid w:val="000B0825"/>
    <w:rsid w:val="000B1B91"/>
    <w:rsid w:val="000B2844"/>
    <w:rsid w:val="000B2A31"/>
    <w:rsid w:val="000B2A3D"/>
    <w:rsid w:val="000B2D8A"/>
    <w:rsid w:val="000B2EA7"/>
    <w:rsid w:val="000B365C"/>
    <w:rsid w:val="000B3685"/>
    <w:rsid w:val="000B36DD"/>
    <w:rsid w:val="000B3E51"/>
    <w:rsid w:val="000B3E98"/>
    <w:rsid w:val="000B3EA0"/>
    <w:rsid w:val="000B43B3"/>
    <w:rsid w:val="000B47D4"/>
    <w:rsid w:val="000B49A7"/>
    <w:rsid w:val="000B4DA9"/>
    <w:rsid w:val="000B5755"/>
    <w:rsid w:val="000B58CF"/>
    <w:rsid w:val="000B59B5"/>
    <w:rsid w:val="000B59C1"/>
    <w:rsid w:val="000B5C8F"/>
    <w:rsid w:val="000B5E71"/>
    <w:rsid w:val="000B5EA9"/>
    <w:rsid w:val="000B61AD"/>
    <w:rsid w:val="000B6668"/>
    <w:rsid w:val="000B6A18"/>
    <w:rsid w:val="000B6D29"/>
    <w:rsid w:val="000B7270"/>
    <w:rsid w:val="000B73EB"/>
    <w:rsid w:val="000B7428"/>
    <w:rsid w:val="000B755B"/>
    <w:rsid w:val="000B7799"/>
    <w:rsid w:val="000B78FA"/>
    <w:rsid w:val="000B7A6F"/>
    <w:rsid w:val="000B7D6C"/>
    <w:rsid w:val="000C0047"/>
    <w:rsid w:val="000C0281"/>
    <w:rsid w:val="000C032C"/>
    <w:rsid w:val="000C0A46"/>
    <w:rsid w:val="000C13AF"/>
    <w:rsid w:val="000C1795"/>
    <w:rsid w:val="000C192E"/>
    <w:rsid w:val="000C1E9D"/>
    <w:rsid w:val="000C20E9"/>
    <w:rsid w:val="000C2391"/>
    <w:rsid w:val="000C3067"/>
    <w:rsid w:val="000C3346"/>
    <w:rsid w:val="000C34B4"/>
    <w:rsid w:val="000C3688"/>
    <w:rsid w:val="000C389E"/>
    <w:rsid w:val="000C3BED"/>
    <w:rsid w:val="000C3DB2"/>
    <w:rsid w:val="000C421C"/>
    <w:rsid w:val="000C43B6"/>
    <w:rsid w:val="000C45E8"/>
    <w:rsid w:val="000C45FB"/>
    <w:rsid w:val="000C47F6"/>
    <w:rsid w:val="000C4853"/>
    <w:rsid w:val="000C4F3F"/>
    <w:rsid w:val="000C4F74"/>
    <w:rsid w:val="000C5151"/>
    <w:rsid w:val="000C5346"/>
    <w:rsid w:val="000C588A"/>
    <w:rsid w:val="000C5B8B"/>
    <w:rsid w:val="000C5DBF"/>
    <w:rsid w:val="000C6581"/>
    <w:rsid w:val="000C6600"/>
    <w:rsid w:val="000C6944"/>
    <w:rsid w:val="000C6E56"/>
    <w:rsid w:val="000C6FA4"/>
    <w:rsid w:val="000C70ED"/>
    <w:rsid w:val="000C77DF"/>
    <w:rsid w:val="000C7A03"/>
    <w:rsid w:val="000C7BA0"/>
    <w:rsid w:val="000C7DD6"/>
    <w:rsid w:val="000C7EC6"/>
    <w:rsid w:val="000D0D9D"/>
    <w:rsid w:val="000D0E5F"/>
    <w:rsid w:val="000D1156"/>
    <w:rsid w:val="000D15AB"/>
    <w:rsid w:val="000D1643"/>
    <w:rsid w:val="000D1775"/>
    <w:rsid w:val="000D1BE7"/>
    <w:rsid w:val="000D1D3F"/>
    <w:rsid w:val="000D2740"/>
    <w:rsid w:val="000D2DF1"/>
    <w:rsid w:val="000D2EDC"/>
    <w:rsid w:val="000D2F3D"/>
    <w:rsid w:val="000D2FB9"/>
    <w:rsid w:val="000D307B"/>
    <w:rsid w:val="000D3154"/>
    <w:rsid w:val="000D36C2"/>
    <w:rsid w:val="000D4DA2"/>
    <w:rsid w:val="000D4DD3"/>
    <w:rsid w:val="000D4F21"/>
    <w:rsid w:val="000D53AF"/>
    <w:rsid w:val="000D59EA"/>
    <w:rsid w:val="000D5A47"/>
    <w:rsid w:val="000D5D70"/>
    <w:rsid w:val="000D63AA"/>
    <w:rsid w:val="000D66D4"/>
    <w:rsid w:val="000D6D19"/>
    <w:rsid w:val="000D7806"/>
    <w:rsid w:val="000D7A5C"/>
    <w:rsid w:val="000D7B24"/>
    <w:rsid w:val="000E00B4"/>
    <w:rsid w:val="000E0811"/>
    <w:rsid w:val="000E0C09"/>
    <w:rsid w:val="000E1256"/>
    <w:rsid w:val="000E150D"/>
    <w:rsid w:val="000E19EE"/>
    <w:rsid w:val="000E1D91"/>
    <w:rsid w:val="000E2139"/>
    <w:rsid w:val="000E214F"/>
    <w:rsid w:val="000E21A3"/>
    <w:rsid w:val="000E2527"/>
    <w:rsid w:val="000E2809"/>
    <w:rsid w:val="000E3375"/>
    <w:rsid w:val="000E3445"/>
    <w:rsid w:val="000E3DBC"/>
    <w:rsid w:val="000E434B"/>
    <w:rsid w:val="000E4826"/>
    <w:rsid w:val="000E483E"/>
    <w:rsid w:val="000E4BD8"/>
    <w:rsid w:val="000E4FE7"/>
    <w:rsid w:val="000E5313"/>
    <w:rsid w:val="000E5343"/>
    <w:rsid w:val="000E5352"/>
    <w:rsid w:val="000E5386"/>
    <w:rsid w:val="000E5458"/>
    <w:rsid w:val="000E556A"/>
    <w:rsid w:val="000E57C9"/>
    <w:rsid w:val="000E6165"/>
    <w:rsid w:val="000E69DC"/>
    <w:rsid w:val="000E6AC0"/>
    <w:rsid w:val="000E6DEF"/>
    <w:rsid w:val="000E74B9"/>
    <w:rsid w:val="000E7E12"/>
    <w:rsid w:val="000F0757"/>
    <w:rsid w:val="000F076E"/>
    <w:rsid w:val="000F0CD0"/>
    <w:rsid w:val="000F13C9"/>
    <w:rsid w:val="000F1908"/>
    <w:rsid w:val="000F1D93"/>
    <w:rsid w:val="000F245F"/>
    <w:rsid w:val="000F24F5"/>
    <w:rsid w:val="000F2646"/>
    <w:rsid w:val="000F2C3F"/>
    <w:rsid w:val="000F2D88"/>
    <w:rsid w:val="000F2D8B"/>
    <w:rsid w:val="000F2DAC"/>
    <w:rsid w:val="000F2E50"/>
    <w:rsid w:val="000F2E9C"/>
    <w:rsid w:val="000F2FA3"/>
    <w:rsid w:val="000F32E5"/>
    <w:rsid w:val="000F3369"/>
    <w:rsid w:val="000F3ED0"/>
    <w:rsid w:val="000F3F86"/>
    <w:rsid w:val="000F4313"/>
    <w:rsid w:val="000F45EE"/>
    <w:rsid w:val="000F47E4"/>
    <w:rsid w:val="000F48BE"/>
    <w:rsid w:val="000F5178"/>
    <w:rsid w:val="000F53CC"/>
    <w:rsid w:val="000F59B7"/>
    <w:rsid w:val="000F631F"/>
    <w:rsid w:val="000F6395"/>
    <w:rsid w:val="000F6612"/>
    <w:rsid w:val="000F6A8A"/>
    <w:rsid w:val="000F6D68"/>
    <w:rsid w:val="000F6E82"/>
    <w:rsid w:val="000F6F15"/>
    <w:rsid w:val="000F71FE"/>
    <w:rsid w:val="000F7386"/>
    <w:rsid w:val="000F7E57"/>
    <w:rsid w:val="00100612"/>
    <w:rsid w:val="0010079B"/>
    <w:rsid w:val="00100B21"/>
    <w:rsid w:val="001014CE"/>
    <w:rsid w:val="001017B4"/>
    <w:rsid w:val="00101A42"/>
    <w:rsid w:val="00101B4F"/>
    <w:rsid w:val="00101D9D"/>
    <w:rsid w:val="00101DE2"/>
    <w:rsid w:val="001028C3"/>
    <w:rsid w:val="001030F8"/>
    <w:rsid w:val="001037E8"/>
    <w:rsid w:val="00103E9A"/>
    <w:rsid w:val="0010435E"/>
    <w:rsid w:val="00104640"/>
    <w:rsid w:val="001047EE"/>
    <w:rsid w:val="001049E2"/>
    <w:rsid w:val="00104BDF"/>
    <w:rsid w:val="00104CA1"/>
    <w:rsid w:val="00105B18"/>
    <w:rsid w:val="001068A7"/>
    <w:rsid w:val="00106952"/>
    <w:rsid w:val="00106A52"/>
    <w:rsid w:val="00106E68"/>
    <w:rsid w:val="0010715B"/>
    <w:rsid w:val="00107217"/>
    <w:rsid w:val="001074D6"/>
    <w:rsid w:val="001076F5"/>
    <w:rsid w:val="001104CB"/>
    <w:rsid w:val="0011077D"/>
    <w:rsid w:val="00110A05"/>
    <w:rsid w:val="00111473"/>
    <w:rsid w:val="001115BC"/>
    <w:rsid w:val="001116EA"/>
    <w:rsid w:val="00111857"/>
    <w:rsid w:val="00111B35"/>
    <w:rsid w:val="00111DB4"/>
    <w:rsid w:val="00111F4A"/>
    <w:rsid w:val="00112A78"/>
    <w:rsid w:val="00112B51"/>
    <w:rsid w:val="00112F05"/>
    <w:rsid w:val="00113135"/>
    <w:rsid w:val="001132D9"/>
    <w:rsid w:val="001133A2"/>
    <w:rsid w:val="0011375E"/>
    <w:rsid w:val="00113901"/>
    <w:rsid w:val="001143DA"/>
    <w:rsid w:val="001146DB"/>
    <w:rsid w:val="00114CEF"/>
    <w:rsid w:val="00114F3E"/>
    <w:rsid w:val="00115312"/>
    <w:rsid w:val="001156FE"/>
    <w:rsid w:val="00115B01"/>
    <w:rsid w:val="00115FCE"/>
    <w:rsid w:val="00116261"/>
    <w:rsid w:val="001164A4"/>
    <w:rsid w:val="00116BFC"/>
    <w:rsid w:val="00116F0A"/>
    <w:rsid w:val="001176CB"/>
    <w:rsid w:val="00117954"/>
    <w:rsid w:val="00117BD4"/>
    <w:rsid w:val="001203CE"/>
    <w:rsid w:val="001209E7"/>
    <w:rsid w:val="00120B3B"/>
    <w:rsid w:val="0012170E"/>
    <w:rsid w:val="00121867"/>
    <w:rsid w:val="001218BE"/>
    <w:rsid w:val="00121B21"/>
    <w:rsid w:val="00121EB0"/>
    <w:rsid w:val="00122B3D"/>
    <w:rsid w:val="00123239"/>
    <w:rsid w:val="001235B6"/>
    <w:rsid w:val="001237C2"/>
    <w:rsid w:val="001237C7"/>
    <w:rsid w:val="001241B6"/>
    <w:rsid w:val="001244D6"/>
    <w:rsid w:val="00124C56"/>
    <w:rsid w:val="00124F37"/>
    <w:rsid w:val="00124FBA"/>
    <w:rsid w:val="001250B9"/>
    <w:rsid w:val="001258D5"/>
    <w:rsid w:val="001259F2"/>
    <w:rsid w:val="00125AEB"/>
    <w:rsid w:val="00125C6B"/>
    <w:rsid w:val="00125CA4"/>
    <w:rsid w:val="00125CA9"/>
    <w:rsid w:val="00126455"/>
    <w:rsid w:val="00126461"/>
    <w:rsid w:val="001269C6"/>
    <w:rsid w:val="00126AE6"/>
    <w:rsid w:val="001277C1"/>
    <w:rsid w:val="00127E39"/>
    <w:rsid w:val="00127F08"/>
    <w:rsid w:val="001302D8"/>
    <w:rsid w:val="0013063F"/>
    <w:rsid w:val="00132616"/>
    <w:rsid w:val="0013278B"/>
    <w:rsid w:val="001329E2"/>
    <w:rsid w:val="00132AD1"/>
    <w:rsid w:val="001333B2"/>
    <w:rsid w:val="00133A12"/>
    <w:rsid w:val="00133B42"/>
    <w:rsid w:val="00133D46"/>
    <w:rsid w:val="00133D68"/>
    <w:rsid w:val="00133E2A"/>
    <w:rsid w:val="001347C4"/>
    <w:rsid w:val="00135323"/>
    <w:rsid w:val="0013593F"/>
    <w:rsid w:val="00135F04"/>
    <w:rsid w:val="00135F41"/>
    <w:rsid w:val="0013600C"/>
    <w:rsid w:val="00136611"/>
    <w:rsid w:val="00136B07"/>
    <w:rsid w:val="00136F05"/>
    <w:rsid w:val="00136F15"/>
    <w:rsid w:val="00136F94"/>
    <w:rsid w:val="00137064"/>
    <w:rsid w:val="00137F85"/>
    <w:rsid w:val="0014028C"/>
    <w:rsid w:val="00140FC3"/>
    <w:rsid w:val="0014188F"/>
    <w:rsid w:val="00141C02"/>
    <w:rsid w:val="00142226"/>
    <w:rsid w:val="00142AB8"/>
    <w:rsid w:val="00142D2B"/>
    <w:rsid w:val="00142DA7"/>
    <w:rsid w:val="00142EBE"/>
    <w:rsid w:val="00142F2E"/>
    <w:rsid w:val="00143121"/>
    <w:rsid w:val="001434B0"/>
    <w:rsid w:val="0014370C"/>
    <w:rsid w:val="0014375A"/>
    <w:rsid w:val="00143A86"/>
    <w:rsid w:val="00143E8E"/>
    <w:rsid w:val="001440B0"/>
    <w:rsid w:val="001444F0"/>
    <w:rsid w:val="001447BC"/>
    <w:rsid w:val="00144F7B"/>
    <w:rsid w:val="00145204"/>
    <w:rsid w:val="00145845"/>
    <w:rsid w:val="001459C9"/>
    <w:rsid w:val="0014641B"/>
    <w:rsid w:val="0014645F"/>
    <w:rsid w:val="00146855"/>
    <w:rsid w:val="001468C2"/>
    <w:rsid w:val="00146AC6"/>
    <w:rsid w:val="00146CF4"/>
    <w:rsid w:val="00146D08"/>
    <w:rsid w:val="00147A8E"/>
    <w:rsid w:val="00147C5D"/>
    <w:rsid w:val="00147E4A"/>
    <w:rsid w:val="00147FE0"/>
    <w:rsid w:val="00150561"/>
    <w:rsid w:val="00150947"/>
    <w:rsid w:val="00150FF0"/>
    <w:rsid w:val="00151685"/>
    <w:rsid w:val="001518FD"/>
    <w:rsid w:val="00152E35"/>
    <w:rsid w:val="00152E57"/>
    <w:rsid w:val="00153678"/>
    <w:rsid w:val="00153ACC"/>
    <w:rsid w:val="00153FD6"/>
    <w:rsid w:val="0015429A"/>
    <w:rsid w:val="001548E8"/>
    <w:rsid w:val="00154B67"/>
    <w:rsid w:val="00155787"/>
    <w:rsid w:val="0015582C"/>
    <w:rsid w:val="00155BE2"/>
    <w:rsid w:val="00155DED"/>
    <w:rsid w:val="00156865"/>
    <w:rsid w:val="001568F4"/>
    <w:rsid w:val="001569D6"/>
    <w:rsid w:val="00156C96"/>
    <w:rsid w:val="001576AC"/>
    <w:rsid w:val="00157905"/>
    <w:rsid w:val="00157984"/>
    <w:rsid w:val="00157ACD"/>
    <w:rsid w:val="00157B60"/>
    <w:rsid w:val="00157DBB"/>
    <w:rsid w:val="00157E9D"/>
    <w:rsid w:val="00157EB6"/>
    <w:rsid w:val="00160090"/>
    <w:rsid w:val="001604F3"/>
    <w:rsid w:val="00160AC7"/>
    <w:rsid w:val="00160B94"/>
    <w:rsid w:val="00161801"/>
    <w:rsid w:val="00161859"/>
    <w:rsid w:val="00161B35"/>
    <w:rsid w:val="00161EC7"/>
    <w:rsid w:val="001620D3"/>
    <w:rsid w:val="001629D3"/>
    <w:rsid w:val="00162AC7"/>
    <w:rsid w:val="00163421"/>
    <w:rsid w:val="00163A48"/>
    <w:rsid w:val="00163B45"/>
    <w:rsid w:val="00163E55"/>
    <w:rsid w:val="00163ED9"/>
    <w:rsid w:val="00164596"/>
    <w:rsid w:val="00164614"/>
    <w:rsid w:val="00164A92"/>
    <w:rsid w:val="0016527A"/>
    <w:rsid w:val="001659F4"/>
    <w:rsid w:val="00165EC6"/>
    <w:rsid w:val="00166159"/>
    <w:rsid w:val="001666FF"/>
    <w:rsid w:val="001671A0"/>
    <w:rsid w:val="00167343"/>
    <w:rsid w:val="00167811"/>
    <w:rsid w:val="00167C42"/>
    <w:rsid w:val="00167D3C"/>
    <w:rsid w:val="00167D72"/>
    <w:rsid w:val="001701BD"/>
    <w:rsid w:val="001702EA"/>
    <w:rsid w:val="0017053E"/>
    <w:rsid w:val="00170588"/>
    <w:rsid w:val="0017084F"/>
    <w:rsid w:val="00170E33"/>
    <w:rsid w:val="00170F54"/>
    <w:rsid w:val="00170FAA"/>
    <w:rsid w:val="0017147E"/>
    <w:rsid w:val="001714B3"/>
    <w:rsid w:val="00171536"/>
    <w:rsid w:val="00171AB4"/>
    <w:rsid w:val="00171E1B"/>
    <w:rsid w:val="0017241C"/>
    <w:rsid w:val="00172674"/>
    <w:rsid w:val="00173D55"/>
    <w:rsid w:val="00174252"/>
    <w:rsid w:val="00174512"/>
    <w:rsid w:val="00174521"/>
    <w:rsid w:val="0017480A"/>
    <w:rsid w:val="00174A04"/>
    <w:rsid w:val="00174B21"/>
    <w:rsid w:val="00174BB3"/>
    <w:rsid w:val="00175010"/>
    <w:rsid w:val="0017519D"/>
    <w:rsid w:val="0017578F"/>
    <w:rsid w:val="00175A27"/>
    <w:rsid w:val="00175B21"/>
    <w:rsid w:val="0017628E"/>
    <w:rsid w:val="0017634C"/>
    <w:rsid w:val="00176547"/>
    <w:rsid w:val="0017663E"/>
    <w:rsid w:val="001767C7"/>
    <w:rsid w:val="001768DC"/>
    <w:rsid w:val="0017695C"/>
    <w:rsid w:val="00176BE3"/>
    <w:rsid w:val="00176C0F"/>
    <w:rsid w:val="00176EA1"/>
    <w:rsid w:val="00177155"/>
    <w:rsid w:val="00180565"/>
    <w:rsid w:val="001809B4"/>
    <w:rsid w:val="00181D0D"/>
    <w:rsid w:val="00181E0E"/>
    <w:rsid w:val="00181EE7"/>
    <w:rsid w:val="001820BB"/>
    <w:rsid w:val="00183388"/>
    <w:rsid w:val="0018369C"/>
    <w:rsid w:val="00183789"/>
    <w:rsid w:val="00183C18"/>
    <w:rsid w:val="0018407E"/>
    <w:rsid w:val="00184D97"/>
    <w:rsid w:val="00184D9A"/>
    <w:rsid w:val="00184E85"/>
    <w:rsid w:val="00185E44"/>
    <w:rsid w:val="0018709D"/>
    <w:rsid w:val="001871E0"/>
    <w:rsid w:val="00187576"/>
    <w:rsid w:val="0018760D"/>
    <w:rsid w:val="00187632"/>
    <w:rsid w:val="00187B1B"/>
    <w:rsid w:val="00187D4F"/>
    <w:rsid w:val="001903B2"/>
    <w:rsid w:val="001906B3"/>
    <w:rsid w:val="0019092B"/>
    <w:rsid w:val="001910D6"/>
    <w:rsid w:val="00191345"/>
    <w:rsid w:val="00191B47"/>
    <w:rsid w:val="00191B78"/>
    <w:rsid w:val="00191EC5"/>
    <w:rsid w:val="00192E75"/>
    <w:rsid w:val="001938E8"/>
    <w:rsid w:val="00193AF8"/>
    <w:rsid w:val="00194695"/>
    <w:rsid w:val="001948E0"/>
    <w:rsid w:val="00194F07"/>
    <w:rsid w:val="00195225"/>
    <w:rsid w:val="00195B5B"/>
    <w:rsid w:val="00195C4D"/>
    <w:rsid w:val="00196C58"/>
    <w:rsid w:val="00197335"/>
    <w:rsid w:val="00197361"/>
    <w:rsid w:val="00197920"/>
    <w:rsid w:val="00197924"/>
    <w:rsid w:val="00197BF0"/>
    <w:rsid w:val="00197C24"/>
    <w:rsid w:val="00197D4B"/>
    <w:rsid w:val="001A0191"/>
    <w:rsid w:val="001A08A8"/>
    <w:rsid w:val="001A0905"/>
    <w:rsid w:val="001A091C"/>
    <w:rsid w:val="001A0A95"/>
    <w:rsid w:val="001A0F1B"/>
    <w:rsid w:val="001A1147"/>
    <w:rsid w:val="001A11D4"/>
    <w:rsid w:val="001A18A9"/>
    <w:rsid w:val="001A29DF"/>
    <w:rsid w:val="001A30A2"/>
    <w:rsid w:val="001A30FE"/>
    <w:rsid w:val="001A3107"/>
    <w:rsid w:val="001A3491"/>
    <w:rsid w:val="001A4082"/>
    <w:rsid w:val="001A4DF3"/>
    <w:rsid w:val="001A4E16"/>
    <w:rsid w:val="001A4E79"/>
    <w:rsid w:val="001A4FE2"/>
    <w:rsid w:val="001A51A7"/>
    <w:rsid w:val="001A5A74"/>
    <w:rsid w:val="001A5D9B"/>
    <w:rsid w:val="001A6355"/>
    <w:rsid w:val="001A68A2"/>
    <w:rsid w:val="001A6F09"/>
    <w:rsid w:val="001A761A"/>
    <w:rsid w:val="001A7945"/>
    <w:rsid w:val="001A7D33"/>
    <w:rsid w:val="001B047F"/>
    <w:rsid w:val="001B0AE0"/>
    <w:rsid w:val="001B1617"/>
    <w:rsid w:val="001B168A"/>
    <w:rsid w:val="001B2178"/>
    <w:rsid w:val="001B2465"/>
    <w:rsid w:val="001B251B"/>
    <w:rsid w:val="001B2963"/>
    <w:rsid w:val="001B3942"/>
    <w:rsid w:val="001B3ABB"/>
    <w:rsid w:val="001B3B74"/>
    <w:rsid w:val="001B3E32"/>
    <w:rsid w:val="001B4175"/>
    <w:rsid w:val="001B42D3"/>
    <w:rsid w:val="001B4476"/>
    <w:rsid w:val="001B50C6"/>
    <w:rsid w:val="001B585B"/>
    <w:rsid w:val="001B5F0F"/>
    <w:rsid w:val="001B5F7F"/>
    <w:rsid w:val="001B68EF"/>
    <w:rsid w:val="001B6E4D"/>
    <w:rsid w:val="001B7048"/>
    <w:rsid w:val="001B711B"/>
    <w:rsid w:val="001B7B80"/>
    <w:rsid w:val="001B7E03"/>
    <w:rsid w:val="001C0172"/>
    <w:rsid w:val="001C0782"/>
    <w:rsid w:val="001C07A8"/>
    <w:rsid w:val="001C0D8B"/>
    <w:rsid w:val="001C1296"/>
    <w:rsid w:val="001C1B3A"/>
    <w:rsid w:val="001C201C"/>
    <w:rsid w:val="001C26BD"/>
    <w:rsid w:val="001C295D"/>
    <w:rsid w:val="001C2981"/>
    <w:rsid w:val="001C29B5"/>
    <w:rsid w:val="001C2A90"/>
    <w:rsid w:val="001C3309"/>
    <w:rsid w:val="001C3578"/>
    <w:rsid w:val="001C380D"/>
    <w:rsid w:val="001C4060"/>
    <w:rsid w:val="001C4138"/>
    <w:rsid w:val="001C4B2B"/>
    <w:rsid w:val="001C5C1A"/>
    <w:rsid w:val="001C5DCE"/>
    <w:rsid w:val="001C6165"/>
    <w:rsid w:val="001C6D1E"/>
    <w:rsid w:val="001C7094"/>
    <w:rsid w:val="001C72B9"/>
    <w:rsid w:val="001C76A6"/>
    <w:rsid w:val="001C7C33"/>
    <w:rsid w:val="001D058F"/>
    <w:rsid w:val="001D0EDF"/>
    <w:rsid w:val="001D150F"/>
    <w:rsid w:val="001D255D"/>
    <w:rsid w:val="001D2BCD"/>
    <w:rsid w:val="001D2CAC"/>
    <w:rsid w:val="001D2CFB"/>
    <w:rsid w:val="001D33F6"/>
    <w:rsid w:val="001D3532"/>
    <w:rsid w:val="001D376D"/>
    <w:rsid w:val="001D3E41"/>
    <w:rsid w:val="001D4089"/>
    <w:rsid w:val="001D40D6"/>
    <w:rsid w:val="001D4224"/>
    <w:rsid w:val="001D482E"/>
    <w:rsid w:val="001D4A22"/>
    <w:rsid w:val="001D4ADB"/>
    <w:rsid w:val="001D4BA4"/>
    <w:rsid w:val="001D4C4E"/>
    <w:rsid w:val="001D4D8E"/>
    <w:rsid w:val="001D4F7E"/>
    <w:rsid w:val="001D532C"/>
    <w:rsid w:val="001D5665"/>
    <w:rsid w:val="001D56CE"/>
    <w:rsid w:val="001D5783"/>
    <w:rsid w:val="001D579D"/>
    <w:rsid w:val="001D617A"/>
    <w:rsid w:val="001D63DB"/>
    <w:rsid w:val="001D65DC"/>
    <w:rsid w:val="001D65EE"/>
    <w:rsid w:val="001D6769"/>
    <w:rsid w:val="001D6795"/>
    <w:rsid w:val="001D6A61"/>
    <w:rsid w:val="001D6C14"/>
    <w:rsid w:val="001D6EA8"/>
    <w:rsid w:val="001D71BA"/>
    <w:rsid w:val="001D7727"/>
    <w:rsid w:val="001D798B"/>
    <w:rsid w:val="001E01FD"/>
    <w:rsid w:val="001E02C9"/>
    <w:rsid w:val="001E090F"/>
    <w:rsid w:val="001E0EF8"/>
    <w:rsid w:val="001E13B1"/>
    <w:rsid w:val="001E1D00"/>
    <w:rsid w:val="001E2989"/>
    <w:rsid w:val="001E2B20"/>
    <w:rsid w:val="001E3E1A"/>
    <w:rsid w:val="001E3EE9"/>
    <w:rsid w:val="001E4232"/>
    <w:rsid w:val="001E4243"/>
    <w:rsid w:val="001E46E9"/>
    <w:rsid w:val="001E47CE"/>
    <w:rsid w:val="001E519B"/>
    <w:rsid w:val="001E5498"/>
    <w:rsid w:val="001E5E0F"/>
    <w:rsid w:val="001E605C"/>
    <w:rsid w:val="001E66FE"/>
    <w:rsid w:val="001E6713"/>
    <w:rsid w:val="001E68BC"/>
    <w:rsid w:val="001E68D8"/>
    <w:rsid w:val="001E6F64"/>
    <w:rsid w:val="001E70B8"/>
    <w:rsid w:val="001E747D"/>
    <w:rsid w:val="001E7870"/>
    <w:rsid w:val="001E78F2"/>
    <w:rsid w:val="001E7991"/>
    <w:rsid w:val="001E7E85"/>
    <w:rsid w:val="001F036E"/>
    <w:rsid w:val="001F06AC"/>
    <w:rsid w:val="001F152E"/>
    <w:rsid w:val="001F1564"/>
    <w:rsid w:val="001F1C52"/>
    <w:rsid w:val="001F1F93"/>
    <w:rsid w:val="001F26F0"/>
    <w:rsid w:val="001F2B47"/>
    <w:rsid w:val="001F2B5E"/>
    <w:rsid w:val="001F2B60"/>
    <w:rsid w:val="001F2DE5"/>
    <w:rsid w:val="001F436C"/>
    <w:rsid w:val="001F45D5"/>
    <w:rsid w:val="001F4825"/>
    <w:rsid w:val="001F4B46"/>
    <w:rsid w:val="001F4D50"/>
    <w:rsid w:val="001F55AA"/>
    <w:rsid w:val="001F5733"/>
    <w:rsid w:val="001F587B"/>
    <w:rsid w:val="001F5B00"/>
    <w:rsid w:val="001F611E"/>
    <w:rsid w:val="001F62DD"/>
    <w:rsid w:val="001F6451"/>
    <w:rsid w:val="001F78B1"/>
    <w:rsid w:val="001F7BB4"/>
    <w:rsid w:val="001F7F58"/>
    <w:rsid w:val="00200224"/>
    <w:rsid w:val="0020058F"/>
    <w:rsid w:val="00200728"/>
    <w:rsid w:val="0020095E"/>
    <w:rsid w:val="002009C4"/>
    <w:rsid w:val="00200AAB"/>
    <w:rsid w:val="00200EFA"/>
    <w:rsid w:val="002019D8"/>
    <w:rsid w:val="00201E9B"/>
    <w:rsid w:val="00201EDD"/>
    <w:rsid w:val="002022DD"/>
    <w:rsid w:val="00202406"/>
    <w:rsid w:val="002029B9"/>
    <w:rsid w:val="00202B4B"/>
    <w:rsid w:val="002033C1"/>
    <w:rsid w:val="002034EB"/>
    <w:rsid w:val="0020356A"/>
    <w:rsid w:val="0020372D"/>
    <w:rsid w:val="00203858"/>
    <w:rsid w:val="002039B0"/>
    <w:rsid w:val="00203BF1"/>
    <w:rsid w:val="002043B5"/>
    <w:rsid w:val="00204651"/>
    <w:rsid w:val="00204D96"/>
    <w:rsid w:val="00205144"/>
    <w:rsid w:val="002054E0"/>
    <w:rsid w:val="00205D58"/>
    <w:rsid w:val="00205D6F"/>
    <w:rsid w:val="00205ED2"/>
    <w:rsid w:val="00205F30"/>
    <w:rsid w:val="0020639E"/>
    <w:rsid w:val="00206539"/>
    <w:rsid w:val="002067AC"/>
    <w:rsid w:val="002068FB"/>
    <w:rsid w:val="00206EE8"/>
    <w:rsid w:val="00206F64"/>
    <w:rsid w:val="00207551"/>
    <w:rsid w:val="002075BB"/>
    <w:rsid w:val="00210003"/>
    <w:rsid w:val="00210144"/>
    <w:rsid w:val="002101EC"/>
    <w:rsid w:val="00210528"/>
    <w:rsid w:val="00210538"/>
    <w:rsid w:val="00210CC5"/>
    <w:rsid w:val="00210FA2"/>
    <w:rsid w:val="00210FCD"/>
    <w:rsid w:val="002113CF"/>
    <w:rsid w:val="0021147C"/>
    <w:rsid w:val="002115A6"/>
    <w:rsid w:val="00211796"/>
    <w:rsid w:val="00211F88"/>
    <w:rsid w:val="00212C1D"/>
    <w:rsid w:val="00212FCD"/>
    <w:rsid w:val="00213277"/>
    <w:rsid w:val="00213E05"/>
    <w:rsid w:val="00213EFC"/>
    <w:rsid w:val="00214005"/>
    <w:rsid w:val="002146A4"/>
    <w:rsid w:val="00214E8B"/>
    <w:rsid w:val="00214EB4"/>
    <w:rsid w:val="00214F29"/>
    <w:rsid w:val="0021550B"/>
    <w:rsid w:val="00215625"/>
    <w:rsid w:val="0021599F"/>
    <w:rsid w:val="002159C2"/>
    <w:rsid w:val="00215A65"/>
    <w:rsid w:val="00216660"/>
    <w:rsid w:val="00216835"/>
    <w:rsid w:val="00216B5C"/>
    <w:rsid w:val="002170A8"/>
    <w:rsid w:val="0021761D"/>
    <w:rsid w:val="0021792D"/>
    <w:rsid w:val="00217E0A"/>
    <w:rsid w:val="00220242"/>
    <w:rsid w:val="002206E8"/>
    <w:rsid w:val="0022091C"/>
    <w:rsid w:val="002209F3"/>
    <w:rsid w:val="00220EC3"/>
    <w:rsid w:val="00220ED1"/>
    <w:rsid w:val="00221344"/>
    <w:rsid w:val="0022157F"/>
    <w:rsid w:val="00221883"/>
    <w:rsid w:val="002220B6"/>
    <w:rsid w:val="002222CB"/>
    <w:rsid w:val="00222893"/>
    <w:rsid w:val="00222A3B"/>
    <w:rsid w:val="00222CED"/>
    <w:rsid w:val="00223694"/>
    <w:rsid w:val="00223985"/>
    <w:rsid w:val="00223CD6"/>
    <w:rsid w:val="002243CB"/>
    <w:rsid w:val="00224D4A"/>
    <w:rsid w:val="00225327"/>
    <w:rsid w:val="002255D1"/>
    <w:rsid w:val="00225C1A"/>
    <w:rsid w:val="00225DA4"/>
    <w:rsid w:val="002263E0"/>
    <w:rsid w:val="0022641F"/>
    <w:rsid w:val="00226924"/>
    <w:rsid w:val="00226BCF"/>
    <w:rsid w:val="00226EBE"/>
    <w:rsid w:val="00226F11"/>
    <w:rsid w:val="00227EF1"/>
    <w:rsid w:val="002302A4"/>
    <w:rsid w:val="00230866"/>
    <w:rsid w:val="00230D24"/>
    <w:rsid w:val="00230E92"/>
    <w:rsid w:val="002312FA"/>
    <w:rsid w:val="00231405"/>
    <w:rsid w:val="00231652"/>
    <w:rsid w:val="00231D06"/>
    <w:rsid w:val="00232033"/>
    <w:rsid w:val="00232087"/>
    <w:rsid w:val="00232456"/>
    <w:rsid w:val="00232810"/>
    <w:rsid w:val="00232A24"/>
    <w:rsid w:val="002337ED"/>
    <w:rsid w:val="00233819"/>
    <w:rsid w:val="002345D7"/>
    <w:rsid w:val="00234745"/>
    <w:rsid w:val="00234746"/>
    <w:rsid w:val="002349D5"/>
    <w:rsid w:val="00234EBF"/>
    <w:rsid w:val="00234EDB"/>
    <w:rsid w:val="00235578"/>
    <w:rsid w:val="0023577A"/>
    <w:rsid w:val="00235D7E"/>
    <w:rsid w:val="00235DB0"/>
    <w:rsid w:val="00235E16"/>
    <w:rsid w:val="002363C8"/>
    <w:rsid w:val="00236B73"/>
    <w:rsid w:val="00236F37"/>
    <w:rsid w:val="002372BE"/>
    <w:rsid w:val="00237A80"/>
    <w:rsid w:val="00237B88"/>
    <w:rsid w:val="00237EF4"/>
    <w:rsid w:val="00240082"/>
    <w:rsid w:val="0024085E"/>
    <w:rsid w:val="002409FA"/>
    <w:rsid w:val="00240A4C"/>
    <w:rsid w:val="00240AA7"/>
    <w:rsid w:val="00240C4D"/>
    <w:rsid w:val="00240F55"/>
    <w:rsid w:val="00241073"/>
    <w:rsid w:val="002412B8"/>
    <w:rsid w:val="00241580"/>
    <w:rsid w:val="00241805"/>
    <w:rsid w:val="00241989"/>
    <w:rsid w:val="00242017"/>
    <w:rsid w:val="00242093"/>
    <w:rsid w:val="00242534"/>
    <w:rsid w:val="00242DBA"/>
    <w:rsid w:val="00242FD9"/>
    <w:rsid w:val="00243ED9"/>
    <w:rsid w:val="002443DB"/>
    <w:rsid w:val="00244FE8"/>
    <w:rsid w:val="00245AA9"/>
    <w:rsid w:val="002468BA"/>
    <w:rsid w:val="00246E20"/>
    <w:rsid w:val="002471E0"/>
    <w:rsid w:val="00247920"/>
    <w:rsid w:val="00247F7F"/>
    <w:rsid w:val="00250052"/>
    <w:rsid w:val="002502C0"/>
    <w:rsid w:val="00250454"/>
    <w:rsid w:val="00250AD8"/>
    <w:rsid w:val="00250B22"/>
    <w:rsid w:val="002511F2"/>
    <w:rsid w:val="00251BA0"/>
    <w:rsid w:val="00251ED6"/>
    <w:rsid w:val="00251F38"/>
    <w:rsid w:val="002526AC"/>
    <w:rsid w:val="00252948"/>
    <w:rsid w:val="00252B80"/>
    <w:rsid w:val="00253021"/>
    <w:rsid w:val="002532B4"/>
    <w:rsid w:val="002534CC"/>
    <w:rsid w:val="002534E8"/>
    <w:rsid w:val="002535CE"/>
    <w:rsid w:val="00253D5E"/>
    <w:rsid w:val="00253DCB"/>
    <w:rsid w:val="00253DE4"/>
    <w:rsid w:val="00254147"/>
    <w:rsid w:val="002545A9"/>
    <w:rsid w:val="002548C6"/>
    <w:rsid w:val="00254B53"/>
    <w:rsid w:val="0025570C"/>
    <w:rsid w:val="00255CB0"/>
    <w:rsid w:val="0025642A"/>
    <w:rsid w:val="00256A5C"/>
    <w:rsid w:val="00256C18"/>
    <w:rsid w:val="00256C47"/>
    <w:rsid w:val="0025721D"/>
    <w:rsid w:val="00257B60"/>
    <w:rsid w:val="00257EA7"/>
    <w:rsid w:val="002600A7"/>
    <w:rsid w:val="002605F1"/>
    <w:rsid w:val="00260B1C"/>
    <w:rsid w:val="00260B36"/>
    <w:rsid w:val="00262027"/>
    <w:rsid w:val="0026218E"/>
    <w:rsid w:val="0026240C"/>
    <w:rsid w:val="0026292D"/>
    <w:rsid w:val="00262C0C"/>
    <w:rsid w:val="002637AD"/>
    <w:rsid w:val="00263809"/>
    <w:rsid w:val="00264103"/>
    <w:rsid w:val="00264397"/>
    <w:rsid w:val="0026492C"/>
    <w:rsid w:val="00264E21"/>
    <w:rsid w:val="00264E5C"/>
    <w:rsid w:val="002654A8"/>
    <w:rsid w:val="00265584"/>
    <w:rsid w:val="002656FF"/>
    <w:rsid w:val="00265727"/>
    <w:rsid w:val="00265BCD"/>
    <w:rsid w:val="00265C62"/>
    <w:rsid w:val="002665AD"/>
    <w:rsid w:val="002667BE"/>
    <w:rsid w:val="00266892"/>
    <w:rsid w:val="00266AE4"/>
    <w:rsid w:val="00266CDF"/>
    <w:rsid w:val="00266D8D"/>
    <w:rsid w:val="00266E62"/>
    <w:rsid w:val="00266FFE"/>
    <w:rsid w:val="0026703C"/>
    <w:rsid w:val="0026703F"/>
    <w:rsid w:val="00267161"/>
    <w:rsid w:val="0026718B"/>
    <w:rsid w:val="00267BAB"/>
    <w:rsid w:val="00267D1C"/>
    <w:rsid w:val="00267DE6"/>
    <w:rsid w:val="002703CB"/>
    <w:rsid w:val="00270A8A"/>
    <w:rsid w:val="00270CC6"/>
    <w:rsid w:val="00271233"/>
    <w:rsid w:val="002713A9"/>
    <w:rsid w:val="002713F2"/>
    <w:rsid w:val="00271810"/>
    <w:rsid w:val="00271A7B"/>
    <w:rsid w:val="0027231C"/>
    <w:rsid w:val="00272906"/>
    <w:rsid w:val="002729EB"/>
    <w:rsid w:val="00272B2C"/>
    <w:rsid w:val="00272C1E"/>
    <w:rsid w:val="00273201"/>
    <w:rsid w:val="00273274"/>
    <w:rsid w:val="00273A67"/>
    <w:rsid w:val="00273A84"/>
    <w:rsid w:val="002746C1"/>
    <w:rsid w:val="00274A11"/>
    <w:rsid w:val="00274AB7"/>
    <w:rsid w:val="00274B0D"/>
    <w:rsid w:val="00274B82"/>
    <w:rsid w:val="00274C90"/>
    <w:rsid w:val="00274E79"/>
    <w:rsid w:val="0027529E"/>
    <w:rsid w:val="002759A2"/>
    <w:rsid w:val="00275C78"/>
    <w:rsid w:val="00275CD2"/>
    <w:rsid w:val="00275D00"/>
    <w:rsid w:val="00275F91"/>
    <w:rsid w:val="00275FA3"/>
    <w:rsid w:val="002761AA"/>
    <w:rsid w:val="00276484"/>
    <w:rsid w:val="00276B09"/>
    <w:rsid w:val="00276B4E"/>
    <w:rsid w:val="00276D99"/>
    <w:rsid w:val="002770EF"/>
    <w:rsid w:val="00277176"/>
    <w:rsid w:val="00277BA1"/>
    <w:rsid w:val="00277C8D"/>
    <w:rsid w:val="00277CFC"/>
    <w:rsid w:val="00277FF6"/>
    <w:rsid w:val="00280374"/>
    <w:rsid w:val="00280AF4"/>
    <w:rsid w:val="00280C0C"/>
    <w:rsid w:val="00280C10"/>
    <w:rsid w:val="0028175E"/>
    <w:rsid w:val="00281848"/>
    <w:rsid w:val="00281A24"/>
    <w:rsid w:val="00281CE3"/>
    <w:rsid w:val="002821BC"/>
    <w:rsid w:val="0028223B"/>
    <w:rsid w:val="00282273"/>
    <w:rsid w:val="002822CD"/>
    <w:rsid w:val="00282718"/>
    <w:rsid w:val="0028278E"/>
    <w:rsid w:val="002828FC"/>
    <w:rsid w:val="00282EFD"/>
    <w:rsid w:val="00283EDA"/>
    <w:rsid w:val="002840A7"/>
    <w:rsid w:val="002846E1"/>
    <w:rsid w:val="00284819"/>
    <w:rsid w:val="00284861"/>
    <w:rsid w:val="00284888"/>
    <w:rsid w:val="0028495E"/>
    <w:rsid w:val="00284AA6"/>
    <w:rsid w:val="00284DA1"/>
    <w:rsid w:val="002856D0"/>
    <w:rsid w:val="00285B64"/>
    <w:rsid w:val="002861B2"/>
    <w:rsid w:val="0028643C"/>
    <w:rsid w:val="00286507"/>
    <w:rsid w:val="002868AF"/>
    <w:rsid w:val="00286C9C"/>
    <w:rsid w:val="00286F6D"/>
    <w:rsid w:val="002870A9"/>
    <w:rsid w:val="0028730E"/>
    <w:rsid w:val="002874F3"/>
    <w:rsid w:val="00287911"/>
    <w:rsid w:val="00287C3D"/>
    <w:rsid w:val="00287C92"/>
    <w:rsid w:val="0029018C"/>
    <w:rsid w:val="00290691"/>
    <w:rsid w:val="00290DCA"/>
    <w:rsid w:val="0029118C"/>
    <w:rsid w:val="002913AB"/>
    <w:rsid w:val="0029151C"/>
    <w:rsid w:val="002918CC"/>
    <w:rsid w:val="00291F02"/>
    <w:rsid w:val="0029242A"/>
    <w:rsid w:val="00292502"/>
    <w:rsid w:val="00292612"/>
    <w:rsid w:val="00292AC6"/>
    <w:rsid w:val="00292C16"/>
    <w:rsid w:val="00292CB7"/>
    <w:rsid w:val="00292EBD"/>
    <w:rsid w:val="00292F3C"/>
    <w:rsid w:val="00292F69"/>
    <w:rsid w:val="0029327F"/>
    <w:rsid w:val="002935A9"/>
    <w:rsid w:val="0029398F"/>
    <w:rsid w:val="002939C4"/>
    <w:rsid w:val="00293A94"/>
    <w:rsid w:val="00293AD0"/>
    <w:rsid w:val="00293B86"/>
    <w:rsid w:val="00294277"/>
    <w:rsid w:val="00294701"/>
    <w:rsid w:val="00294B4B"/>
    <w:rsid w:val="00294FA7"/>
    <w:rsid w:val="002950BF"/>
    <w:rsid w:val="00295ECD"/>
    <w:rsid w:val="0029629A"/>
    <w:rsid w:val="00296490"/>
    <w:rsid w:val="00297077"/>
    <w:rsid w:val="00297290"/>
    <w:rsid w:val="0029763C"/>
    <w:rsid w:val="00297A32"/>
    <w:rsid w:val="00297CA7"/>
    <w:rsid w:val="00297FAF"/>
    <w:rsid w:val="002A0095"/>
    <w:rsid w:val="002A0211"/>
    <w:rsid w:val="002A032B"/>
    <w:rsid w:val="002A041A"/>
    <w:rsid w:val="002A062E"/>
    <w:rsid w:val="002A11A9"/>
    <w:rsid w:val="002A1A79"/>
    <w:rsid w:val="002A1ABA"/>
    <w:rsid w:val="002A20D0"/>
    <w:rsid w:val="002A286D"/>
    <w:rsid w:val="002A2985"/>
    <w:rsid w:val="002A422C"/>
    <w:rsid w:val="002A4312"/>
    <w:rsid w:val="002A4679"/>
    <w:rsid w:val="002A4758"/>
    <w:rsid w:val="002A4DAD"/>
    <w:rsid w:val="002A5240"/>
    <w:rsid w:val="002A5359"/>
    <w:rsid w:val="002A5BBE"/>
    <w:rsid w:val="002A5F88"/>
    <w:rsid w:val="002A5FA8"/>
    <w:rsid w:val="002A67F9"/>
    <w:rsid w:val="002A68E2"/>
    <w:rsid w:val="002A6A5C"/>
    <w:rsid w:val="002A6CA0"/>
    <w:rsid w:val="002A72AE"/>
    <w:rsid w:val="002A730E"/>
    <w:rsid w:val="002A7A09"/>
    <w:rsid w:val="002A7A32"/>
    <w:rsid w:val="002A7C4B"/>
    <w:rsid w:val="002B02F9"/>
    <w:rsid w:val="002B0547"/>
    <w:rsid w:val="002B0612"/>
    <w:rsid w:val="002B08FC"/>
    <w:rsid w:val="002B10D3"/>
    <w:rsid w:val="002B1773"/>
    <w:rsid w:val="002B18B2"/>
    <w:rsid w:val="002B2314"/>
    <w:rsid w:val="002B2467"/>
    <w:rsid w:val="002B295B"/>
    <w:rsid w:val="002B2DAF"/>
    <w:rsid w:val="002B3063"/>
    <w:rsid w:val="002B3245"/>
    <w:rsid w:val="002B3ABB"/>
    <w:rsid w:val="002B4797"/>
    <w:rsid w:val="002B49EA"/>
    <w:rsid w:val="002B5C62"/>
    <w:rsid w:val="002B5D18"/>
    <w:rsid w:val="002B5DA5"/>
    <w:rsid w:val="002B691F"/>
    <w:rsid w:val="002B6DF2"/>
    <w:rsid w:val="002B6E8D"/>
    <w:rsid w:val="002B757F"/>
    <w:rsid w:val="002B764A"/>
    <w:rsid w:val="002B770F"/>
    <w:rsid w:val="002B7745"/>
    <w:rsid w:val="002B7A76"/>
    <w:rsid w:val="002B7D27"/>
    <w:rsid w:val="002C0007"/>
    <w:rsid w:val="002C0039"/>
    <w:rsid w:val="002C02B7"/>
    <w:rsid w:val="002C05F9"/>
    <w:rsid w:val="002C0727"/>
    <w:rsid w:val="002C1072"/>
    <w:rsid w:val="002C131E"/>
    <w:rsid w:val="002C1453"/>
    <w:rsid w:val="002C180A"/>
    <w:rsid w:val="002C1870"/>
    <w:rsid w:val="002C1888"/>
    <w:rsid w:val="002C197A"/>
    <w:rsid w:val="002C1B22"/>
    <w:rsid w:val="002C1B6D"/>
    <w:rsid w:val="002C1D54"/>
    <w:rsid w:val="002C1F00"/>
    <w:rsid w:val="002C2491"/>
    <w:rsid w:val="002C30F3"/>
    <w:rsid w:val="002C3361"/>
    <w:rsid w:val="002C3E89"/>
    <w:rsid w:val="002C4240"/>
    <w:rsid w:val="002C43E6"/>
    <w:rsid w:val="002C43FF"/>
    <w:rsid w:val="002C447E"/>
    <w:rsid w:val="002C447F"/>
    <w:rsid w:val="002C4C9B"/>
    <w:rsid w:val="002C537C"/>
    <w:rsid w:val="002C5543"/>
    <w:rsid w:val="002C5B4B"/>
    <w:rsid w:val="002C5B50"/>
    <w:rsid w:val="002C5DE1"/>
    <w:rsid w:val="002C6179"/>
    <w:rsid w:val="002C6BBF"/>
    <w:rsid w:val="002C6CBD"/>
    <w:rsid w:val="002C72C4"/>
    <w:rsid w:val="002C72E6"/>
    <w:rsid w:val="002C75ED"/>
    <w:rsid w:val="002C79C2"/>
    <w:rsid w:val="002C7E46"/>
    <w:rsid w:val="002C7E8A"/>
    <w:rsid w:val="002D0017"/>
    <w:rsid w:val="002D01C1"/>
    <w:rsid w:val="002D032B"/>
    <w:rsid w:val="002D052C"/>
    <w:rsid w:val="002D0728"/>
    <w:rsid w:val="002D0B4D"/>
    <w:rsid w:val="002D0E78"/>
    <w:rsid w:val="002D0FEE"/>
    <w:rsid w:val="002D1007"/>
    <w:rsid w:val="002D10DF"/>
    <w:rsid w:val="002D1194"/>
    <w:rsid w:val="002D1B53"/>
    <w:rsid w:val="002D1EA8"/>
    <w:rsid w:val="002D1FFB"/>
    <w:rsid w:val="002D2123"/>
    <w:rsid w:val="002D26C4"/>
    <w:rsid w:val="002D314B"/>
    <w:rsid w:val="002D31C3"/>
    <w:rsid w:val="002D323B"/>
    <w:rsid w:val="002D34C0"/>
    <w:rsid w:val="002D35D7"/>
    <w:rsid w:val="002D376C"/>
    <w:rsid w:val="002D3E76"/>
    <w:rsid w:val="002D3F81"/>
    <w:rsid w:val="002D4118"/>
    <w:rsid w:val="002D421D"/>
    <w:rsid w:val="002D44FC"/>
    <w:rsid w:val="002D45FC"/>
    <w:rsid w:val="002D4B63"/>
    <w:rsid w:val="002D5B00"/>
    <w:rsid w:val="002D5EF7"/>
    <w:rsid w:val="002D606B"/>
    <w:rsid w:val="002D65F9"/>
    <w:rsid w:val="002D6A93"/>
    <w:rsid w:val="002D72FE"/>
    <w:rsid w:val="002D745C"/>
    <w:rsid w:val="002D7650"/>
    <w:rsid w:val="002D7A2D"/>
    <w:rsid w:val="002D7A5F"/>
    <w:rsid w:val="002D7D4A"/>
    <w:rsid w:val="002D7E0F"/>
    <w:rsid w:val="002E0134"/>
    <w:rsid w:val="002E04C1"/>
    <w:rsid w:val="002E11FC"/>
    <w:rsid w:val="002E123D"/>
    <w:rsid w:val="002E146B"/>
    <w:rsid w:val="002E1B4D"/>
    <w:rsid w:val="002E24C4"/>
    <w:rsid w:val="002E3085"/>
    <w:rsid w:val="002E3394"/>
    <w:rsid w:val="002E3406"/>
    <w:rsid w:val="002E3615"/>
    <w:rsid w:val="002E3F3D"/>
    <w:rsid w:val="002E46CC"/>
    <w:rsid w:val="002E4847"/>
    <w:rsid w:val="002E4F9D"/>
    <w:rsid w:val="002E5174"/>
    <w:rsid w:val="002E5202"/>
    <w:rsid w:val="002E530F"/>
    <w:rsid w:val="002E55C0"/>
    <w:rsid w:val="002E5829"/>
    <w:rsid w:val="002E59E6"/>
    <w:rsid w:val="002E63A9"/>
    <w:rsid w:val="002E6745"/>
    <w:rsid w:val="002E67EA"/>
    <w:rsid w:val="002E6AF5"/>
    <w:rsid w:val="002E7261"/>
    <w:rsid w:val="002E7503"/>
    <w:rsid w:val="002E7526"/>
    <w:rsid w:val="002E75AB"/>
    <w:rsid w:val="002E75E1"/>
    <w:rsid w:val="002E7A5D"/>
    <w:rsid w:val="002E7ABE"/>
    <w:rsid w:val="002E7E0B"/>
    <w:rsid w:val="002F03A8"/>
    <w:rsid w:val="002F06CD"/>
    <w:rsid w:val="002F07D0"/>
    <w:rsid w:val="002F0AAA"/>
    <w:rsid w:val="002F0E29"/>
    <w:rsid w:val="002F11F7"/>
    <w:rsid w:val="002F1663"/>
    <w:rsid w:val="002F1910"/>
    <w:rsid w:val="002F1972"/>
    <w:rsid w:val="002F1E9E"/>
    <w:rsid w:val="002F20E8"/>
    <w:rsid w:val="002F21DF"/>
    <w:rsid w:val="002F22BE"/>
    <w:rsid w:val="002F2DEE"/>
    <w:rsid w:val="002F31F7"/>
    <w:rsid w:val="002F34A3"/>
    <w:rsid w:val="002F3643"/>
    <w:rsid w:val="002F38B9"/>
    <w:rsid w:val="002F3DB5"/>
    <w:rsid w:val="002F3F20"/>
    <w:rsid w:val="002F4082"/>
    <w:rsid w:val="002F465A"/>
    <w:rsid w:val="002F53B2"/>
    <w:rsid w:val="002F577A"/>
    <w:rsid w:val="002F5B28"/>
    <w:rsid w:val="002F60FA"/>
    <w:rsid w:val="002F61D6"/>
    <w:rsid w:val="002F6658"/>
    <w:rsid w:val="002F7533"/>
    <w:rsid w:val="002F7548"/>
    <w:rsid w:val="002F7D5F"/>
    <w:rsid w:val="002F7E59"/>
    <w:rsid w:val="00300200"/>
    <w:rsid w:val="00300341"/>
    <w:rsid w:val="00300CD4"/>
    <w:rsid w:val="00300D20"/>
    <w:rsid w:val="00301165"/>
    <w:rsid w:val="003018EB"/>
    <w:rsid w:val="00302BED"/>
    <w:rsid w:val="00304A63"/>
    <w:rsid w:val="00304D9C"/>
    <w:rsid w:val="00304EC1"/>
    <w:rsid w:val="00305068"/>
    <w:rsid w:val="003051FA"/>
    <w:rsid w:val="0030529E"/>
    <w:rsid w:val="00305F03"/>
    <w:rsid w:val="003064AF"/>
    <w:rsid w:val="0030680C"/>
    <w:rsid w:val="00306EC2"/>
    <w:rsid w:val="0030752E"/>
    <w:rsid w:val="00307C1C"/>
    <w:rsid w:val="00310A75"/>
    <w:rsid w:val="00310AB3"/>
    <w:rsid w:val="00310E64"/>
    <w:rsid w:val="00310F43"/>
    <w:rsid w:val="003118FC"/>
    <w:rsid w:val="00311C40"/>
    <w:rsid w:val="00311C9A"/>
    <w:rsid w:val="00311E64"/>
    <w:rsid w:val="00311FF7"/>
    <w:rsid w:val="00312441"/>
    <w:rsid w:val="0031288A"/>
    <w:rsid w:val="003129EA"/>
    <w:rsid w:val="00312E41"/>
    <w:rsid w:val="00312E61"/>
    <w:rsid w:val="00313612"/>
    <w:rsid w:val="00313CDA"/>
    <w:rsid w:val="00313D3E"/>
    <w:rsid w:val="00314049"/>
    <w:rsid w:val="003145C1"/>
    <w:rsid w:val="00314F50"/>
    <w:rsid w:val="003152BD"/>
    <w:rsid w:val="003153D8"/>
    <w:rsid w:val="00315612"/>
    <w:rsid w:val="00315AA7"/>
    <w:rsid w:val="00315B71"/>
    <w:rsid w:val="00315DC4"/>
    <w:rsid w:val="00315E39"/>
    <w:rsid w:val="003160DB"/>
    <w:rsid w:val="00316117"/>
    <w:rsid w:val="0031626D"/>
    <w:rsid w:val="003162A6"/>
    <w:rsid w:val="00316786"/>
    <w:rsid w:val="003169EB"/>
    <w:rsid w:val="00316CA3"/>
    <w:rsid w:val="00316D64"/>
    <w:rsid w:val="00316F35"/>
    <w:rsid w:val="00317225"/>
    <w:rsid w:val="003173C2"/>
    <w:rsid w:val="003174F2"/>
    <w:rsid w:val="00317501"/>
    <w:rsid w:val="003175FE"/>
    <w:rsid w:val="00317780"/>
    <w:rsid w:val="00317ABD"/>
    <w:rsid w:val="00317B41"/>
    <w:rsid w:val="00320255"/>
    <w:rsid w:val="0032029F"/>
    <w:rsid w:val="003209AD"/>
    <w:rsid w:val="00320A1F"/>
    <w:rsid w:val="00321049"/>
    <w:rsid w:val="00321DCA"/>
    <w:rsid w:val="00322107"/>
    <w:rsid w:val="003222D5"/>
    <w:rsid w:val="00322984"/>
    <w:rsid w:val="00322995"/>
    <w:rsid w:val="00322BD3"/>
    <w:rsid w:val="00323B37"/>
    <w:rsid w:val="00323FBE"/>
    <w:rsid w:val="003242FC"/>
    <w:rsid w:val="00324545"/>
    <w:rsid w:val="003250B9"/>
    <w:rsid w:val="0032535F"/>
    <w:rsid w:val="00325657"/>
    <w:rsid w:val="003259D1"/>
    <w:rsid w:val="003266BF"/>
    <w:rsid w:val="0032676F"/>
    <w:rsid w:val="00326825"/>
    <w:rsid w:val="00326DC1"/>
    <w:rsid w:val="00327149"/>
    <w:rsid w:val="00327E1E"/>
    <w:rsid w:val="00327EBB"/>
    <w:rsid w:val="00327FEB"/>
    <w:rsid w:val="003301D2"/>
    <w:rsid w:val="00330A2E"/>
    <w:rsid w:val="00330C77"/>
    <w:rsid w:val="00331049"/>
    <w:rsid w:val="003310E1"/>
    <w:rsid w:val="003313C3"/>
    <w:rsid w:val="00331426"/>
    <w:rsid w:val="003317F2"/>
    <w:rsid w:val="003323FF"/>
    <w:rsid w:val="0033254C"/>
    <w:rsid w:val="00332826"/>
    <w:rsid w:val="00332DB2"/>
    <w:rsid w:val="00333498"/>
    <w:rsid w:val="00333795"/>
    <w:rsid w:val="00333E6B"/>
    <w:rsid w:val="00334F16"/>
    <w:rsid w:val="00335265"/>
    <w:rsid w:val="0033564E"/>
    <w:rsid w:val="00335731"/>
    <w:rsid w:val="0033642C"/>
    <w:rsid w:val="0033647C"/>
    <w:rsid w:val="00336A93"/>
    <w:rsid w:val="00336E34"/>
    <w:rsid w:val="003374FB"/>
    <w:rsid w:val="003376E3"/>
    <w:rsid w:val="00340861"/>
    <w:rsid w:val="00340D96"/>
    <w:rsid w:val="00340DA5"/>
    <w:rsid w:val="00340E2D"/>
    <w:rsid w:val="0034120C"/>
    <w:rsid w:val="003415EF"/>
    <w:rsid w:val="00341672"/>
    <w:rsid w:val="00341AE5"/>
    <w:rsid w:val="00341D8E"/>
    <w:rsid w:val="003428BD"/>
    <w:rsid w:val="00342FBD"/>
    <w:rsid w:val="003430B8"/>
    <w:rsid w:val="0034343E"/>
    <w:rsid w:val="0034348A"/>
    <w:rsid w:val="003439E9"/>
    <w:rsid w:val="00343AEB"/>
    <w:rsid w:val="00343D1D"/>
    <w:rsid w:val="00343EB8"/>
    <w:rsid w:val="00344162"/>
    <w:rsid w:val="003442F7"/>
    <w:rsid w:val="0034498B"/>
    <w:rsid w:val="00344B53"/>
    <w:rsid w:val="00344D3A"/>
    <w:rsid w:val="00344DD2"/>
    <w:rsid w:val="00345134"/>
    <w:rsid w:val="00345204"/>
    <w:rsid w:val="00345534"/>
    <w:rsid w:val="003459F8"/>
    <w:rsid w:val="00345B3D"/>
    <w:rsid w:val="00345BA5"/>
    <w:rsid w:val="00345C67"/>
    <w:rsid w:val="00345D56"/>
    <w:rsid w:val="00345E86"/>
    <w:rsid w:val="003464E2"/>
    <w:rsid w:val="00346B9D"/>
    <w:rsid w:val="00346C0C"/>
    <w:rsid w:val="00346FAE"/>
    <w:rsid w:val="00347499"/>
    <w:rsid w:val="00347613"/>
    <w:rsid w:val="00347679"/>
    <w:rsid w:val="003478BC"/>
    <w:rsid w:val="00347C8C"/>
    <w:rsid w:val="003505AC"/>
    <w:rsid w:val="00351010"/>
    <w:rsid w:val="00351179"/>
    <w:rsid w:val="003512D2"/>
    <w:rsid w:val="00351450"/>
    <w:rsid w:val="00351714"/>
    <w:rsid w:val="00351B07"/>
    <w:rsid w:val="00351EEC"/>
    <w:rsid w:val="00352322"/>
    <w:rsid w:val="003525D9"/>
    <w:rsid w:val="00352602"/>
    <w:rsid w:val="003526AC"/>
    <w:rsid w:val="00352A59"/>
    <w:rsid w:val="00352B02"/>
    <w:rsid w:val="003530C6"/>
    <w:rsid w:val="003532CC"/>
    <w:rsid w:val="003535DD"/>
    <w:rsid w:val="0035395F"/>
    <w:rsid w:val="00354E65"/>
    <w:rsid w:val="00354E86"/>
    <w:rsid w:val="0035505B"/>
    <w:rsid w:val="0035542F"/>
    <w:rsid w:val="00355A9E"/>
    <w:rsid w:val="00355FE4"/>
    <w:rsid w:val="00356261"/>
    <w:rsid w:val="0035652B"/>
    <w:rsid w:val="00356923"/>
    <w:rsid w:val="00356C27"/>
    <w:rsid w:val="00357165"/>
    <w:rsid w:val="00357233"/>
    <w:rsid w:val="0035726A"/>
    <w:rsid w:val="003574AE"/>
    <w:rsid w:val="003574F2"/>
    <w:rsid w:val="003575E1"/>
    <w:rsid w:val="003578AF"/>
    <w:rsid w:val="00357A4D"/>
    <w:rsid w:val="00357B27"/>
    <w:rsid w:val="00357CE4"/>
    <w:rsid w:val="00360423"/>
    <w:rsid w:val="00360A46"/>
    <w:rsid w:val="00360B0F"/>
    <w:rsid w:val="00360CDB"/>
    <w:rsid w:val="00360E1F"/>
    <w:rsid w:val="00360F5D"/>
    <w:rsid w:val="00361150"/>
    <w:rsid w:val="003613A2"/>
    <w:rsid w:val="0036140D"/>
    <w:rsid w:val="00362004"/>
    <w:rsid w:val="00362012"/>
    <w:rsid w:val="0036264F"/>
    <w:rsid w:val="00362A87"/>
    <w:rsid w:val="00362FD5"/>
    <w:rsid w:val="00363040"/>
    <w:rsid w:val="003636B6"/>
    <w:rsid w:val="00363791"/>
    <w:rsid w:val="00363A3A"/>
    <w:rsid w:val="0036409F"/>
    <w:rsid w:val="00364347"/>
    <w:rsid w:val="0036434D"/>
    <w:rsid w:val="00364A7B"/>
    <w:rsid w:val="00364B11"/>
    <w:rsid w:val="00364CA9"/>
    <w:rsid w:val="00364D00"/>
    <w:rsid w:val="00364D7E"/>
    <w:rsid w:val="003653BD"/>
    <w:rsid w:val="00365935"/>
    <w:rsid w:val="00365ED9"/>
    <w:rsid w:val="00366473"/>
    <w:rsid w:val="00366652"/>
    <w:rsid w:val="00366A6F"/>
    <w:rsid w:val="0036793B"/>
    <w:rsid w:val="00367A11"/>
    <w:rsid w:val="00367BC0"/>
    <w:rsid w:val="00370829"/>
    <w:rsid w:val="0037133D"/>
    <w:rsid w:val="00371583"/>
    <w:rsid w:val="0037213F"/>
    <w:rsid w:val="0037215B"/>
    <w:rsid w:val="0037226B"/>
    <w:rsid w:val="003722FA"/>
    <w:rsid w:val="00372A94"/>
    <w:rsid w:val="00372D60"/>
    <w:rsid w:val="00372E01"/>
    <w:rsid w:val="00372FCE"/>
    <w:rsid w:val="00373100"/>
    <w:rsid w:val="003733E8"/>
    <w:rsid w:val="003736A3"/>
    <w:rsid w:val="00373854"/>
    <w:rsid w:val="00373BF8"/>
    <w:rsid w:val="00373D17"/>
    <w:rsid w:val="00373D92"/>
    <w:rsid w:val="00373F81"/>
    <w:rsid w:val="00374599"/>
    <w:rsid w:val="00374D7B"/>
    <w:rsid w:val="00374EB5"/>
    <w:rsid w:val="00375133"/>
    <w:rsid w:val="00375306"/>
    <w:rsid w:val="00375556"/>
    <w:rsid w:val="00375718"/>
    <w:rsid w:val="00375721"/>
    <w:rsid w:val="00376173"/>
    <w:rsid w:val="00376267"/>
    <w:rsid w:val="00376630"/>
    <w:rsid w:val="003766B8"/>
    <w:rsid w:val="0037683A"/>
    <w:rsid w:val="00376880"/>
    <w:rsid w:val="0037691B"/>
    <w:rsid w:val="00377C7B"/>
    <w:rsid w:val="00380AF6"/>
    <w:rsid w:val="003811AB"/>
    <w:rsid w:val="00381258"/>
    <w:rsid w:val="00381564"/>
    <w:rsid w:val="0038195A"/>
    <w:rsid w:val="00381F89"/>
    <w:rsid w:val="003823C3"/>
    <w:rsid w:val="003828E1"/>
    <w:rsid w:val="00382AF6"/>
    <w:rsid w:val="00382D87"/>
    <w:rsid w:val="00382FE6"/>
    <w:rsid w:val="00383243"/>
    <w:rsid w:val="003833A0"/>
    <w:rsid w:val="00383BAA"/>
    <w:rsid w:val="00383DE0"/>
    <w:rsid w:val="003844D3"/>
    <w:rsid w:val="00384FC4"/>
    <w:rsid w:val="003850D1"/>
    <w:rsid w:val="00385385"/>
    <w:rsid w:val="003854D1"/>
    <w:rsid w:val="003854DF"/>
    <w:rsid w:val="0038564A"/>
    <w:rsid w:val="003857B2"/>
    <w:rsid w:val="0038604E"/>
    <w:rsid w:val="00386515"/>
    <w:rsid w:val="0038651F"/>
    <w:rsid w:val="0038652E"/>
    <w:rsid w:val="00386E58"/>
    <w:rsid w:val="0038739B"/>
    <w:rsid w:val="003873CC"/>
    <w:rsid w:val="003873F8"/>
    <w:rsid w:val="00387CC8"/>
    <w:rsid w:val="00387DAA"/>
    <w:rsid w:val="00390499"/>
    <w:rsid w:val="00390649"/>
    <w:rsid w:val="00390B9D"/>
    <w:rsid w:val="00390E98"/>
    <w:rsid w:val="00390F30"/>
    <w:rsid w:val="00391026"/>
    <w:rsid w:val="0039111E"/>
    <w:rsid w:val="003914DA"/>
    <w:rsid w:val="00391ACF"/>
    <w:rsid w:val="00392499"/>
    <w:rsid w:val="003924F8"/>
    <w:rsid w:val="003928A6"/>
    <w:rsid w:val="00393A1E"/>
    <w:rsid w:val="00393D91"/>
    <w:rsid w:val="00393DD4"/>
    <w:rsid w:val="00393E3B"/>
    <w:rsid w:val="0039401A"/>
    <w:rsid w:val="00394486"/>
    <w:rsid w:val="0039449B"/>
    <w:rsid w:val="00394552"/>
    <w:rsid w:val="00394A67"/>
    <w:rsid w:val="00394DDA"/>
    <w:rsid w:val="00395311"/>
    <w:rsid w:val="003953F5"/>
    <w:rsid w:val="003957AE"/>
    <w:rsid w:val="00395A0C"/>
    <w:rsid w:val="00395B68"/>
    <w:rsid w:val="0039603E"/>
    <w:rsid w:val="003961C8"/>
    <w:rsid w:val="00396363"/>
    <w:rsid w:val="003967ED"/>
    <w:rsid w:val="00396952"/>
    <w:rsid w:val="00397287"/>
    <w:rsid w:val="0039745F"/>
    <w:rsid w:val="00397661"/>
    <w:rsid w:val="00397C79"/>
    <w:rsid w:val="00397CC2"/>
    <w:rsid w:val="00397D49"/>
    <w:rsid w:val="003A0065"/>
    <w:rsid w:val="003A0087"/>
    <w:rsid w:val="003A0839"/>
    <w:rsid w:val="003A0C6D"/>
    <w:rsid w:val="003A0FBA"/>
    <w:rsid w:val="003A13EF"/>
    <w:rsid w:val="003A14BC"/>
    <w:rsid w:val="003A1BEC"/>
    <w:rsid w:val="003A1D4A"/>
    <w:rsid w:val="003A1EC1"/>
    <w:rsid w:val="003A21AF"/>
    <w:rsid w:val="003A226F"/>
    <w:rsid w:val="003A23FD"/>
    <w:rsid w:val="003A2B27"/>
    <w:rsid w:val="003A2FFF"/>
    <w:rsid w:val="003A3306"/>
    <w:rsid w:val="003A3361"/>
    <w:rsid w:val="003A3444"/>
    <w:rsid w:val="003A3D85"/>
    <w:rsid w:val="003A45A6"/>
    <w:rsid w:val="003A4B6F"/>
    <w:rsid w:val="003A4F98"/>
    <w:rsid w:val="003A522E"/>
    <w:rsid w:val="003A564F"/>
    <w:rsid w:val="003A592F"/>
    <w:rsid w:val="003A5CB4"/>
    <w:rsid w:val="003A5CEC"/>
    <w:rsid w:val="003A5CFE"/>
    <w:rsid w:val="003A5E9E"/>
    <w:rsid w:val="003A63EE"/>
    <w:rsid w:val="003A6558"/>
    <w:rsid w:val="003A6604"/>
    <w:rsid w:val="003A66F3"/>
    <w:rsid w:val="003A6E28"/>
    <w:rsid w:val="003A6E40"/>
    <w:rsid w:val="003A7A66"/>
    <w:rsid w:val="003A7D46"/>
    <w:rsid w:val="003A7D88"/>
    <w:rsid w:val="003A7D8B"/>
    <w:rsid w:val="003A7EDD"/>
    <w:rsid w:val="003B0C93"/>
    <w:rsid w:val="003B0DEE"/>
    <w:rsid w:val="003B11B1"/>
    <w:rsid w:val="003B1849"/>
    <w:rsid w:val="003B1BB0"/>
    <w:rsid w:val="003B1C0B"/>
    <w:rsid w:val="003B1E05"/>
    <w:rsid w:val="003B2677"/>
    <w:rsid w:val="003B2E69"/>
    <w:rsid w:val="003B2F43"/>
    <w:rsid w:val="003B2F91"/>
    <w:rsid w:val="003B2FE1"/>
    <w:rsid w:val="003B365D"/>
    <w:rsid w:val="003B372C"/>
    <w:rsid w:val="003B3D4A"/>
    <w:rsid w:val="003B43A3"/>
    <w:rsid w:val="003B44CB"/>
    <w:rsid w:val="003B4E84"/>
    <w:rsid w:val="003B4F0D"/>
    <w:rsid w:val="003B5551"/>
    <w:rsid w:val="003B57E3"/>
    <w:rsid w:val="003B59B4"/>
    <w:rsid w:val="003B5D2D"/>
    <w:rsid w:val="003B5F82"/>
    <w:rsid w:val="003B61EC"/>
    <w:rsid w:val="003B66F4"/>
    <w:rsid w:val="003B6B95"/>
    <w:rsid w:val="003B6EA5"/>
    <w:rsid w:val="003B71CB"/>
    <w:rsid w:val="003B7481"/>
    <w:rsid w:val="003B7667"/>
    <w:rsid w:val="003B7693"/>
    <w:rsid w:val="003B7892"/>
    <w:rsid w:val="003B78AB"/>
    <w:rsid w:val="003B7AF4"/>
    <w:rsid w:val="003B7B95"/>
    <w:rsid w:val="003B7E80"/>
    <w:rsid w:val="003C00BC"/>
    <w:rsid w:val="003C0FD7"/>
    <w:rsid w:val="003C196A"/>
    <w:rsid w:val="003C1B73"/>
    <w:rsid w:val="003C22B0"/>
    <w:rsid w:val="003C231D"/>
    <w:rsid w:val="003C2C1E"/>
    <w:rsid w:val="003C2C49"/>
    <w:rsid w:val="003C2D7C"/>
    <w:rsid w:val="003C3180"/>
    <w:rsid w:val="003C35A8"/>
    <w:rsid w:val="003C3DDD"/>
    <w:rsid w:val="003C410F"/>
    <w:rsid w:val="003C4CA0"/>
    <w:rsid w:val="003C5BB1"/>
    <w:rsid w:val="003C5E8F"/>
    <w:rsid w:val="003C612C"/>
    <w:rsid w:val="003C6536"/>
    <w:rsid w:val="003C6545"/>
    <w:rsid w:val="003C6A8B"/>
    <w:rsid w:val="003C6CD2"/>
    <w:rsid w:val="003C725C"/>
    <w:rsid w:val="003C7395"/>
    <w:rsid w:val="003C7A4E"/>
    <w:rsid w:val="003C7E95"/>
    <w:rsid w:val="003C7F97"/>
    <w:rsid w:val="003D08AF"/>
    <w:rsid w:val="003D0A35"/>
    <w:rsid w:val="003D0D30"/>
    <w:rsid w:val="003D0E53"/>
    <w:rsid w:val="003D1315"/>
    <w:rsid w:val="003D1448"/>
    <w:rsid w:val="003D1497"/>
    <w:rsid w:val="003D200F"/>
    <w:rsid w:val="003D221B"/>
    <w:rsid w:val="003D278B"/>
    <w:rsid w:val="003D2BE7"/>
    <w:rsid w:val="003D2C48"/>
    <w:rsid w:val="003D3249"/>
    <w:rsid w:val="003D35E7"/>
    <w:rsid w:val="003D3773"/>
    <w:rsid w:val="003D378D"/>
    <w:rsid w:val="003D389A"/>
    <w:rsid w:val="003D38FB"/>
    <w:rsid w:val="003D3C06"/>
    <w:rsid w:val="003D4486"/>
    <w:rsid w:val="003D4966"/>
    <w:rsid w:val="003D4AD4"/>
    <w:rsid w:val="003D4B30"/>
    <w:rsid w:val="003D4CB8"/>
    <w:rsid w:val="003D4D32"/>
    <w:rsid w:val="003D50DD"/>
    <w:rsid w:val="003D51B3"/>
    <w:rsid w:val="003D51B6"/>
    <w:rsid w:val="003D53F2"/>
    <w:rsid w:val="003D5450"/>
    <w:rsid w:val="003D5930"/>
    <w:rsid w:val="003D59D4"/>
    <w:rsid w:val="003D60A6"/>
    <w:rsid w:val="003D6336"/>
    <w:rsid w:val="003D676F"/>
    <w:rsid w:val="003D6940"/>
    <w:rsid w:val="003D69BC"/>
    <w:rsid w:val="003D6B4D"/>
    <w:rsid w:val="003D6C69"/>
    <w:rsid w:val="003D6E71"/>
    <w:rsid w:val="003D798D"/>
    <w:rsid w:val="003D79AA"/>
    <w:rsid w:val="003D7B5E"/>
    <w:rsid w:val="003D7B78"/>
    <w:rsid w:val="003D7B86"/>
    <w:rsid w:val="003D7C5B"/>
    <w:rsid w:val="003D7D28"/>
    <w:rsid w:val="003D7FFE"/>
    <w:rsid w:val="003E02EC"/>
    <w:rsid w:val="003E02FF"/>
    <w:rsid w:val="003E032C"/>
    <w:rsid w:val="003E0330"/>
    <w:rsid w:val="003E0D13"/>
    <w:rsid w:val="003E1081"/>
    <w:rsid w:val="003E1731"/>
    <w:rsid w:val="003E1EB8"/>
    <w:rsid w:val="003E1FC5"/>
    <w:rsid w:val="003E260C"/>
    <w:rsid w:val="003E2F18"/>
    <w:rsid w:val="003E36B9"/>
    <w:rsid w:val="003E413C"/>
    <w:rsid w:val="003E413F"/>
    <w:rsid w:val="003E45E2"/>
    <w:rsid w:val="003E4726"/>
    <w:rsid w:val="003E4B98"/>
    <w:rsid w:val="003E4FEB"/>
    <w:rsid w:val="003E57B4"/>
    <w:rsid w:val="003E5C58"/>
    <w:rsid w:val="003E5E9D"/>
    <w:rsid w:val="003E6956"/>
    <w:rsid w:val="003E6C25"/>
    <w:rsid w:val="003E6FA5"/>
    <w:rsid w:val="003E73B2"/>
    <w:rsid w:val="003E73CC"/>
    <w:rsid w:val="003E7687"/>
    <w:rsid w:val="003F02F7"/>
    <w:rsid w:val="003F0363"/>
    <w:rsid w:val="003F04D1"/>
    <w:rsid w:val="003F0AD2"/>
    <w:rsid w:val="003F0BE0"/>
    <w:rsid w:val="003F0DF6"/>
    <w:rsid w:val="003F18E1"/>
    <w:rsid w:val="003F1BBF"/>
    <w:rsid w:val="003F1D57"/>
    <w:rsid w:val="003F25C9"/>
    <w:rsid w:val="003F27E9"/>
    <w:rsid w:val="003F296C"/>
    <w:rsid w:val="003F2F69"/>
    <w:rsid w:val="003F34CD"/>
    <w:rsid w:val="003F3574"/>
    <w:rsid w:val="003F39C2"/>
    <w:rsid w:val="003F3A51"/>
    <w:rsid w:val="003F3D5F"/>
    <w:rsid w:val="003F415C"/>
    <w:rsid w:val="003F50B8"/>
    <w:rsid w:val="003F5134"/>
    <w:rsid w:val="003F51E3"/>
    <w:rsid w:val="003F579D"/>
    <w:rsid w:val="003F6339"/>
    <w:rsid w:val="003F6619"/>
    <w:rsid w:val="003F6959"/>
    <w:rsid w:val="003F6B47"/>
    <w:rsid w:val="003F6D36"/>
    <w:rsid w:val="003F6F29"/>
    <w:rsid w:val="003F6F2A"/>
    <w:rsid w:val="003F6FFF"/>
    <w:rsid w:val="003F74FD"/>
    <w:rsid w:val="003F77B6"/>
    <w:rsid w:val="003F796B"/>
    <w:rsid w:val="003F7BA3"/>
    <w:rsid w:val="004003CC"/>
    <w:rsid w:val="0040069E"/>
    <w:rsid w:val="004008A5"/>
    <w:rsid w:val="00400A1F"/>
    <w:rsid w:val="00400AAB"/>
    <w:rsid w:val="00400CDE"/>
    <w:rsid w:val="00400D76"/>
    <w:rsid w:val="00400E58"/>
    <w:rsid w:val="004011CB"/>
    <w:rsid w:val="004015E7"/>
    <w:rsid w:val="0040195B"/>
    <w:rsid w:val="00402457"/>
    <w:rsid w:val="0040259C"/>
    <w:rsid w:val="00402FAB"/>
    <w:rsid w:val="00403192"/>
    <w:rsid w:val="00403199"/>
    <w:rsid w:val="00403477"/>
    <w:rsid w:val="00403565"/>
    <w:rsid w:val="00403A9A"/>
    <w:rsid w:val="00404264"/>
    <w:rsid w:val="004043E3"/>
    <w:rsid w:val="0040458F"/>
    <w:rsid w:val="004054F0"/>
    <w:rsid w:val="004056E7"/>
    <w:rsid w:val="00405732"/>
    <w:rsid w:val="004058A9"/>
    <w:rsid w:val="00405B09"/>
    <w:rsid w:val="00405CC5"/>
    <w:rsid w:val="004062DD"/>
    <w:rsid w:val="004063C5"/>
    <w:rsid w:val="0040690F"/>
    <w:rsid w:val="00406CD8"/>
    <w:rsid w:val="00407347"/>
    <w:rsid w:val="00407359"/>
    <w:rsid w:val="00407A6F"/>
    <w:rsid w:val="00407B1F"/>
    <w:rsid w:val="00407F65"/>
    <w:rsid w:val="0040B1BE"/>
    <w:rsid w:val="0041021A"/>
    <w:rsid w:val="00410326"/>
    <w:rsid w:val="004104A1"/>
    <w:rsid w:val="0041084D"/>
    <w:rsid w:val="004108C3"/>
    <w:rsid w:val="004109D1"/>
    <w:rsid w:val="00410A59"/>
    <w:rsid w:val="00411975"/>
    <w:rsid w:val="004119D5"/>
    <w:rsid w:val="00411ED4"/>
    <w:rsid w:val="00411FDA"/>
    <w:rsid w:val="004121F1"/>
    <w:rsid w:val="0041236A"/>
    <w:rsid w:val="00412378"/>
    <w:rsid w:val="004123E6"/>
    <w:rsid w:val="00412971"/>
    <w:rsid w:val="00412FD9"/>
    <w:rsid w:val="00413248"/>
    <w:rsid w:val="004134A6"/>
    <w:rsid w:val="004138AE"/>
    <w:rsid w:val="0041441C"/>
    <w:rsid w:val="00414827"/>
    <w:rsid w:val="00414D3B"/>
    <w:rsid w:val="00414F31"/>
    <w:rsid w:val="00414F82"/>
    <w:rsid w:val="00415580"/>
    <w:rsid w:val="00415918"/>
    <w:rsid w:val="00415988"/>
    <w:rsid w:val="00416A26"/>
    <w:rsid w:val="00416D7A"/>
    <w:rsid w:val="00417122"/>
    <w:rsid w:val="00417179"/>
    <w:rsid w:val="0041729F"/>
    <w:rsid w:val="00417573"/>
    <w:rsid w:val="004175EF"/>
    <w:rsid w:val="004205C2"/>
    <w:rsid w:val="00420921"/>
    <w:rsid w:val="00420C6F"/>
    <w:rsid w:val="00421137"/>
    <w:rsid w:val="004211F5"/>
    <w:rsid w:val="00421D6A"/>
    <w:rsid w:val="0042240B"/>
    <w:rsid w:val="0042251B"/>
    <w:rsid w:val="00423585"/>
    <w:rsid w:val="00423B75"/>
    <w:rsid w:val="00423CB1"/>
    <w:rsid w:val="00423D5D"/>
    <w:rsid w:val="00423F50"/>
    <w:rsid w:val="00423F55"/>
    <w:rsid w:val="00423FA4"/>
    <w:rsid w:val="00424007"/>
    <w:rsid w:val="00424081"/>
    <w:rsid w:val="0042452F"/>
    <w:rsid w:val="0042512D"/>
    <w:rsid w:val="00425234"/>
    <w:rsid w:val="0042628C"/>
    <w:rsid w:val="00426BFD"/>
    <w:rsid w:val="00427071"/>
    <w:rsid w:val="00427112"/>
    <w:rsid w:val="0042752D"/>
    <w:rsid w:val="0042780D"/>
    <w:rsid w:val="004279BA"/>
    <w:rsid w:val="00427B94"/>
    <w:rsid w:val="00427CDD"/>
    <w:rsid w:val="00427F07"/>
    <w:rsid w:val="004304EC"/>
    <w:rsid w:val="004308CF"/>
    <w:rsid w:val="00430C99"/>
    <w:rsid w:val="0043156E"/>
    <w:rsid w:val="00431DC9"/>
    <w:rsid w:val="004325FC"/>
    <w:rsid w:val="0043306C"/>
    <w:rsid w:val="00434785"/>
    <w:rsid w:val="00434C1F"/>
    <w:rsid w:val="00434D0F"/>
    <w:rsid w:val="00435160"/>
    <w:rsid w:val="00435221"/>
    <w:rsid w:val="004352FF"/>
    <w:rsid w:val="004356E8"/>
    <w:rsid w:val="00436197"/>
    <w:rsid w:val="004363BE"/>
    <w:rsid w:val="004369A3"/>
    <w:rsid w:val="00436BFA"/>
    <w:rsid w:val="00436EDB"/>
    <w:rsid w:val="00437D12"/>
    <w:rsid w:val="00440500"/>
    <w:rsid w:val="00440FBA"/>
    <w:rsid w:val="004410BB"/>
    <w:rsid w:val="004412C5"/>
    <w:rsid w:val="004416E5"/>
    <w:rsid w:val="00441922"/>
    <w:rsid w:val="0044256F"/>
    <w:rsid w:val="004426D5"/>
    <w:rsid w:val="00442B99"/>
    <w:rsid w:val="00442EF8"/>
    <w:rsid w:val="004432FF"/>
    <w:rsid w:val="00443669"/>
    <w:rsid w:val="0044396A"/>
    <w:rsid w:val="004439F1"/>
    <w:rsid w:val="004441C1"/>
    <w:rsid w:val="004445A2"/>
    <w:rsid w:val="004446C5"/>
    <w:rsid w:val="0044479E"/>
    <w:rsid w:val="00444A01"/>
    <w:rsid w:val="00444E01"/>
    <w:rsid w:val="00445099"/>
    <w:rsid w:val="00445AA0"/>
    <w:rsid w:val="00445D6F"/>
    <w:rsid w:val="00445F04"/>
    <w:rsid w:val="004465BE"/>
    <w:rsid w:val="00446A75"/>
    <w:rsid w:val="004472B9"/>
    <w:rsid w:val="00447469"/>
    <w:rsid w:val="004474A9"/>
    <w:rsid w:val="00447CB2"/>
    <w:rsid w:val="00447D03"/>
    <w:rsid w:val="00447D10"/>
    <w:rsid w:val="00447E89"/>
    <w:rsid w:val="00450041"/>
    <w:rsid w:val="004513A6"/>
    <w:rsid w:val="004513D7"/>
    <w:rsid w:val="00451612"/>
    <w:rsid w:val="0045175F"/>
    <w:rsid w:val="00451832"/>
    <w:rsid w:val="00451A2B"/>
    <w:rsid w:val="004521DE"/>
    <w:rsid w:val="0045330E"/>
    <w:rsid w:val="00453362"/>
    <w:rsid w:val="00453AE2"/>
    <w:rsid w:val="00453DC3"/>
    <w:rsid w:val="00453DE7"/>
    <w:rsid w:val="004544B6"/>
    <w:rsid w:val="00454C01"/>
    <w:rsid w:val="00454FC4"/>
    <w:rsid w:val="004550ED"/>
    <w:rsid w:val="0045521F"/>
    <w:rsid w:val="0045522B"/>
    <w:rsid w:val="00455259"/>
    <w:rsid w:val="00455804"/>
    <w:rsid w:val="00455A80"/>
    <w:rsid w:val="004560C2"/>
    <w:rsid w:val="0045656C"/>
    <w:rsid w:val="00456B17"/>
    <w:rsid w:val="00456D2C"/>
    <w:rsid w:val="00456D50"/>
    <w:rsid w:val="00456F64"/>
    <w:rsid w:val="004576DD"/>
    <w:rsid w:val="00457787"/>
    <w:rsid w:val="00457F57"/>
    <w:rsid w:val="004603A9"/>
    <w:rsid w:val="004603E5"/>
    <w:rsid w:val="0046059A"/>
    <w:rsid w:val="00460B7E"/>
    <w:rsid w:val="00461356"/>
    <w:rsid w:val="004617B8"/>
    <w:rsid w:val="004620D6"/>
    <w:rsid w:val="00462470"/>
    <w:rsid w:val="004628A8"/>
    <w:rsid w:val="00462BCA"/>
    <w:rsid w:val="00462FAD"/>
    <w:rsid w:val="00463684"/>
    <w:rsid w:val="0046388F"/>
    <w:rsid w:val="00463A75"/>
    <w:rsid w:val="00464208"/>
    <w:rsid w:val="00464279"/>
    <w:rsid w:val="00464318"/>
    <w:rsid w:val="0046462A"/>
    <w:rsid w:val="0046487F"/>
    <w:rsid w:val="00464E92"/>
    <w:rsid w:val="00465877"/>
    <w:rsid w:val="00465BA4"/>
    <w:rsid w:val="00465EFD"/>
    <w:rsid w:val="0046603E"/>
    <w:rsid w:val="004660F4"/>
    <w:rsid w:val="0046634D"/>
    <w:rsid w:val="004667A4"/>
    <w:rsid w:val="004667FC"/>
    <w:rsid w:val="00466A38"/>
    <w:rsid w:val="00466B38"/>
    <w:rsid w:val="00466CE8"/>
    <w:rsid w:val="0046722C"/>
    <w:rsid w:val="004677F5"/>
    <w:rsid w:val="00467971"/>
    <w:rsid w:val="0046B766"/>
    <w:rsid w:val="004702C5"/>
    <w:rsid w:val="004703A2"/>
    <w:rsid w:val="00470576"/>
    <w:rsid w:val="00470B63"/>
    <w:rsid w:val="00470C09"/>
    <w:rsid w:val="00471035"/>
    <w:rsid w:val="004715F3"/>
    <w:rsid w:val="00471E04"/>
    <w:rsid w:val="00471F88"/>
    <w:rsid w:val="0047224A"/>
    <w:rsid w:val="004722A6"/>
    <w:rsid w:val="004722D8"/>
    <w:rsid w:val="00472395"/>
    <w:rsid w:val="00472479"/>
    <w:rsid w:val="00472747"/>
    <w:rsid w:val="00472935"/>
    <w:rsid w:val="00473AD1"/>
    <w:rsid w:val="004744DF"/>
    <w:rsid w:val="00475286"/>
    <w:rsid w:val="004754C9"/>
    <w:rsid w:val="00476089"/>
    <w:rsid w:val="00476485"/>
    <w:rsid w:val="00476569"/>
    <w:rsid w:val="0047675B"/>
    <w:rsid w:val="0047694B"/>
    <w:rsid w:val="00476C43"/>
    <w:rsid w:val="00476CE8"/>
    <w:rsid w:val="00476D3C"/>
    <w:rsid w:val="004778A9"/>
    <w:rsid w:val="00477EB7"/>
    <w:rsid w:val="004803F9"/>
    <w:rsid w:val="0048042A"/>
    <w:rsid w:val="004805BB"/>
    <w:rsid w:val="0048099C"/>
    <w:rsid w:val="00480B74"/>
    <w:rsid w:val="00480DC4"/>
    <w:rsid w:val="00480ECC"/>
    <w:rsid w:val="00480F9D"/>
    <w:rsid w:val="004810E2"/>
    <w:rsid w:val="004814E8"/>
    <w:rsid w:val="004815CE"/>
    <w:rsid w:val="004825C4"/>
    <w:rsid w:val="00482729"/>
    <w:rsid w:val="00483440"/>
    <w:rsid w:val="00483BAC"/>
    <w:rsid w:val="00483C55"/>
    <w:rsid w:val="00484482"/>
    <w:rsid w:val="004844E4"/>
    <w:rsid w:val="00484744"/>
    <w:rsid w:val="00484A66"/>
    <w:rsid w:val="00484FCB"/>
    <w:rsid w:val="0048549C"/>
    <w:rsid w:val="00485BF0"/>
    <w:rsid w:val="00485C5D"/>
    <w:rsid w:val="00486193"/>
    <w:rsid w:val="00486E23"/>
    <w:rsid w:val="00487BC3"/>
    <w:rsid w:val="00487CB0"/>
    <w:rsid w:val="00487EB1"/>
    <w:rsid w:val="004907D0"/>
    <w:rsid w:val="004909A7"/>
    <w:rsid w:val="00490AA9"/>
    <w:rsid w:val="00490C53"/>
    <w:rsid w:val="00490D6B"/>
    <w:rsid w:val="00490D98"/>
    <w:rsid w:val="004912E7"/>
    <w:rsid w:val="0049169A"/>
    <w:rsid w:val="0049177D"/>
    <w:rsid w:val="00491975"/>
    <w:rsid w:val="00491D03"/>
    <w:rsid w:val="00492100"/>
    <w:rsid w:val="0049292E"/>
    <w:rsid w:val="00492F0E"/>
    <w:rsid w:val="00493085"/>
    <w:rsid w:val="00493454"/>
    <w:rsid w:val="004936A1"/>
    <w:rsid w:val="004936F3"/>
    <w:rsid w:val="0049390D"/>
    <w:rsid w:val="00493CFE"/>
    <w:rsid w:val="00494194"/>
    <w:rsid w:val="0049474C"/>
    <w:rsid w:val="00494E78"/>
    <w:rsid w:val="00495E39"/>
    <w:rsid w:val="00495E91"/>
    <w:rsid w:val="004962BC"/>
    <w:rsid w:val="00496906"/>
    <w:rsid w:val="0049711E"/>
    <w:rsid w:val="004971B6"/>
    <w:rsid w:val="0049720F"/>
    <w:rsid w:val="00497386"/>
    <w:rsid w:val="00497773"/>
    <w:rsid w:val="00497D22"/>
    <w:rsid w:val="00497FB9"/>
    <w:rsid w:val="004A09BF"/>
    <w:rsid w:val="004A0C53"/>
    <w:rsid w:val="004A0D07"/>
    <w:rsid w:val="004A0E25"/>
    <w:rsid w:val="004A0FA5"/>
    <w:rsid w:val="004A14F4"/>
    <w:rsid w:val="004A153A"/>
    <w:rsid w:val="004A171D"/>
    <w:rsid w:val="004A1887"/>
    <w:rsid w:val="004A1DF6"/>
    <w:rsid w:val="004A2032"/>
    <w:rsid w:val="004A2426"/>
    <w:rsid w:val="004A3DC1"/>
    <w:rsid w:val="004A4380"/>
    <w:rsid w:val="004A490A"/>
    <w:rsid w:val="004A4A84"/>
    <w:rsid w:val="004A4D63"/>
    <w:rsid w:val="004A4E6E"/>
    <w:rsid w:val="004A553A"/>
    <w:rsid w:val="004A57D7"/>
    <w:rsid w:val="004A5969"/>
    <w:rsid w:val="004A5F5D"/>
    <w:rsid w:val="004A5F66"/>
    <w:rsid w:val="004A6049"/>
    <w:rsid w:val="004A62A9"/>
    <w:rsid w:val="004A63AA"/>
    <w:rsid w:val="004A77DF"/>
    <w:rsid w:val="004A7BB2"/>
    <w:rsid w:val="004A7CBF"/>
    <w:rsid w:val="004A7D07"/>
    <w:rsid w:val="004B0656"/>
    <w:rsid w:val="004B0A16"/>
    <w:rsid w:val="004B1625"/>
    <w:rsid w:val="004B1A63"/>
    <w:rsid w:val="004B1CC8"/>
    <w:rsid w:val="004B2099"/>
    <w:rsid w:val="004B2199"/>
    <w:rsid w:val="004B253C"/>
    <w:rsid w:val="004B2CF1"/>
    <w:rsid w:val="004B2EAF"/>
    <w:rsid w:val="004B356E"/>
    <w:rsid w:val="004B39E2"/>
    <w:rsid w:val="004B3B87"/>
    <w:rsid w:val="004B3FBD"/>
    <w:rsid w:val="004B49E3"/>
    <w:rsid w:val="004B501C"/>
    <w:rsid w:val="004B527E"/>
    <w:rsid w:val="004B54BA"/>
    <w:rsid w:val="004B5C00"/>
    <w:rsid w:val="004B6750"/>
    <w:rsid w:val="004B696D"/>
    <w:rsid w:val="004B6E9A"/>
    <w:rsid w:val="004B739E"/>
    <w:rsid w:val="004B73A1"/>
    <w:rsid w:val="004B75AD"/>
    <w:rsid w:val="004C01E3"/>
    <w:rsid w:val="004C039E"/>
    <w:rsid w:val="004C0B62"/>
    <w:rsid w:val="004C0E17"/>
    <w:rsid w:val="004C1013"/>
    <w:rsid w:val="004C13FF"/>
    <w:rsid w:val="004C179C"/>
    <w:rsid w:val="004C17A2"/>
    <w:rsid w:val="004C1A34"/>
    <w:rsid w:val="004C1B46"/>
    <w:rsid w:val="004C1DCB"/>
    <w:rsid w:val="004C2804"/>
    <w:rsid w:val="004C3761"/>
    <w:rsid w:val="004C389C"/>
    <w:rsid w:val="004C38BB"/>
    <w:rsid w:val="004C3EAD"/>
    <w:rsid w:val="004C4215"/>
    <w:rsid w:val="004C4277"/>
    <w:rsid w:val="004C42C0"/>
    <w:rsid w:val="004C4391"/>
    <w:rsid w:val="004C4398"/>
    <w:rsid w:val="004C4BD1"/>
    <w:rsid w:val="004C5211"/>
    <w:rsid w:val="004C53EB"/>
    <w:rsid w:val="004C5D8D"/>
    <w:rsid w:val="004C614C"/>
    <w:rsid w:val="004C62CC"/>
    <w:rsid w:val="004C6588"/>
    <w:rsid w:val="004C69B9"/>
    <w:rsid w:val="004C6AEE"/>
    <w:rsid w:val="004C6B9C"/>
    <w:rsid w:val="004C6D25"/>
    <w:rsid w:val="004C7203"/>
    <w:rsid w:val="004C732B"/>
    <w:rsid w:val="004C75D8"/>
    <w:rsid w:val="004C767D"/>
    <w:rsid w:val="004C78C5"/>
    <w:rsid w:val="004C7CB3"/>
    <w:rsid w:val="004D0529"/>
    <w:rsid w:val="004D061A"/>
    <w:rsid w:val="004D0E67"/>
    <w:rsid w:val="004D0E8D"/>
    <w:rsid w:val="004D1302"/>
    <w:rsid w:val="004D1401"/>
    <w:rsid w:val="004D209B"/>
    <w:rsid w:val="004D260E"/>
    <w:rsid w:val="004D267E"/>
    <w:rsid w:val="004D2742"/>
    <w:rsid w:val="004D2F63"/>
    <w:rsid w:val="004D350A"/>
    <w:rsid w:val="004D3703"/>
    <w:rsid w:val="004D3EA0"/>
    <w:rsid w:val="004D4070"/>
    <w:rsid w:val="004D4291"/>
    <w:rsid w:val="004D4398"/>
    <w:rsid w:val="004D463A"/>
    <w:rsid w:val="004D4D2F"/>
    <w:rsid w:val="004D5539"/>
    <w:rsid w:val="004D5559"/>
    <w:rsid w:val="004D5B1D"/>
    <w:rsid w:val="004D5DE0"/>
    <w:rsid w:val="004D62E6"/>
    <w:rsid w:val="004D6377"/>
    <w:rsid w:val="004D6A03"/>
    <w:rsid w:val="004D7CF0"/>
    <w:rsid w:val="004D7FC7"/>
    <w:rsid w:val="004E01CF"/>
    <w:rsid w:val="004E022A"/>
    <w:rsid w:val="004E05E3"/>
    <w:rsid w:val="004E0610"/>
    <w:rsid w:val="004E0EDF"/>
    <w:rsid w:val="004E105D"/>
    <w:rsid w:val="004E1079"/>
    <w:rsid w:val="004E15F6"/>
    <w:rsid w:val="004E1670"/>
    <w:rsid w:val="004E22E7"/>
    <w:rsid w:val="004E2450"/>
    <w:rsid w:val="004E2A2B"/>
    <w:rsid w:val="004E37CC"/>
    <w:rsid w:val="004E37F7"/>
    <w:rsid w:val="004E388B"/>
    <w:rsid w:val="004E3CD1"/>
    <w:rsid w:val="004E3D46"/>
    <w:rsid w:val="004E3EEC"/>
    <w:rsid w:val="004E406D"/>
    <w:rsid w:val="004E477F"/>
    <w:rsid w:val="004E47FC"/>
    <w:rsid w:val="004E4824"/>
    <w:rsid w:val="004E4833"/>
    <w:rsid w:val="004E4BC5"/>
    <w:rsid w:val="004E4ED8"/>
    <w:rsid w:val="004E4F37"/>
    <w:rsid w:val="004E5088"/>
    <w:rsid w:val="004E52CD"/>
    <w:rsid w:val="004E56C9"/>
    <w:rsid w:val="004E5A6D"/>
    <w:rsid w:val="004E5BC5"/>
    <w:rsid w:val="004E6421"/>
    <w:rsid w:val="004E6480"/>
    <w:rsid w:val="004E6542"/>
    <w:rsid w:val="004E672C"/>
    <w:rsid w:val="004E6B4F"/>
    <w:rsid w:val="004E6BFD"/>
    <w:rsid w:val="004E70F7"/>
    <w:rsid w:val="004E7AC6"/>
    <w:rsid w:val="004E7D87"/>
    <w:rsid w:val="004E7ED8"/>
    <w:rsid w:val="004F029F"/>
    <w:rsid w:val="004F091D"/>
    <w:rsid w:val="004F0F77"/>
    <w:rsid w:val="004F12BB"/>
    <w:rsid w:val="004F1371"/>
    <w:rsid w:val="004F161B"/>
    <w:rsid w:val="004F162B"/>
    <w:rsid w:val="004F17C0"/>
    <w:rsid w:val="004F1ABD"/>
    <w:rsid w:val="004F1BF6"/>
    <w:rsid w:val="004F239C"/>
    <w:rsid w:val="004F23F1"/>
    <w:rsid w:val="004F247B"/>
    <w:rsid w:val="004F273C"/>
    <w:rsid w:val="004F2955"/>
    <w:rsid w:val="004F2AC2"/>
    <w:rsid w:val="004F2F4E"/>
    <w:rsid w:val="004F3400"/>
    <w:rsid w:val="004F3E21"/>
    <w:rsid w:val="004F421F"/>
    <w:rsid w:val="004F426C"/>
    <w:rsid w:val="004F42D7"/>
    <w:rsid w:val="004F48AE"/>
    <w:rsid w:val="004F49E5"/>
    <w:rsid w:val="004F4C1A"/>
    <w:rsid w:val="004F5171"/>
    <w:rsid w:val="004F5649"/>
    <w:rsid w:val="004F5838"/>
    <w:rsid w:val="004F5A23"/>
    <w:rsid w:val="004F5A2E"/>
    <w:rsid w:val="004F5CCE"/>
    <w:rsid w:val="004F60EF"/>
    <w:rsid w:val="004F6695"/>
    <w:rsid w:val="004F6AFA"/>
    <w:rsid w:val="004F75B9"/>
    <w:rsid w:val="00500117"/>
    <w:rsid w:val="00500388"/>
    <w:rsid w:val="005005C1"/>
    <w:rsid w:val="00500883"/>
    <w:rsid w:val="00500938"/>
    <w:rsid w:val="00500C41"/>
    <w:rsid w:val="00502009"/>
    <w:rsid w:val="00502398"/>
    <w:rsid w:val="00502621"/>
    <w:rsid w:val="00502B77"/>
    <w:rsid w:val="00502D58"/>
    <w:rsid w:val="00502D92"/>
    <w:rsid w:val="00502F50"/>
    <w:rsid w:val="005031D8"/>
    <w:rsid w:val="0050325F"/>
    <w:rsid w:val="00503351"/>
    <w:rsid w:val="005038AC"/>
    <w:rsid w:val="00503984"/>
    <w:rsid w:val="00503D0C"/>
    <w:rsid w:val="00503FF8"/>
    <w:rsid w:val="0050422E"/>
    <w:rsid w:val="005048BA"/>
    <w:rsid w:val="00504E0F"/>
    <w:rsid w:val="00504F74"/>
    <w:rsid w:val="005053F3"/>
    <w:rsid w:val="00505446"/>
    <w:rsid w:val="005054A5"/>
    <w:rsid w:val="005054CA"/>
    <w:rsid w:val="005064F8"/>
    <w:rsid w:val="00506AD3"/>
    <w:rsid w:val="00506EF3"/>
    <w:rsid w:val="00507025"/>
    <w:rsid w:val="00507332"/>
    <w:rsid w:val="00507611"/>
    <w:rsid w:val="00507CAF"/>
    <w:rsid w:val="00507E24"/>
    <w:rsid w:val="00507F4F"/>
    <w:rsid w:val="00507FEB"/>
    <w:rsid w:val="005103E9"/>
    <w:rsid w:val="0051044B"/>
    <w:rsid w:val="005105EC"/>
    <w:rsid w:val="0051070A"/>
    <w:rsid w:val="005109D2"/>
    <w:rsid w:val="00510FE7"/>
    <w:rsid w:val="00511901"/>
    <w:rsid w:val="00511EB1"/>
    <w:rsid w:val="005127DC"/>
    <w:rsid w:val="00512B91"/>
    <w:rsid w:val="005130C5"/>
    <w:rsid w:val="00513286"/>
    <w:rsid w:val="00513BF2"/>
    <w:rsid w:val="00513C2E"/>
    <w:rsid w:val="00513C2F"/>
    <w:rsid w:val="00513CF7"/>
    <w:rsid w:val="00514346"/>
    <w:rsid w:val="0051436C"/>
    <w:rsid w:val="0051490E"/>
    <w:rsid w:val="00514EF6"/>
    <w:rsid w:val="0051538B"/>
    <w:rsid w:val="00515406"/>
    <w:rsid w:val="00515715"/>
    <w:rsid w:val="00515BAE"/>
    <w:rsid w:val="00515E01"/>
    <w:rsid w:val="0051646D"/>
    <w:rsid w:val="005170F5"/>
    <w:rsid w:val="005177EA"/>
    <w:rsid w:val="00517957"/>
    <w:rsid w:val="00517FF0"/>
    <w:rsid w:val="00520187"/>
    <w:rsid w:val="005202E9"/>
    <w:rsid w:val="0052037C"/>
    <w:rsid w:val="00520BCA"/>
    <w:rsid w:val="00521105"/>
    <w:rsid w:val="005211FC"/>
    <w:rsid w:val="00521FFF"/>
    <w:rsid w:val="00522214"/>
    <w:rsid w:val="0052243B"/>
    <w:rsid w:val="0052292F"/>
    <w:rsid w:val="005229A4"/>
    <w:rsid w:val="005229BA"/>
    <w:rsid w:val="005233D0"/>
    <w:rsid w:val="00523AFD"/>
    <w:rsid w:val="00523F0C"/>
    <w:rsid w:val="005240E1"/>
    <w:rsid w:val="005241D0"/>
    <w:rsid w:val="0052428E"/>
    <w:rsid w:val="005242F1"/>
    <w:rsid w:val="0052460D"/>
    <w:rsid w:val="0052496D"/>
    <w:rsid w:val="00525008"/>
    <w:rsid w:val="00525279"/>
    <w:rsid w:val="005255CB"/>
    <w:rsid w:val="005258B3"/>
    <w:rsid w:val="00525C0D"/>
    <w:rsid w:val="0052624C"/>
    <w:rsid w:val="0052675D"/>
    <w:rsid w:val="005267E7"/>
    <w:rsid w:val="00526847"/>
    <w:rsid w:val="00526C10"/>
    <w:rsid w:val="005274FA"/>
    <w:rsid w:val="0052759B"/>
    <w:rsid w:val="005278D2"/>
    <w:rsid w:val="00527AB3"/>
    <w:rsid w:val="00527D7F"/>
    <w:rsid w:val="00530027"/>
    <w:rsid w:val="00530037"/>
    <w:rsid w:val="00530270"/>
    <w:rsid w:val="0053072B"/>
    <w:rsid w:val="00530952"/>
    <w:rsid w:val="00531A3F"/>
    <w:rsid w:val="00531E62"/>
    <w:rsid w:val="00532267"/>
    <w:rsid w:val="005322FF"/>
    <w:rsid w:val="0053256D"/>
    <w:rsid w:val="00532BCE"/>
    <w:rsid w:val="00532BEB"/>
    <w:rsid w:val="005333CB"/>
    <w:rsid w:val="00533A25"/>
    <w:rsid w:val="00533AED"/>
    <w:rsid w:val="00533C0E"/>
    <w:rsid w:val="00533CCA"/>
    <w:rsid w:val="0053403B"/>
    <w:rsid w:val="005345C7"/>
    <w:rsid w:val="00535106"/>
    <w:rsid w:val="00535500"/>
    <w:rsid w:val="00535C93"/>
    <w:rsid w:val="00536641"/>
    <w:rsid w:val="00537059"/>
    <w:rsid w:val="0053762E"/>
    <w:rsid w:val="00537962"/>
    <w:rsid w:val="00537F10"/>
    <w:rsid w:val="00537FA7"/>
    <w:rsid w:val="005405E5"/>
    <w:rsid w:val="005406E7"/>
    <w:rsid w:val="0054089E"/>
    <w:rsid w:val="005408B1"/>
    <w:rsid w:val="00540C48"/>
    <w:rsid w:val="0054170F"/>
    <w:rsid w:val="005419F0"/>
    <w:rsid w:val="00541A64"/>
    <w:rsid w:val="00541B29"/>
    <w:rsid w:val="00541E26"/>
    <w:rsid w:val="00542253"/>
    <w:rsid w:val="005425D0"/>
    <w:rsid w:val="00542804"/>
    <w:rsid w:val="00542DB1"/>
    <w:rsid w:val="00542E2D"/>
    <w:rsid w:val="00542E30"/>
    <w:rsid w:val="00542F61"/>
    <w:rsid w:val="00543159"/>
    <w:rsid w:val="0054394E"/>
    <w:rsid w:val="00543B6D"/>
    <w:rsid w:val="00543D81"/>
    <w:rsid w:val="00544003"/>
    <w:rsid w:val="005448D4"/>
    <w:rsid w:val="00544A0C"/>
    <w:rsid w:val="00545C78"/>
    <w:rsid w:val="0054618B"/>
    <w:rsid w:val="00546786"/>
    <w:rsid w:val="00546790"/>
    <w:rsid w:val="005469AB"/>
    <w:rsid w:val="00546B3E"/>
    <w:rsid w:val="00546C01"/>
    <w:rsid w:val="00546C5F"/>
    <w:rsid w:val="0054704F"/>
    <w:rsid w:val="00547F6A"/>
    <w:rsid w:val="005502B7"/>
    <w:rsid w:val="005504D3"/>
    <w:rsid w:val="00550A3F"/>
    <w:rsid w:val="005510F4"/>
    <w:rsid w:val="00551A35"/>
    <w:rsid w:val="00551ADC"/>
    <w:rsid w:val="0055218A"/>
    <w:rsid w:val="005523FF"/>
    <w:rsid w:val="00552784"/>
    <w:rsid w:val="00552D3A"/>
    <w:rsid w:val="00552D68"/>
    <w:rsid w:val="00552DC1"/>
    <w:rsid w:val="00552E88"/>
    <w:rsid w:val="0055357A"/>
    <w:rsid w:val="00553D42"/>
    <w:rsid w:val="00553D73"/>
    <w:rsid w:val="00553EE9"/>
    <w:rsid w:val="00553F69"/>
    <w:rsid w:val="00554DB8"/>
    <w:rsid w:val="00555102"/>
    <w:rsid w:val="005551E5"/>
    <w:rsid w:val="00556297"/>
    <w:rsid w:val="005564F1"/>
    <w:rsid w:val="00556C97"/>
    <w:rsid w:val="00556F2C"/>
    <w:rsid w:val="00557B01"/>
    <w:rsid w:val="00557FC7"/>
    <w:rsid w:val="00560D93"/>
    <w:rsid w:val="005611B8"/>
    <w:rsid w:val="00561282"/>
    <w:rsid w:val="005613B5"/>
    <w:rsid w:val="0056172C"/>
    <w:rsid w:val="00561B5E"/>
    <w:rsid w:val="00561C63"/>
    <w:rsid w:val="00562099"/>
    <w:rsid w:val="00562355"/>
    <w:rsid w:val="00562818"/>
    <w:rsid w:val="005631B3"/>
    <w:rsid w:val="00563432"/>
    <w:rsid w:val="00563491"/>
    <w:rsid w:val="005637CF"/>
    <w:rsid w:val="005638D7"/>
    <w:rsid w:val="005640B0"/>
    <w:rsid w:val="005640FA"/>
    <w:rsid w:val="005645C3"/>
    <w:rsid w:val="00565003"/>
    <w:rsid w:val="005652E6"/>
    <w:rsid w:val="00565448"/>
    <w:rsid w:val="0056597F"/>
    <w:rsid w:val="0056604F"/>
    <w:rsid w:val="0056609F"/>
    <w:rsid w:val="00566ED4"/>
    <w:rsid w:val="00567088"/>
    <w:rsid w:val="00567B23"/>
    <w:rsid w:val="00567C7F"/>
    <w:rsid w:val="00567D24"/>
    <w:rsid w:val="00567F95"/>
    <w:rsid w:val="00570100"/>
    <w:rsid w:val="00570595"/>
    <w:rsid w:val="00570A53"/>
    <w:rsid w:val="00570DD0"/>
    <w:rsid w:val="005711BC"/>
    <w:rsid w:val="00571685"/>
    <w:rsid w:val="00571977"/>
    <w:rsid w:val="00572053"/>
    <w:rsid w:val="0057266D"/>
    <w:rsid w:val="00572ED0"/>
    <w:rsid w:val="0057301A"/>
    <w:rsid w:val="005731AB"/>
    <w:rsid w:val="00573885"/>
    <w:rsid w:val="00573E1E"/>
    <w:rsid w:val="00573ED1"/>
    <w:rsid w:val="00573F00"/>
    <w:rsid w:val="0057508F"/>
    <w:rsid w:val="00575587"/>
    <w:rsid w:val="0057558D"/>
    <w:rsid w:val="005756D3"/>
    <w:rsid w:val="00575847"/>
    <w:rsid w:val="00576AF1"/>
    <w:rsid w:val="00576B6F"/>
    <w:rsid w:val="00576D8C"/>
    <w:rsid w:val="005771A6"/>
    <w:rsid w:val="0057738B"/>
    <w:rsid w:val="005775BB"/>
    <w:rsid w:val="00577EC3"/>
    <w:rsid w:val="005803F5"/>
    <w:rsid w:val="00580784"/>
    <w:rsid w:val="00580A7F"/>
    <w:rsid w:val="00580CB5"/>
    <w:rsid w:val="00580CC2"/>
    <w:rsid w:val="0058101A"/>
    <w:rsid w:val="005811E2"/>
    <w:rsid w:val="00581405"/>
    <w:rsid w:val="0058144B"/>
    <w:rsid w:val="0058202A"/>
    <w:rsid w:val="005823B4"/>
    <w:rsid w:val="00582417"/>
    <w:rsid w:val="005825D7"/>
    <w:rsid w:val="00582AED"/>
    <w:rsid w:val="00583D2D"/>
    <w:rsid w:val="00584024"/>
    <w:rsid w:val="005841E6"/>
    <w:rsid w:val="00584544"/>
    <w:rsid w:val="00584DA7"/>
    <w:rsid w:val="00584FC7"/>
    <w:rsid w:val="005851F0"/>
    <w:rsid w:val="0058531B"/>
    <w:rsid w:val="00585D0C"/>
    <w:rsid w:val="00585E0D"/>
    <w:rsid w:val="00585EF3"/>
    <w:rsid w:val="005862DB"/>
    <w:rsid w:val="00586489"/>
    <w:rsid w:val="00586A06"/>
    <w:rsid w:val="00587F45"/>
    <w:rsid w:val="0059000A"/>
    <w:rsid w:val="00590055"/>
    <w:rsid w:val="00590C18"/>
    <w:rsid w:val="005910B0"/>
    <w:rsid w:val="005911FC"/>
    <w:rsid w:val="00591296"/>
    <w:rsid w:val="005914C3"/>
    <w:rsid w:val="00591B82"/>
    <w:rsid w:val="00591FBC"/>
    <w:rsid w:val="005923A2"/>
    <w:rsid w:val="0059249D"/>
    <w:rsid w:val="00592A62"/>
    <w:rsid w:val="0059344D"/>
    <w:rsid w:val="00593E4E"/>
    <w:rsid w:val="005949DA"/>
    <w:rsid w:val="00594B13"/>
    <w:rsid w:val="00594B1C"/>
    <w:rsid w:val="005952E1"/>
    <w:rsid w:val="00595495"/>
    <w:rsid w:val="00596700"/>
    <w:rsid w:val="00596814"/>
    <w:rsid w:val="00596F06"/>
    <w:rsid w:val="00597548"/>
    <w:rsid w:val="00597AA8"/>
    <w:rsid w:val="005A0526"/>
    <w:rsid w:val="005A07C7"/>
    <w:rsid w:val="005A0F5E"/>
    <w:rsid w:val="005A1104"/>
    <w:rsid w:val="005A11A3"/>
    <w:rsid w:val="005A11CE"/>
    <w:rsid w:val="005A1CA2"/>
    <w:rsid w:val="005A1E25"/>
    <w:rsid w:val="005A1E8D"/>
    <w:rsid w:val="005A20AE"/>
    <w:rsid w:val="005A243D"/>
    <w:rsid w:val="005A2507"/>
    <w:rsid w:val="005A25F2"/>
    <w:rsid w:val="005A26C7"/>
    <w:rsid w:val="005A2B19"/>
    <w:rsid w:val="005A2DCC"/>
    <w:rsid w:val="005A2E9B"/>
    <w:rsid w:val="005A3148"/>
    <w:rsid w:val="005A37DE"/>
    <w:rsid w:val="005A3B58"/>
    <w:rsid w:val="005A449C"/>
    <w:rsid w:val="005A451F"/>
    <w:rsid w:val="005A48C1"/>
    <w:rsid w:val="005A4E81"/>
    <w:rsid w:val="005A4EAA"/>
    <w:rsid w:val="005A5091"/>
    <w:rsid w:val="005A5770"/>
    <w:rsid w:val="005A584D"/>
    <w:rsid w:val="005A5851"/>
    <w:rsid w:val="005A6F81"/>
    <w:rsid w:val="005A7197"/>
    <w:rsid w:val="005A727E"/>
    <w:rsid w:val="005A7572"/>
    <w:rsid w:val="005A7A88"/>
    <w:rsid w:val="005A7C2A"/>
    <w:rsid w:val="005A7CB3"/>
    <w:rsid w:val="005A7CBE"/>
    <w:rsid w:val="005A7E9E"/>
    <w:rsid w:val="005B0070"/>
    <w:rsid w:val="005B075F"/>
    <w:rsid w:val="005B1974"/>
    <w:rsid w:val="005B1BF8"/>
    <w:rsid w:val="005B21DC"/>
    <w:rsid w:val="005B2349"/>
    <w:rsid w:val="005B244F"/>
    <w:rsid w:val="005B281E"/>
    <w:rsid w:val="005B2CB2"/>
    <w:rsid w:val="005B2FA0"/>
    <w:rsid w:val="005B308C"/>
    <w:rsid w:val="005B31B1"/>
    <w:rsid w:val="005B4168"/>
    <w:rsid w:val="005B463D"/>
    <w:rsid w:val="005B4730"/>
    <w:rsid w:val="005B4E0D"/>
    <w:rsid w:val="005B4E7F"/>
    <w:rsid w:val="005B5202"/>
    <w:rsid w:val="005B5491"/>
    <w:rsid w:val="005B5F78"/>
    <w:rsid w:val="005B6BF0"/>
    <w:rsid w:val="005B6BF8"/>
    <w:rsid w:val="005B6F6D"/>
    <w:rsid w:val="005B6FC4"/>
    <w:rsid w:val="005B6FF2"/>
    <w:rsid w:val="005B7279"/>
    <w:rsid w:val="005B72BF"/>
    <w:rsid w:val="005B7D8B"/>
    <w:rsid w:val="005B7F69"/>
    <w:rsid w:val="005C00B2"/>
    <w:rsid w:val="005C0144"/>
    <w:rsid w:val="005C0579"/>
    <w:rsid w:val="005C0793"/>
    <w:rsid w:val="005C07D6"/>
    <w:rsid w:val="005C0A68"/>
    <w:rsid w:val="005C0B70"/>
    <w:rsid w:val="005C0BF6"/>
    <w:rsid w:val="005C1006"/>
    <w:rsid w:val="005C1206"/>
    <w:rsid w:val="005C148E"/>
    <w:rsid w:val="005C171C"/>
    <w:rsid w:val="005C1942"/>
    <w:rsid w:val="005C1B46"/>
    <w:rsid w:val="005C22C1"/>
    <w:rsid w:val="005C246F"/>
    <w:rsid w:val="005C25CE"/>
    <w:rsid w:val="005C2EEE"/>
    <w:rsid w:val="005C3399"/>
    <w:rsid w:val="005C448D"/>
    <w:rsid w:val="005C451F"/>
    <w:rsid w:val="005C45C9"/>
    <w:rsid w:val="005C488A"/>
    <w:rsid w:val="005C4BAB"/>
    <w:rsid w:val="005C4CB6"/>
    <w:rsid w:val="005C4CBE"/>
    <w:rsid w:val="005C4F65"/>
    <w:rsid w:val="005C5208"/>
    <w:rsid w:val="005C5410"/>
    <w:rsid w:val="005C55F1"/>
    <w:rsid w:val="005C5BDB"/>
    <w:rsid w:val="005C61BC"/>
    <w:rsid w:val="005C6495"/>
    <w:rsid w:val="005C73E0"/>
    <w:rsid w:val="005C7BFA"/>
    <w:rsid w:val="005D05BF"/>
    <w:rsid w:val="005D0793"/>
    <w:rsid w:val="005D0A52"/>
    <w:rsid w:val="005D0B46"/>
    <w:rsid w:val="005D0B6C"/>
    <w:rsid w:val="005D0E3E"/>
    <w:rsid w:val="005D1339"/>
    <w:rsid w:val="005D143A"/>
    <w:rsid w:val="005D1520"/>
    <w:rsid w:val="005D152E"/>
    <w:rsid w:val="005D1716"/>
    <w:rsid w:val="005D1784"/>
    <w:rsid w:val="005D18B4"/>
    <w:rsid w:val="005D1A07"/>
    <w:rsid w:val="005D1E79"/>
    <w:rsid w:val="005D21D4"/>
    <w:rsid w:val="005D2285"/>
    <w:rsid w:val="005D274B"/>
    <w:rsid w:val="005D27DF"/>
    <w:rsid w:val="005D2823"/>
    <w:rsid w:val="005D2C48"/>
    <w:rsid w:val="005D31C3"/>
    <w:rsid w:val="005D33CB"/>
    <w:rsid w:val="005D38AA"/>
    <w:rsid w:val="005D3B96"/>
    <w:rsid w:val="005D488E"/>
    <w:rsid w:val="005D49BF"/>
    <w:rsid w:val="005D4C6A"/>
    <w:rsid w:val="005D4D9E"/>
    <w:rsid w:val="005D5D23"/>
    <w:rsid w:val="005D64E8"/>
    <w:rsid w:val="005D6780"/>
    <w:rsid w:val="005D67AC"/>
    <w:rsid w:val="005D69AC"/>
    <w:rsid w:val="005D6D07"/>
    <w:rsid w:val="005D7193"/>
    <w:rsid w:val="005D7370"/>
    <w:rsid w:val="005D7C94"/>
    <w:rsid w:val="005D7ED7"/>
    <w:rsid w:val="005D7FCD"/>
    <w:rsid w:val="005E00DC"/>
    <w:rsid w:val="005E0309"/>
    <w:rsid w:val="005E0333"/>
    <w:rsid w:val="005E0380"/>
    <w:rsid w:val="005E0688"/>
    <w:rsid w:val="005E07DA"/>
    <w:rsid w:val="005E0A80"/>
    <w:rsid w:val="005E0B48"/>
    <w:rsid w:val="005E0F09"/>
    <w:rsid w:val="005E1244"/>
    <w:rsid w:val="005E1457"/>
    <w:rsid w:val="005E145D"/>
    <w:rsid w:val="005E1527"/>
    <w:rsid w:val="005E18DF"/>
    <w:rsid w:val="005E1CFF"/>
    <w:rsid w:val="005E2426"/>
    <w:rsid w:val="005E279D"/>
    <w:rsid w:val="005E2AAC"/>
    <w:rsid w:val="005E3644"/>
    <w:rsid w:val="005E379E"/>
    <w:rsid w:val="005E3878"/>
    <w:rsid w:val="005E39BD"/>
    <w:rsid w:val="005E3FEC"/>
    <w:rsid w:val="005E43B8"/>
    <w:rsid w:val="005E4405"/>
    <w:rsid w:val="005E4847"/>
    <w:rsid w:val="005E4D19"/>
    <w:rsid w:val="005E50D7"/>
    <w:rsid w:val="005E5277"/>
    <w:rsid w:val="005E5CD2"/>
    <w:rsid w:val="005E5D9D"/>
    <w:rsid w:val="005E628F"/>
    <w:rsid w:val="005E6806"/>
    <w:rsid w:val="005E6954"/>
    <w:rsid w:val="005E6BE0"/>
    <w:rsid w:val="005E754F"/>
    <w:rsid w:val="005F00F6"/>
    <w:rsid w:val="005F038B"/>
    <w:rsid w:val="005F0455"/>
    <w:rsid w:val="005F0850"/>
    <w:rsid w:val="005F0A68"/>
    <w:rsid w:val="005F0CEC"/>
    <w:rsid w:val="005F0D08"/>
    <w:rsid w:val="005F0E3A"/>
    <w:rsid w:val="005F1137"/>
    <w:rsid w:val="005F118B"/>
    <w:rsid w:val="005F1C3D"/>
    <w:rsid w:val="005F1D89"/>
    <w:rsid w:val="005F1DC6"/>
    <w:rsid w:val="005F218F"/>
    <w:rsid w:val="005F22E9"/>
    <w:rsid w:val="005F2F79"/>
    <w:rsid w:val="005F40AE"/>
    <w:rsid w:val="005F4D20"/>
    <w:rsid w:val="005F56A8"/>
    <w:rsid w:val="005F5C54"/>
    <w:rsid w:val="005F5ED1"/>
    <w:rsid w:val="005F6196"/>
    <w:rsid w:val="005F66DB"/>
    <w:rsid w:val="005F68F8"/>
    <w:rsid w:val="005F6CEC"/>
    <w:rsid w:val="005F6E81"/>
    <w:rsid w:val="005F78FC"/>
    <w:rsid w:val="005F79FC"/>
    <w:rsid w:val="005F7AEA"/>
    <w:rsid w:val="005F7BDF"/>
    <w:rsid w:val="00600800"/>
    <w:rsid w:val="0060085C"/>
    <w:rsid w:val="00600C4C"/>
    <w:rsid w:val="00600D63"/>
    <w:rsid w:val="00600E3E"/>
    <w:rsid w:val="00600EA4"/>
    <w:rsid w:val="00600FD4"/>
    <w:rsid w:val="006022CB"/>
    <w:rsid w:val="006023E8"/>
    <w:rsid w:val="0060248E"/>
    <w:rsid w:val="00602654"/>
    <w:rsid w:val="00602A26"/>
    <w:rsid w:val="0060371A"/>
    <w:rsid w:val="00603C78"/>
    <w:rsid w:val="00604624"/>
    <w:rsid w:val="00604E3C"/>
    <w:rsid w:val="00605E42"/>
    <w:rsid w:val="00606150"/>
    <w:rsid w:val="00606301"/>
    <w:rsid w:val="00606815"/>
    <w:rsid w:val="00606AC3"/>
    <w:rsid w:val="006075D6"/>
    <w:rsid w:val="00607653"/>
    <w:rsid w:val="00607971"/>
    <w:rsid w:val="006106B2"/>
    <w:rsid w:val="00610A1A"/>
    <w:rsid w:val="00610C60"/>
    <w:rsid w:val="00611156"/>
    <w:rsid w:val="00611253"/>
    <w:rsid w:val="006113B5"/>
    <w:rsid w:val="0061140C"/>
    <w:rsid w:val="00611451"/>
    <w:rsid w:val="00611489"/>
    <w:rsid w:val="00611528"/>
    <w:rsid w:val="00611558"/>
    <w:rsid w:val="00611B04"/>
    <w:rsid w:val="0061203D"/>
    <w:rsid w:val="006123B5"/>
    <w:rsid w:val="00612C32"/>
    <w:rsid w:val="00612F86"/>
    <w:rsid w:val="006131C0"/>
    <w:rsid w:val="00613A66"/>
    <w:rsid w:val="0061415A"/>
    <w:rsid w:val="0061428F"/>
    <w:rsid w:val="00614305"/>
    <w:rsid w:val="00614612"/>
    <w:rsid w:val="006148D2"/>
    <w:rsid w:val="00614E09"/>
    <w:rsid w:val="00614F59"/>
    <w:rsid w:val="006159E6"/>
    <w:rsid w:val="00615E6B"/>
    <w:rsid w:val="006164C5"/>
    <w:rsid w:val="00616A1A"/>
    <w:rsid w:val="006171CE"/>
    <w:rsid w:val="006172A3"/>
    <w:rsid w:val="0061730F"/>
    <w:rsid w:val="0061780D"/>
    <w:rsid w:val="00617F55"/>
    <w:rsid w:val="006203E1"/>
    <w:rsid w:val="006205DC"/>
    <w:rsid w:val="006206CF"/>
    <w:rsid w:val="00620BDF"/>
    <w:rsid w:val="00620FCC"/>
    <w:rsid w:val="00621362"/>
    <w:rsid w:val="0062196B"/>
    <w:rsid w:val="00621AB3"/>
    <w:rsid w:val="0062224A"/>
    <w:rsid w:val="00622860"/>
    <w:rsid w:val="00622B89"/>
    <w:rsid w:val="00622EDB"/>
    <w:rsid w:val="006236A5"/>
    <w:rsid w:val="00623BDD"/>
    <w:rsid w:val="00624042"/>
    <w:rsid w:val="00624170"/>
    <w:rsid w:val="006241BD"/>
    <w:rsid w:val="00624384"/>
    <w:rsid w:val="006246A6"/>
    <w:rsid w:val="00624977"/>
    <w:rsid w:val="0062497D"/>
    <w:rsid w:val="006249B9"/>
    <w:rsid w:val="00624C90"/>
    <w:rsid w:val="00624CD4"/>
    <w:rsid w:val="0062513D"/>
    <w:rsid w:val="0062532B"/>
    <w:rsid w:val="00625497"/>
    <w:rsid w:val="006256CB"/>
    <w:rsid w:val="0062575E"/>
    <w:rsid w:val="006257EF"/>
    <w:rsid w:val="00625A17"/>
    <w:rsid w:val="00626093"/>
    <w:rsid w:val="00626433"/>
    <w:rsid w:val="0062650F"/>
    <w:rsid w:val="00626ABD"/>
    <w:rsid w:val="00626E68"/>
    <w:rsid w:val="00626EAA"/>
    <w:rsid w:val="00627517"/>
    <w:rsid w:val="0062790D"/>
    <w:rsid w:val="00627977"/>
    <w:rsid w:val="00627A7E"/>
    <w:rsid w:val="00627D58"/>
    <w:rsid w:val="00627D98"/>
    <w:rsid w:val="00630B96"/>
    <w:rsid w:val="006318BA"/>
    <w:rsid w:val="00631A44"/>
    <w:rsid w:val="00631BCC"/>
    <w:rsid w:val="00631C05"/>
    <w:rsid w:val="00631DF9"/>
    <w:rsid w:val="00632790"/>
    <w:rsid w:val="00632926"/>
    <w:rsid w:val="006329FC"/>
    <w:rsid w:val="00632C9B"/>
    <w:rsid w:val="006330B6"/>
    <w:rsid w:val="0063312C"/>
    <w:rsid w:val="006344A4"/>
    <w:rsid w:val="00634515"/>
    <w:rsid w:val="00634A05"/>
    <w:rsid w:val="00634E21"/>
    <w:rsid w:val="00634FD2"/>
    <w:rsid w:val="00635476"/>
    <w:rsid w:val="00635CC1"/>
    <w:rsid w:val="00635D50"/>
    <w:rsid w:val="00636152"/>
    <w:rsid w:val="0063671B"/>
    <w:rsid w:val="0063692F"/>
    <w:rsid w:val="00637634"/>
    <w:rsid w:val="00637FE5"/>
    <w:rsid w:val="006400BC"/>
    <w:rsid w:val="006400BD"/>
    <w:rsid w:val="00640857"/>
    <w:rsid w:val="0064093A"/>
    <w:rsid w:val="00640961"/>
    <w:rsid w:val="00640A50"/>
    <w:rsid w:val="00640FA7"/>
    <w:rsid w:val="0064117F"/>
    <w:rsid w:val="00641295"/>
    <w:rsid w:val="006413F3"/>
    <w:rsid w:val="006414D1"/>
    <w:rsid w:val="00641C4B"/>
    <w:rsid w:val="00641D87"/>
    <w:rsid w:val="00642546"/>
    <w:rsid w:val="0064279F"/>
    <w:rsid w:val="006427B4"/>
    <w:rsid w:val="00642865"/>
    <w:rsid w:val="006432D8"/>
    <w:rsid w:val="00643572"/>
    <w:rsid w:val="0064364E"/>
    <w:rsid w:val="0064374F"/>
    <w:rsid w:val="00643914"/>
    <w:rsid w:val="00643B79"/>
    <w:rsid w:val="00643C2C"/>
    <w:rsid w:val="006443D5"/>
    <w:rsid w:val="006445B3"/>
    <w:rsid w:val="00644808"/>
    <w:rsid w:val="0064500E"/>
    <w:rsid w:val="00645D4C"/>
    <w:rsid w:val="00645DD9"/>
    <w:rsid w:val="0064623D"/>
    <w:rsid w:val="006473A1"/>
    <w:rsid w:val="006478A7"/>
    <w:rsid w:val="00647D26"/>
    <w:rsid w:val="0065089C"/>
    <w:rsid w:val="00650A36"/>
    <w:rsid w:val="00650C04"/>
    <w:rsid w:val="00651324"/>
    <w:rsid w:val="006515AE"/>
    <w:rsid w:val="006518C7"/>
    <w:rsid w:val="006519F7"/>
    <w:rsid w:val="00652A84"/>
    <w:rsid w:val="00652AF5"/>
    <w:rsid w:val="006531D6"/>
    <w:rsid w:val="006534C7"/>
    <w:rsid w:val="00653909"/>
    <w:rsid w:val="00654A03"/>
    <w:rsid w:val="00654A51"/>
    <w:rsid w:val="006553B9"/>
    <w:rsid w:val="00655B0E"/>
    <w:rsid w:val="00655BA8"/>
    <w:rsid w:val="00655D9D"/>
    <w:rsid w:val="00656321"/>
    <w:rsid w:val="00656477"/>
    <w:rsid w:val="00656E0A"/>
    <w:rsid w:val="00657359"/>
    <w:rsid w:val="00657497"/>
    <w:rsid w:val="00657586"/>
    <w:rsid w:val="006575B9"/>
    <w:rsid w:val="006611AB"/>
    <w:rsid w:val="006613C4"/>
    <w:rsid w:val="00661426"/>
    <w:rsid w:val="00661437"/>
    <w:rsid w:val="0066148F"/>
    <w:rsid w:val="0066150F"/>
    <w:rsid w:val="00661844"/>
    <w:rsid w:val="006618D0"/>
    <w:rsid w:val="00661B94"/>
    <w:rsid w:val="0066227F"/>
    <w:rsid w:val="0066252C"/>
    <w:rsid w:val="00662542"/>
    <w:rsid w:val="00662601"/>
    <w:rsid w:val="006629AB"/>
    <w:rsid w:val="00662B20"/>
    <w:rsid w:val="00662B2E"/>
    <w:rsid w:val="00662DA3"/>
    <w:rsid w:val="006630F6"/>
    <w:rsid w:val="006632E4"/>
    <w:rsid w:val="00663B52"/>
    <w:rsid w:val="00663CD0"/>
    <w:rsid w:val="00664028"/>
    <w:rsid w:val="0066432C"/>
    <w:rsid w:val="0066463B"/>
    <w:rsid w:val="006648BC"/>
    <w:rsid w:val="00664E04"/>
    <w:rsid w:val="00664FE6"/>
    <w:rsid w:val="006652F9"/>
    <w:rsid w:val="0066564F"/>
    <w:rsid w:val="00665C0D"/>
    <w:rsid w:val="00665F1B"/>
    <w:rsid w:val="00666146"/>
    <w:rsid w:val="00667131"/>
    <w:rsid w:val="006673C8"/>
    <w:rsid w:val="006678ED"/>
    <w:rsid w:val="006679D7"/>
    <w:rsid w:val="00670455"/>
    <w:rsid w:val="0067077C"/>
    <w:rsid w:val="006709E2"/>
    <w:rsid w:val="0067122A"/>
    <w:rsid w:val="00671523"/>
    <w:rsid w:val="006717D1"/>
    <w:rsid w:val="00671D02"/>
    <w:rsid w:val="00672789"/>
    <w:rsid w:val="00672942"/>
    <w:rsid w:val="006729EC"/>
    <w:rsid w:val="00672F13"/>
    <w:rsid w:val="00673113"/>
    <w:rsid w:val="006735C6"/>
    <w:rsid w:val="006735F4"/>
    <w:rsid w:val="00673601"/>
    <w:rsid w:val="0067380E"/>
    <w:rsid w:val="00673A51"/>
    <w:rsid w:val="00673D6D"/>
    <w:rsid w:val="00674305"/>
    <w:rsid w:val="0067447F"/>
    <w:rsid w:val="006744BF"/>
    <w:rsid w:val="006747DD"/>
    <w:rsid w:val="006749F8"/>
    <w:rsid w:val="00674D35"/>
    <w:rsid w:val="00675289"/>
    <w:rsid w:val="006753DB"/>
    <w:rsid w:val="0067555A"/>
    <w:rsid w:val="00675611"/>
    <w:rsid w:val="006756F1"/>
    <w:rsid w:val="00675A94"/>
    <w:rsid w:val="00675D91"/>
    <w:rsid w:val="00676397"/>
    <w:rsid w:val="006765BA"/>
    <w:rsid w:val="00676B3D"/>
    <w:rsid w:val="006771B8"/>
    <w:rsid w:val="00677471"/>
    <w:rsid w:val="00677601"/>
    <w:rsid w:val="00677A60"/>
    <w:rsid w:val="00677BC9"/>
    <w:rsid w:val="00677CF1"/>
    <w:rsid w:val="00677EDD"/>
    <w:rsid w:val="006803FE"/>
    <w:rsid w:val="006804F1"/>
    <w:rsid w:val="0068076C"/>
    <w:rsid w:val="00680998"/>
    <w:rsid w:val="00680B9F"/>
    <w:rsid w:val="00680DF2"/>
    <w:rsid w:val="006810FB"/>
    <w:rsid w:val="0068124C"/>
    <w:rsid w:val="00681709"/>
    <w:rsid w:val="00681D82"/>
    <w:rsid w:val="006823DB"/>
    <w:rsid w:val="00682668"/>
    <w:rsid w:val="00682718"/>
    <w:rsid w:val="006831FB"/>
    <w:rsid w:val="00683F8E"/>
    <w:rsid w:val="006840C3"/>
    <w:rsid w:val="006845D7"/>
    <w:rsid w:val="00684979"/>
    <w:rsid w:val="00684ACE"/>
    <w:rsid w:val="00684C41"/>
    <w:rsid w:val="00684E58"/>
    <w:rsid w:val="00685E62"/>
    <w:rsid w:val="006863A7"/>
    <w:rsid w:val="006864B7"/>
    <w:rsid w:val="0068665F"/>
    <w:rsid w:val="00686A64"/>
    <w:rsid w:val="00686C33"/>
    <w:rsid w:val="006870A5"/>
    <w:rsid w:val="00687290"/>
    <w:rsid w:val="00687804"/>
    <w:rsid w:val="006900CF"/>
    <w:rsid w:val="006902D8"/>
    <w:rsid w:val="0069048A"/>
    <w:rsid w:val="00690497"/>
    <w:rsid w:val="00690CC8"/>
    <w:rsid w:val="00690CDB"/>
    <w:rsid w:val="00690F00"/>
    <w:rsid w:val="006919B7"/>
    <w:rsid w:val="00691A7F"/>
    <w:rsid w:val="00691DFC"/>
    <w:rsid w:val="00691E5F"/>
    <w:rsid w:val="0069208D"/>
    <w:rsid w:val="006921BD"/>
    <w:rsid w:val="00692238"/>
    <w:rsid w:val="00692432"/>
    <w:rsid w:val="006924B0"/>
    <w:rsid w:val="006929B5"/>
    <w:rsid w:val="00692A1D"/>
    <w:rsid w:val="006932A6"/>
    <w:rsid w:val="00693450"/>
    <w:rsid w:val="00693516"/>
    <w:rsid w:val="006935DF"/>
    <w:rsid w:val="00693B35"/>
    <w:rsid w:val="00694127"/>
    <w:rsid w:val="006942DD"/>
    <w:rsid w:val="00694C2A"/>
    <w:rsid w:val="00694D50"/>
    <w:rsid w:val="00694E55"/>
    <w:rsid w:val="0069505C"/>
    <w:rsid w:val="00695348"/>
    <w:rsid w:val="00695C0E"/>
    <w:rsid w:val="0069613E"/>
    <w:rsid w:val="006962DD"/>
    <w:rsid w:val="006965B8"/>
    <w:rsid w:val="00696CC5"/>
    <w:rsid w:val="006972A8"/>
    <w:rsid w:val="0069763D"/>
    <w:rsid w:val="00697700"/>
    <w:rsid w:val="00697E0A"/>
    <w:rsid w:val="006A0251"/>
    <w:rsid w:val="006A02A3"/>
    <w:rsid w:val="006A0D19"/>
    <w:rsid w:val="006A1017"/>
    <w:rsid w:val="006A17F4"/>
    <w:rsid w:val="006A1A04"/>
    <w:rsid w:val="006A1CD7"/>
    <w:rsid w:val="006A1F89"/>
    <w:rsid w:val="006A27E2"/>
    <w:rsid w:val="006A297F"/>
    <w:rsid w:val="006A2AE1"/>
    <w:rsid w:val="006A34DF"/>
    <w:rsid w:val="006A3892"/>
    <w:rsid w:val="006A4204"/>
    <w:rsid w:val="006A4800"/>
    <w:rsid w:val="006A5F20"/>
    <w:rsid w:val="006A60EF"/>
    <w:rsid w:val="006A6A95"/>
    <w:rsid w:val="006A6EFB"/>
    <w:rsid w:val="006A70A9"/>
    <w:rsid w:val="006A7302"/>
    <w:rsid w:val="006A75F8"/>
    <w:rsid w:val="006A782E"/>
    <w:rsid w:val="006A7ACC"/>
    <w:rsid w:val="006B072C"/>
    <w:rsid w:val="006B0D39"/>
    <w:rsid w:val="006B0FA8"/>
    <w:rsid w:val="006B1082"/>
    <w:rsid w:val="006B16FB"/>
    <w:rsid w:val="006B17CD"/>
    <w:rsid w:val="006B1A3C"/>
    <w:rsid w:val="006B1DEA"/>
    <w:rsid w:val="006B2301"/>
    <w:rsid w:val="006B2479"/>
    <w:rsid w:val="006B2587"/>
    <w:rsid w:val="006B2964"/>
    <w:rsid w:val="006B2DC2"/>
    <w:rsid w:val="006B32CD"/>
    <w:rsid w:val="006B34EF"/>
    <w:rsid w:val="006B3693"/>
    <w:rsid w:val="006B391B"/>
    <w:rsid w:val="006B3C84"/>
    <w:rsid w:val="006B3DB3"/>
    <w:rsid w:val="006B441B"/>
    <w:rsid w:val="006B44E3"/>
    <w:rsid w:val="006B45C2"/>
    <w:rsid w:val="006B4A0C"/>
    <w:rsid w:val="006B4E55"/>
    <w:rsid w:val="006B4E90"/>
    <w:rsid w:val="006B5121"/>
    <w:rsid w:val="006B5BD7"/>
    <w:rsid w:val="006B62C2"/>
    <w:rsid w:val="006B6A86"/>
    <w:rsid w:val="006B6B1A"/>
    <w:rsid w:val="006B6D92"/>
    <w:rsid w:val="006B72C1"/>
    <w:rsid w:val="006B7357"/>
    <w:rsid w:val="006B7AB4"/>
    <w:rsid w:val="006B7D3D"/>
    <w:rsid w:val="006C06B0"/>
    <w:rsid w:val="006C0B8D"/>
    <w:rsid w:val="006C0DA3"/>
    <w:rsid w:val="006C18C9"/>
    <w:rsid w:val="006C1A43"/>
    <w:rsid w:val="006C1B1F"/>
    <w:rsid w:val="006C2002"/>
    <w:rsid w:val="006C2158"/>
    <w:rsid w:val="006C2433"/>
    <w:rsid w:val="006C291D"/>
    <w:rsid w:val="006C2B36"/>
    <w:rsid w:val="006C2C4F"/>
    <w:rsid w:val="006C3621"/>
    <w:rsid w:val="006C3CBE"/>
    <w:rsid w:val="006C40AD"/>
    <w:rsid w:val="006C4102"/>
    <w:rsid w:val="006C436D"/>
    <w:rsid w:val="006C48EF"/>
    <w:rsid w:val="006C4E89"/>
    <w:rsid w:val="006C58DB"/>
    <w:rsid w:val="006C5978"/>
    <w:rsid w:val="006C59F1"/>
    <w:rsid w:val="006C604F"/>
    <w:rsid w:val="006C66FA"/>
    <w:rsid w:val="006C6932"/>
    <w:rsid w:val="006C69B8"/>
    <w:rsid w:val="006C6F41"/>
    <w:rsid w:val="006C75CF"/>
    <w:rsid w:val="006C77A2"/>
    <w:rsid w:val="006C7A71"/>
    <w:rsid w:val="006C7CB7"/>
    <w:rsid w:val="006D04BD"/>
    <w:rsid w:val="006D061E"/>
    <w:rsid w:val="006D0A5F"/>
    <w:rsid w:val="006D0DE9"/>
    <w:rsid w:val="006D11FE"/>
    <w:rsid w:val="006D1390"/>
    <w:rsid w:val="006D1546"/>
    <w:rsid w:val="006D194F"/>
    <w:rsid w:val="006D1976"/>
    <w:rsid w:val="006D1F44"/>
    <w:rsid w:val="006D20AA"/>
    <w:rsid w:val="006D285E"/>
    <w:rsid w:val="006D2878"/>
    <w:rsid w:val="006D3016"/>
    <w:rsid w:val="006D308E"/>
    <w:rsid w:val="006D30B4"/>
    <w:rsid w:val="006D33E3"/>
    <w:rsid w:val="006D37E6"/>
    <w:rsid w:val="006D3904"/>
    <w:rsid w:val="006D3B49"/>
    <w:rsid w:val="006D3E80"/>
    <w:rsid w:val="006D4172"/>
    <w:rsid w:val="006D4535"/>
    <w:rsid w:val="006D4556"/>
    <w:rsid w:val="006D459D"/>
    <w:rsid w:val="006D4C28"/>
    <w:rsid w:val="006D4DA3"/>
    <w:rsid w:val="006D4FC6"/>
    <w:rsid w:val="006D52D3"/>
    <w:rsid w:val="006D54A0"/>
    <w:rsid w:val="006D5A88"/>
    <w:rsid w:val="006D7619"/>
    <w:rsid w:val="006D7637"/>
    <w:rsid w:val="006D7691"/>
    <w:rsid w:val="006E0363"/>
    <w:rsid w:val="006E043E"/>
    <w:rsid w:val="006E0590"/>
    <w:rsid w:val="006E05C5"/>
    <w:rsid w:val="006E09ED"/>
    <w:rsid w:val="006E0AF7"/>
    <w:rsid w:val="006E0D97"/>
    <w:rsid w:val="006E0E30"/>
    <w:rsid w:val="006E1536"/>
    <w:rsid w:val="006E2088"/>
    <w:rsid w:val="006E23A6"/>
    <w:rsid w:val="006E27BF"/>
    <w:rsid w:val="006E2E27"/>
    <w:rsid w:val="006E2E6C"/>
    <w:rsid w:val="006E31AF"/>
    <w:rsid w:val="006E3390"/>
    <w:rsid w:val="006E3815"/>
    <w:rsid w:val="006E3B6F"/>
    <w:rsid w:val="006E4288"/>
    <w:rsid w:val="006E4F69"/>
    <w:rsid w:val="006E5150"/>
    <w:rsid w:val="006E5B4D"/>
    <w:rsid w:val="006E5CA3"/>
    <w:rsid w:val="006E6003"/>
    <w:rsid w:val="006E612E"/>
    <w:rsid w:val="006E632B"/>
    <w:rsid w:val="006E6843"/>
    <w:rsid w:val="006E6C37"/>
    <w:rsid w:val="006E6CF7"/>
    <w:rsid w:val="006E7000"/>
    <w:rsid w:val="006E7508"/>
    <w:rsid w:val="006E7C67"/>
    <w:rsid w:val="006E7F46"/>
    <w:rsid w:val="006F0259"/>
    <w:rsid w:val="006F0285"/>
    <w:rsid w:val="006F058D"/>
    <w:rsid w:val="006F0688"/>
    <w:rsid w:val="006F15E9"/>
    <w:rsid w:val="006F1A59"/>
    <w:rsid w:val="006F2140"/>
    <w:rsid w:val="006F275C"/>
    <w:rsid w:val="006F2877"/>
    <w:rsid w:val="006F2A6A"/>
    <w:rsid w:val="006F2F61"/>
    <w:rsid w:val="006F34BA"/>
    <w:rsid w:val="006F36EF"/>
    <w:rsid w:val="006F47DA"/>
    <w:rsid w:val="006F4A94"/>
    <w:rsid w:val="006F4BDF"/>
    <w:rsid w:val="006F51AC"/>
    <w:rsid w:val="006F54A3"/>
    <w:rsid w:val="006F54C8"/>
    <w:rsid w:val="006F5A07"/>
    <w:rsid w:val="006F5ADB"/>
    <w:rsid w:val="006F6355"/>
    <w:rsid w:val="006F644F"/>
    <w:rsid w:val="006F6A0C"/>
    <w:rsid w:val="006F6EB9"/>
    <w:rsid w:val="006F6F6D"/>
    <w:rsid w:val="006F7A60"/>
    <w:rsid w:val="006F7C7C"/>
    <w:rsid w:val="0070004C"/>
    <w:rsid w:val="00700899"/>
    <w:rsid w:val="0070094A"/>
    <w:rsid w:val="00700AF0"/>
    <w:rsid w:val="00700BB4"/>
    <w:rsid w:val="00700BDA"/>
    <w:rsid w:val="00700D36"/>
    <w:rsid w:val="00700F7A"/>
    <w:rsid w:val="0070110C"/>
    <w:rsid w:val="00701298"/>
    <w:rsid w:val="007018D3"/>
    <w:rsid w:val="00701AE0"/>
    <w:rsid w:val="00701BE1"/>
    <w:rsid w:val="00701E37"/>
    <w:rsid w:val="00702036"/>
    <w:rsid w:val="007020F2"/>
    <w:rsid w:val="007021CE"/>
    <w:rsid w:val="0070229C"/>
    <w:rsid w:val="007029A1"/>
    <w:rsid w:val="0070370C"/>
    <w:rsid w:val="007046FF"/>
    <w:rsid w:val="00704916"/>
    <w:rsid w:val="00704E5E"/>
    <w:rsid w:val="00704FA2"/>
    <w:rsid w:val="00705BBB"/>
    <w:rsid w:val="0070636B"/>
    <w:rsid w:val="007066B3"/>
    <w:rsid w:val="00706AF3"/>
    <w:rsid w:val="0070700E"/>
    <w:rsid w:val="0070705C"/>
    <w:rsid w:val="00707284"/>
    <w:rsid w:val="007076C6"/>
    <w:rsid w:val="0070775E"/>
    <w:rsid w:val="00710633"/>
    <w:rsid w:val="007109F4"/>
    <w:rsid w:val="00710C4C"/>
    <w:rsid w:val="00710C71"/>
    <w:rsid w:val="007115C8"/>
    <w:rsid w:val="007115CF"/>
    <w:rsid w:val="00711825"/>
    <w:rsid w:val="00711AE5"/>
    <w:rsid w:val="00711F82"/>
    <w:rsid w:val="00711FEF"/>
    <w:rsid w:val="007121A6"/>
    <w:rsid w:val="0071224A"/>
    <w:rsid w:val="00712A92"/>
    <w:rsid w:val="00712B63"/>
    <w:rsid w:val="00713775"/>
    <w:rsid w:val="00713B6D"/>
    <w:rsid w:val="00713F57"/>
    <w:rsid w:val="007140B6"/>
    <w:rsid w:val="007142FC"/>
    <w:rsid w:val="0071439E"/>
    <w:rsid w:val="00714817"/>
    <w:rsid w:val="00714DD3"/>
    <w:rsid w:val="00714F51"/>
    <w:rsid w:val="007153CD"/>
    <w:rsid w:val="00715665"/>
    <w:rsid w:val="00715723"/>
    <w:rsid w:val="007157EF"/>
    <w:rsid w:val="00715A23"/>
    <w:rsid w:val="00715F46"/>
    <w:rsid w:val="007167F2"/>
    <w:rsid w:val="007168F0"/>
    <w:rsid w:val="00716A75"/>
    <w:rsid w:val="00716B38"/>
    <w:rsid w:val="00716C29"/>
    <w:rsid w:val="00716D89"/>
    <w:rsid w:val="00716E1A"/>
    <w:rsid w:val="00717436"/>
    <w:rsid w:val="0071775C"/>
    <w:rsid w:val="00717939"/>
    <w:rsid w:val="0072027E"/>
    <w:rsid w:val="0072090F"/>
    <w:rsid w:val="00720DE0"/>
    <w:rsid w:val="00720EA7"/>
    <w:rsid w:val="00720F7A"/>
    <w:rsid w:val="00721053"/>
    <w:rsid w:val="0072106C"/>
    <w:rsid w:val="007211EF"/>
    <w:rsid w:val="00721202"/>
    <w:rsid w:val="00721570"/>
    <w:rsid w:val="007217C7"/>
    <w:rsid w:val="0072191A"/>
    <w:rsid w:val="00721AC1"/>
    <w:rsid w:val="00721DCC"/>
    <w:rsid w:val="00722243"/>
    <w:rsid w:val="00722261"/>
    <w:rsid w:val="00722805"/>
    <w:rsid w:val="00722D1F"/>
    <w:rsid w:val="007230B8"/>
    <w:rsid w:val="00723468"/>
    <w:rsid w:val="0072397C"/>
    <w:rsid w:val="00723F2E"/>
    <w:rsid w:val="007245CC"/>
    <w:rsid w:val="00724699"/>
    <w:rsid w:val="007246C1"/>
    <w:rsid w:val="007246E9"/>
    <w:rsid w:val="00724C95"/>
    <w:rsid w:val="0072545E"/>
    <w:rsid w:val="007254D5"/>
    <w:rsid w:val="00725598"/>
    <w:rsid w:val="00725B57"/>
    <w:rsid w:val="00725BD5"/>
    <w:rsid w:val="00726109"/>
    <w:rsid w:val="00726A03"/>
    <w:rsid w:val="00726D7F"/>
    <w:rsid w:val="00727064"/>
    <w:rsid w:val="00727260"/>
    <w:rsid w:val="007279A0"/>
    <w:rsid w:val="00727CC4"/>
    <w:rsid w:val="007301EF"/>
    <w:rsid w:val="00730F20"/>
    <w:rsid w:val="00731435"/>
    <w:rsid w:val="007318AB"/>
    <w:rsid w:val="00731AA1"/>
    <w:rsid w:val="00731C9B"/>
    <w:rsid w:val="00731EFF"/>
    <w:rsid w:val="00732131"/>
    <w:rsid w:val="007323AE"/>
    <w:rsid w:val="00732483"/>
    <w:rsid w:val="007324B6"/>
    <w:rsid w:val="00732664"/>
    <w:rsid w:val="0073284D"/>
    <w:rsid w:val="00732C66"/>
    <w:rsid w:val="00733633"/>
    <w:rsid w:val="0073367E"/>
    <w:rsid w:val="00733C18"/>
    <w:rsid w:val="007341BB"/>
    <w:rsid w:val="007342CE"/>
    <w:rsid w:val="007348D9"/>
    <w:rsid w:val="00734BF7"/>
    <w:rsid w:val="00734DD3"/>
    <w:rsid w:val="00735C7F"/>
    <w:rsid w:val="00735D51"/>
    <w:rsid w:val="00735E99"/>
    <w:rsid w:val="007360BD"/>
    <w:rsid w:val="00736507"/>
    <w:rsid w:val="007369B2"/>
    <w:rsid w:val="00736BC3"/>
    <w:rsid w:val="00736E1D"/>
    <w:rsid w:val="0073743F"/>
    <w:rsid w:val="00737751"/>
    <w:rsid w:val="00740138"/>
    <w:rsid w:val="00740794"/>
    <w:rsid w:val="007407B8"/>
    <w:rsid w:val="00740D8E"/>
    <w:rsid w:val="00740D98"/>
    <w:rsid w:val="00740E72"/>
    <w:rsid w:val="00741037"/>
    <w:rsid w:val="00741948"/>
    <w:rsid w:val="00741BC0"/>
    <w:rsid w:val="00741D39"/>
    <w:rsid w:val="00741FA1"/>
    <w:rsid w:val="007422E1"/>
    <w:rsid w:val="00742B3A"/>
    <w:rsid w:val="00742CBD"/>
    <w:rsid w:val="00742E35"/>
    <w:rsid w:val="00742F04"/>
    <w:rsid w:val="007432BD"/>
    <w:rsid w:val="00743499"/>
    <w:rsid w:val="007439E5"/>
    <w:rsid w:val="007439F0"/>
    <w:rsid w:val="00743C33"/>
    <w:rsid w:val="00743E00"/>
    <w:rsid w:val="00744428"/>
    <w:rsid w:val="007451A6"/>
    <w:rsid w:val="0074523B"/>
    <w:rsid w:val="00745B61"/>
    <w:rsid w:val="00745D01"/>
    <w:rsid w:val="00746294"/>
    <w:rsid w:val="007462A3"/>
    <w:rsid w:val="007462AE"/>
    <w:rsid w:val="007463A7"/>
    <w:rsid w:val="007466CF"/>
    <w:rsid w:val="00746C8E"/>
    <w:rsid w:val="007471D7"/>
    <w:rsid w:val="0074722D"/>
    <w:rsid w:val="0074784A"/>
    <w:rsid w:val="00747C76"/>
    <w:rsid w:val="00747E96"/>
    <w:rsid w:val="00747EE0"/>
    <w:rsid w:val="0075029E"/>
    <w:rsid w:val="007504F0"/>
    <w:rsid w:val="007504FA"/>
    <w:rsid w:val="00750E95"/>
    <w:rsid w:val="00750F0B"/>
    <w:rsid w:val="00750F86"/>
    <w:rsid w:val="0075121A"/>
    <w:rsid w:val="00751237"/>
    <w:rsid w:val="0075185B"/>
    <w:rsid w:val="00751898"/>
    <w:rsid w:val="0075254D"/>
    <w:rsid w:val="007528DB"/>
    <w:rsid w:val="00752BC1"/>
    <w:rsid w:val="00752CF6"/>
    <w:rsid w:val="00753040"/>
    <w:rsid w:val="00753E4A"/>
    <w:rsid w:val="00753F20"/>
    <w:rsid w:val="00753FF1"/>
    <w:rsid w:val="00754F10"/>
    <w:rsid w:val="00754F17"/>
    <w:rsid w:val="00754FEB"/>
    <w:rsid w:val="00755060"/>
    <w:rsid w:val="007550D5"/>
    <w:rsid w:val="00755D61"/>
    <w:rsid w:val="00755ED7"/>
    <w:rsid w:val="00755F7F"/>
    <w:rsid w:val="007562C3"/>
    <w:rsid w:val="0075636D"/>
    <w:rsid w:val="0075684E"/>
    <w:rsid w:val="00756A69"/>
    <w:rsid w:val="00756E76"/>
    <w:rsid w:val="007574C1"/>
    <w:rsid w:val="00757B29"/>
    <w:rsid w:val="00757F99"/>
    <w:rsid w:val="00760B0E"/>
    <w:rsid w:val="00760CF5"/>
    <w:rsid w:val="007611F1"/>
    <w:rsid w:val="00761258"/>
    <w:rsid w:val="00761545"/>
    <w:rsid w:val="00762864"/>
    <w:rsid w:val="00762F8D"/>
    <w:rsid w:val="0076308A"/>
    <w:rsid w:val="007634ED"/>
    <w:rsid w:val="007637AA"/>
    <w:rsid w:val="0076389C"/>
    <w:rsid w:val="0076422E"/>
    <w:rsid w:val="00764972"/>
    <w:rsid w:val="00764982"/>
    <w:rsid w:val="00765341"/>
    <w:rsid w:val="00765B0D"/>
    <w:rsid w:val="00765D31"/>
    <w:rsid w:val="00765E93"/>
    <w:rsid w:val="007661F0"/>
    <w:rsid w:val="007665A9"/>
    <w:rsid w:val="0076685B"/>
    <w:rsid w:val="007668F1"/>
    <w:rsid w:val="00766AD1"/>
    <w:rsid w:val="00766F82"/>
    <w:rsid w:val="007670CE"/>
    <w:rsid w:val="007679EA"/>
    <w:rsid w:val="00767C09"/>
    <w:rsid w:val="00767DF7"/>
    <w:rsid w:val="0077016F"/>
    <w:rsid w:val="00770946"/>
    <w:rsid w:val="00770BA6"/>
    <w:rsid w:val="00770C2F"/>
    <w:rsid w:val="00770E9B"/>
    <w:rsid w:val="00771C26"/>
    <w:rsid w:val="007723CE"/>
    <w:rsid w:val="007727A0"/>
    <w:rsid w:val="00772AC9"/>
    <w:rsid w:val="0077300F"/>
    <w:rsid w:val="00773261"/>
    <w:rsid w:val="00773B11"/>
    <w:rsid w:val="00773E56"/>
    <w:rsid w:val="00773ECE"/>
    <w:rsid w:val="0077409D"/>
    <w:rsid w:val="007746F6"/>
    <w:rsid w:val="007750F9"/>
    <w:rsid w:val="00775A3C"/>
    <w:rsid w:val="00775CA4"/>
    <w:rsid w:val="00775F07"/>
    <w:rsid w:val="00775F10"/>
    <w:rsid w:val="00776F02"/>
    <w:rsid w:val="0077711E"/>
    <w:rsid w:val="0077734F"/>
    <w:rsid w:val="0077747E"/>
    <w:rsid w:val="007774F1"/>
    <w:rsid w:val="00777595"/>
    <w:rsid w:val="00777A1F"/>
    <w:rsid w:val="00777D16"/>
    <w:rsid w:val="00777D90"/>
    <w:rsid w:val="007800FC"/>
    <w:rsid w:val="00780307"/>
    <w:rsid w:val="007804DB"/>
    <w:rsid w:val="00780765"/>
    <w:rsid w:val="0078077C"/>
    <w:rsid w:val="0078095D"/>
    <w:rsid w:val="0078096E"/>
    <w:rsid w:val="007809CE"/>
    <w:rsid w:val="007815AB"/>
    <w:rsid w:val="0078287A"/>
    <w:rsid w:val="00782E2E"/>
    <w:rsid w:val="007833F6"/>
    <w:rsid w:val="00783426"/>
    <w:rsid w:val="007840EA"/>
    <w:rsid w:val="00784483"/>
    <w:rsid w:val="007846D3"/>
    <w:rsid w:val="00785FFC"/>
    <w:rsid w:val="007861F7"/>
    <w:rsid w:val="007865CF"/>
    <w:rsid w:val="00786A87"/>
    <w:rsid w:val="00787523"/>
    <w:rsid w:val="0078762E"/>
    <w:rsid w:val="00787940"/>
    <w:rsid w:val="00787BD6"/>
    <w:rsid w:val="00787C80"/>
    <w:rsid w:val="00787E1D"/>
    <w:rsid w:val="00787FAC"/>
    <w:rsid w:val="007903D7"/>
    <w:rsid w:val="00790468"/>
    <w:rsid w:val="00790A21"/>
    <w:rsid w:val="00790ADE"/>
    <w:rsid w:val="00790B70"/>
    <w:rsid w:val="00790B87"/>
    <w:rsid w:val="00790CD2"/>
    <w:rsid w:val="00790D6D"/>
    <w:rsid w:val="00790E3B"/>
    <w:rsid w:val="00791373"/>
    <w:rsid w:val="00791687"/>
    <w:rsid w:val="00791C24"/>
    <w:rsid w:val="00791D50"/>
    <w:rsid w:val="0079208E"/>
    <w:rsid w:val="007921E5"/>
    <w:rsid w:val="0079289D"/>
    <w:rsid w:val="00792DB2"/>
    <w:rsid w:val="0079302D"/>
    <w:rsid w:val="0079307E"/>
    <w:rsid w:val="00793593"/>
    <w:rsid w:val="007938A8"/>
    <w:rsid w:val="00793FC7"/>
    <w:rsid w:val="00794069"/>
    <w:rsid w:val="007945B5"/>
    <w:rsid w:val="007948BF"/>
    <w:rsid w:val="00794A6A"/>
    <w:rsid w:val="00794F9B"/>
    <w:rsid w:val="007950F5"/>
    <w:rsid w:val="00795A67"/>
    <w:rsid w:val="00795B2C"/>
    <w:rsid w:val="00796328"/>
    <w:rsid w:val="00796727"/>
    <w:rsid w:val="00797024"/>
    <w:rsid w:val="0079707A"/>
    <w:rsid w:val="007975A8"/>
    <w:rsid w:val="007A0517"/>
    <w:rsid w:val="007A06A0"/>
    <w:rsid w:val="007A0794"/>
    <w:rsid w:val="007A07ED"/>
    <w:rsid w:val="007A0AFE"/>
    <w:rsid w:val="007A164E"/>
    <w:rsid w:val="007A16DF"/>
    <w:rsid w:val="007A1969"/>
    <w:rsid w:val="007A1F14"/>
    <w:rsid w:val="007A1F6F"/>
    <w:rsid w:val="007A2035"/>
    <w:rsid w:val="007A22DB"/>
    <w:rsid w:val="007A240D"/>
    <w:rsid w:val="007A26E6"/>
    <w:rsid w:val="007A2C5B"/>
    <w:rsid w:val="007A2CD3"/>
    <w:rsid w:val="007A3BFA"/>
    <w:rsid w:val="007A3CED"/>
    <w:rsid w:val="007A400F"/>
    <w:rsid w:val="007A41E8"/>
    <w:rsid w:val="007A43AC"/>
    <w:rsid w:val="007A54E2"/>
    <w:rsid w:val="007A5B31"/>
    <w:rsid w:val="007A5EB8"/>
    <w:rsid w:val="007A6619"/>
    <w:rsid w:val="007A66F5"/>
    <w:rsid w:val="007A67CE"/>
    <w:rsid w:val="007A7624"/>
    <w:rsid w:val="007A7876"/>
    <w:rsid w:val="007A78AD"/>
    <w:rsid w:val="007A790C"/>
    <w:rsid w:val="007A7AB1"/>
    <w:rsid w:val="007B00C8"/>
    <w:rsid w:val="007B040A"/>
    <w:rsid w:val="007B0530"/>
    <w:rsid w:val="007B0F20"/>
    <w:rsid w:val="007B1636"/>
    <w:rsid w:val="007B186C"/>
    <w:rsid w:val="007B19C7"/>
    <w:rsid w:val="007B1D2C"/>
    <w:rsid w:val="007B1D5D"/>
    <w:rsid w:val="007B2639"/>
    <w:rsid w:val="007B2700"/>
    <w:rsid w:val="007B294E"/>
    <w:rsid w:val="007B2F43"/>
    <w:rsid w:val="007B387F"/>
    <w:rsid w:val="007B3C6C"/>
    <w:rsid w:val="007B3DD0"/>
    <w:rsid w:val="007B3FED"/>
    <w:rsid w:val="007B401D"/>
    <w:rsid w:val="007B44CD"/>
    <w:rsid w:val="007B44F9"/>
    <w:rsid w:val="007B45C9"/>
    <w:rsid w:val="007B4692"/>
    <w:rsid w:val="007B472C"/>
    <w:rsid w:val="007B4804"/>
    <w:rsid w:val="007B4B61"/>
    <w:rsid w:val="007B4BAD"/>
    <w:rsid w:val="007B5563"/>
    <w:rsid w:val="007B5685"/>
    <w:rsid w:val="007B56DA"/>
    <w:rsid w:val="007B59F2"/>
    <w:rsid w:val="007B5A8C"/>
    <w:rsid w:val="007B5CDF"/>
    <w:rsid w:val="007B65E8"/>
    <w:rsid w:val="007B66AC"/>
    <w:rsid w:val="007B6D96"/>
    <w:rsid w:val="007B7304"/>
    <w:rsid w:val="007B7E25"/>
    <w:rsid w:val="007B7EE2"/>
    <w:rsid w:val="007C03F2"/>
    <w:rsid w:val="007C0A01"/>
    <w:rsid w:val="007C0A31"/>
    <w:rsid w:val="007C0DFE"/>
    <w:rsid w:val="007C1241"/>
    <w:rsid w:val="007C1C85"/>
    <w:rsid w:val="007C1FD3"/>
    <w:rsid w:val="007C28F1"/>
    <w:rsid w:val="007C2BCC"/>
    <w:rsid w:val="007C2BE4"/>
    <w:rsid w:val="007C2BE8"/>
    <w:rsid w:val="007C361B"/>
    <w:rsid w:val="007C3F35"/>
    <w:rsid w:val="007C41BA"/>
    <w:rsid w:val="007C434B"/>
    <w:rsid w:val="007C47FE"/>
    <w:rsid w:val="007C486C"/>
    <w:rsid w:val="007C526E"/>
    <w:rsid w:val="007C52D7"/>
    <w:rsid w:val="007C5495"/>
    <w:rsid w:val="007C5752"/>
    <w:rsid w:val="007C65FE"/>
    <w:rsid w:val="007C67FE"/>
    <w:rsid w:val="007C6C59"/>
    <w:rsid w:val="007C6EB7"/>
    <w:rsid w:val="007C748A"/>
    <w:rsid w:val="007C7764"/>
    <w:rsid w:val="007C7853"/>
    <w:rsid w:val="007C788E"/>
    <w:rsid w:val="007C7CC6"/>
    <w:rsid w:val="007C7F2D"/>
    <w:rsid w:val="007D0153"/>
    <w:rsid w:val="007D05C9"/>
    <w:rsid w:val="007D0C79"/>
    <w:rsid w:val="007D0FC5"/>
    <w:rsid w:val="007D1633"/>
    <w:rsid w:val="007D1E52"/>
    <w:rsid w:val="007D1F43"/>
    <w:rsid w:val="007D21E4"/>
    <w:rsid w:val="007D2884"/>
    <w:rsid w:val="007D2B48"/>
    <w:rsid w:val="007D2D49"/>
    <w:rsid w:val="007D31EC"/>
    <w:rsid w:val="007D368D"/>
    <w:rsid w:val="007D38A3"/>
    <w:rsid w:val="007D3D7F"/>
    <w:rsid w:val="007D3E9F"/>
    <w:rsid w:val="007D40A3"/>
    <w:rsid w:val="007D44D4"/>
    <w:rsid w:val="007D450A"/>
    <w:rsid w:val="007D574D"/>
    <w:rsid w:val="007D5BBE"/>
    <w:rsid w:val="007D6D50"/>
    <w:rsid w:val="007D70F5"/>
    <w:rsid w:val="007D799C"/>
    <w:rsid w:val="007D7C40"/>
    <w:rsid w:val="007D7EA3"/>
    <w:rsid w:val="007E026B"/>
    <w:rsid w:val="007E0671"/>
    <w:rsid w:val="007E1175"/>
    <w:rsid w:val="007E18B1"/>
    <w:rsid w:val="007E1929"/>
    <w:rsid w:val="007E19C3"/>
    <w:rsid w:val="007E1A0D"/>
    <w:rsid w:val="007E1B17"/>
    <w:rsid w:val="007E204E"/>
    <w:rsid w:val="007E23D4"/>
    <w:rsid w:val="007E251F"/>
    <w:rsid w:val="007E2971"/>
    <w:rsid w:val="007E358D"/>
    <w:rsid w:val="007E3DD8"/>
    <w:rsid w:val="007E53BA"/>
    <w:rsid w:val="007E5844"/>
    <w:rsid w:val="007E599C"/>
    <w:rsid w:val="007E5EF1"/>
    <w:rsid w:val="007E60AD"/>
    <w:rsid w:val="007E7BDD"/>
    <w:rsid w:val="007E7C68"/>
    <w:rsid w:val="007F062E"/>
    <w:rsid w:val="007F0ACC"/>
    <w:rsid w:val="007F1687"/>
    <w:rsid w:val="007F1B3A"/>
    <w:rsid w:val="007F1CDE"/>
    <w:rsid w:val="007F2E97"/>
    <w:rsid w:val="007F341F"/>
    <w:rsid w:val="007F34E0"/>
    <w:rsid w:val="007F37B8"/>
    <w:rsid w:val="007F37B9"/>
    <w:rsid w:val="007F389F"/>
    <w:rsid w:val="007F3935"/>
    <w:rsid w:val="007F3BA4"/>
    <w:rsid w:val="007F3D1F"/>
    <w:rsid w:val="007F3F89"/>
    <w:rsid w:val="007F40CE"/>
    <w:rsid w:val="007F4126"/>
    <w:rsid w:val="007F42CC"/>
    <w:rsid w:val="007F4F5C"/>
    <w:rsid w:val="007F534F"/>
    <w:rsid w:val="007F5695"/>
    <w:rsid w:val="007F57A4"/>
    <w:rsid w:val="007F58E9"/>
    <w:rsid w:val="007F5951"/>
    <w:rsid w:val="007F5CD9"/>
    <w:rsid w:val="007F666C"/>
    <w:rsid w:val="007F711A"/>
    <w:rsid w:val="007F753D"/>
    <w:rsid w:val="007F7550"/>
    <w:rsid w:val="007F760A"/>
    <w:rsid w:val="007F76A0"/>
    <w:rsid w:val="007F790C"/>
    <w:rsid w:val="007F7A5A"/>
    <w:rsid w:val="007F7D15"/>
    <w:rsid w:val="007F7D2B"/>
    <w:rsid w:val="00800A95"/>
    <w:rsid w:val="00800ADC"/>
    <w:rsid w:val="0080160F"/>
    <w:rsid w:val="0080191B"/>
    <w:rsid w:val="00801FBD"/>
    <w:rsid w:val="0080274B"/>
    <w:rsid w:val="00802D7D"/>
    <w:rsid w:val="00802E06"/>
    <w:rsid w:val="00802ED0"/>
    <w:rsid w:val="0080308C"/>
    <w:rsid w:val="008030A9"/>
    <w:rsid w:val="00803112"/>
    <w:rsid w:val="00803285"/>
    <w:rsid w:val="00803611"/>
    <w:rsid w:val="00803D94"/>
    <w:rsid w:val="00803D97"/>
    <w:rsid w:val="00804C7D"/>
    <w:rsid w:val="00804DCA"/>
    <w:rsid w:val="00805C2D"/>
    <w:rsid w:val="00805E83"/>
    <w:rsid w:val="0080602B"/>
    <w:rsid w:val="008062EE"/>
    <w:rsid w:val="00807021"/>
    <w:rsid w:val="008070A3"/>
    <w:rsid w:val="0080774A"/>
    <w:rsid w:val="008077B5"/>
    <w:rsid w:val="00807976"/>
    <w:rsid w:val="00807B2B"/>
    <w:rsid w:val="00807EBA"/>
    <w:rsid w:val="00807F4C"/>
    <w:rsid w:val="00810577"/>
    <w:rsid w:val="00810C5C"/>
    <w:rsid w:val="00811080"/>
    <w:rsid w:val="008112DD"/>
    <w:rsid w:val="008114DC"/>
    <w:rsid w:val="008114EE"/>
    <w:rsid w:val="00811654"/>
    <w:rsid w:val="00811655"/>
    <w:rsid w:val="008118C0"/>
    <w:rsid w:val="00811EB5"/>
    <w:rsid w:val="008126F4"/>
    <w:rsid w:val="00812A04"/>
    <w:rsid w:val="00813AF9"/>
    <w:rsid w:val="00813CC1"/>
    <w:rsid w:val="00813FA5"/>
    <w:rsid w:val="0081589A"/>
    <w:rsid w:val="00815A2E"/>
    <w:rsid w:val="00815DE1"/>
    <w:rsid w:val="00815E92"/>
    <w:rsid w:val="00815FCD"/>
    <w:rsid w:val="008160E7"/>
    <w:rsid w:val="0081629F"/>
    <w:rsid w:val="008166D1"/>
    <w:rsid w:val="008169AB"/>
    <w:rsid w:val="00816E24"/>
    <w:rsid w:val="008174AB"/>
    <w:rsid w:val="00817B85"/>
    <w:rsid w:val="00817E36"/>
    <w:rsid w:val="00817FBD"/>
    <w:rsid w:val="00820204"/>
    <w:rsid w:val="008203BB"/>
    <w:rsid w:val="008204E2"/>
    <w:rsid w:val="0082054F"/>
    <w:rsid w:val="00820C21"/>
    <w:rsid w:val="00820FE4"/>
    <w:rsid w:val="0082125F"/>
    <w:rsid w:val="008212F3"/>
    <w:rsid w:val="00821728"/>
    <w:rsid w:val="00821AD4"/>
    <w:rsid w:val="00821B91"/>
    <w:rsid w:val="00821C1E"/>
    <w:rsid w:val="008221B3"/>
    <w:rsid w:val="0082271D"/>
    <w:rsid w:val="00822999"/>
    <w:rsid w:val="00822E0F"/>
    <w:rsid w:val="008232FF"/>
    <w:rsid w:val="00823719"/>
    <w:rsid w:val="00823834"/>
    <w:rsid w:val="00824552"/>
    <w:rsid w:val="0082456E"/>
    <w:rsid w:val="008245F7"/>
    <w:rsid w:val="00824A92"/>
    <w:rsid w:val="00824F38"/>
    <w:rsid w:val="008250B4"/>
    <w:rsid w:val="00825775"/>
    <w:rsid w:val="00825809"/>
    <w:rsid w:val="00825A53"/>
    <w:rsid w:val="00825BE0"/>
    <w:rsid w:val="00826098"/>
    <w:rsid w:val="00826104"/>
    <w:rsid w:val="0082693E"/>
    <w:rsid w:val="00826F9E"/>
    <w:rsid w:val="008277D9"/>
    <w:rsid w:val="00827AD8"/>
    <w:rsid w:val="00827CCB"/>
    <w:rsid w:val="008300B9"/>
    <w:rsid w:val="00830377"/>
    <w:rsid w:val="00830858"/>
    <w:rsid w:val="00830E53"/>
    <w:rsid w:val="00831468"/>
    <w:rsid w:val="008315C5"/>
    <w:rsid w:val="00831818"/>
    <w:rsid w:val="00831CA4"/>
    <w:rsid w:val="00832115"/>
    <w:rsid w:val="0083241C"/>
    <w:rsid w:val="008327C6"/>
    <w:rsid w:val="0083400F"/>
    <w:rsid w:val="00834698"/>
    <w:rsid w:val="008347AB"/>
    <w:rsid w:val="0083488B"/>
    <w:rsid w:val="008357AD"/>
    <w:rsid w:val="00835836"/>
    <w:rsid w:val="00835F3E"/>
    <w:rsid w:val="00836AF0"/>
    <w:rsid w:val="00836B45"/>
    <w:rsid w:val="00836CE0"/>
    <w:rsid w:val="00837342"/>
    <w:rsid w:val="008373B1"/>
    <w:rsid w:val="00837805"/>
    <w:rsid w:val="00837A60"/>
    <w:rsid w:val="0084011D"/>
    <w:rsid w:val="00840F18"/>
    <w:rsid w:val="008410A3"/>
    <w:rsid w:val="00841140"/>
    <w:rsid w:val="00842DA1"/>
    <w:rsid w:val="008433B7"/>
    <w:rsid w:val="008438E6"/>
    <w:rsid w:val="0084397C"/>
    <w:rsid w:val="00843DDE"/>
    <w:rsid w:val="00844205"/>
    <w:rsid w:val="008442C7"/>
    <w:rsid w:val="00844621"/>
    <w:rsid w:val="00844936"/>
    <w:rsid w:val="00844E5C"/>
    <w:rsid w:val="00844F06"/>
    <w:rsid w:val="00845408"/>
    <w:rsid w:val="00845787"/>
    <w:rsid w:val="00845961"/>
    <w:rsid w:val="008459AD"/>
    <w:rsid w:val="00845A38"/>
    <w:rsid w:val="00845C51"/>
    <w:rsid w:val="008465A3"/>
    <w:rsid w:val="0084661E"/>
    <w:rsid w:val="00846660"/>
    <w:rsid w:val="00846C24"/>
    <w:rsid w:val="00846F78"/>
    <w:rsid w:val="008470A4"/>
    <w:rsid w:val="0084720F"/>
    <w:rsid w:val="008478C9"/>
    <w:rsid w:val="008478D6"/>
    <w:rsid w:val="00847D45"/>
    <w:rsid w:val="00850107"/>
    <w:rsid w:val="0085070C"/>
    <w:rsid w:val="00850775"/>
    <w:rsid w:val="00850BB6"/>
    <w:rsid w:val="008512CC"/>
    <w:rsid w:val="008519FF"/>
    <w:rsid w:val="0085217E"/>
    <w:rsid w:val="00852763"/>
    <w:rsid w:val="0085387F"/>
    <w:rsid w:val="008538F7"/>
    <w:rsid w:val="00853A1E"/>
    <w:rsid w:val="0085417E"/>
    <w:rsid w:val="00854351"/>
    <w:rsid w:val="0085463B"/>
    <w:rsid w:val="00854670"/>
    <w:rsid w:val="00854BA2"/>
    <w:rsid w:val="00855260"/>
    <w:rsid w:val="00856336"/>
    <w:rsid w:val="008565CC"/>
    <w:rsid w:val="00856C76"/>
    <w:rsid w:val="00856EB6"/>
    <w:rsid w:val="008571DE"/>
    <w:rsid w:val="008576F7"/>
    <w:rsid w:val="00857DC8"/>
    <w:rsid w:val="00857FAE"/>
    <w:rsid w:val="00857FF7"/>
    <w:rsid w:val="00860137"/>
    <w:rsid w:val="0086062F"/>
    <w:rsid w:val="008607CB"/>
    <w:rsid w:val="00860BB7"/>
    <w:rsid w:val="008613B0"/>
    <w:rsid w:val="00861631"/>
    <w:rsid w:val="008624CD"/>
    <w:rsid w:val="00862577"/>
    <w:rsid w:val="00862D83"/>
    <w:rsid w:val="008630BF"/>
    <w:rsid w:val="008632C7"/>
    <w:rsid w:val="00863384"/>
    <w:rsid w:val="008633F3"/>
    <w:rsid w:val="008636BC"/>
    <w:rsid w:val="00863739"/>
    <w:rsid w:val="008637C1"/>
    <w:rsid w:val="00863A0F"/>
    <w:rsid w:val="00864767"/>
    <w:rsid w:val="00864A57"/>
    <w:rsid w:val="00864DCC"/>
    <w:rsid w:val="00864ED3"/>
    <w:rsid w:val="0086516C"/>
    <w:rsid w:val="0086529B"/>
    <w:rsid w:val="00865B65"/>
    <w:rsid w:val="00865B93"/>
    <w:rsid w:val="00865C5F"/>
    <w:rsid w:val="00866082"/>
    <w:rsid w:val="00866395"/>
    <w:rsid w:val="00866CBA"/>
    <w:rsid w:val="0086717A"/>
    <w:rsid w:val="00867DD3"/>
    <w:rsid w:val="008704DC"/>
    <w:rsid w:val="00871219"/>
    <w:rsid w:val="008717E9"/>
    <w:rsid w:val="00871835"/>
    <w:rsid w:val="00871AD2"/>
    <w:rsid w:val="00871C06"/>
    <w:rsid w:val="00871D12"/>
    <w:rsid w:val="008721AB"/>
    <w:rsid w:val="008723E4"/>
    <w:rsid w:val="008729F4"/>
    <w:rsid w:val="00872D0C"/>
    <w:rsid w:val="00872E31"/>
    <w:rsid w:val="0087300A"/>
    <w:rsid w:val="00873040"/>
    <w:rsid w:val="00873438"/>
    <w:rsid w:val="0087392D"/>
    <w:rsid w:val="00874370"/>
    <w:rsid w:val="0087465D"/>
    <w:rsid w:val="008752A1"/>
    <w:rsid w:val="008757CB"/>
    <w:rsid w:val="00875F38"/>
    <w:rsid w:val="00876ADD"/>
    <w:rsid w:val="00876DF7"/>
    <w:rsid w:val="00876E5A"/>
    <w:rsid w:val="00876E8E"/>
    <w:rsid w:val="0087713D"/>
    <w:rsid w:val="0087732F"/>
    <w:rsid w:val="0087757E"/>
    <w:rsid w:val="00877B1E"/>
    <w:rsid w:val="00877F09"/>
    <w:rsid w:val="008803AC"/>
    <w:rsid w:val="00880649"/>
    <w:rsid w:val="00880A30"/>
    <w:rsid w:val="00880BB4"/>
    <w:rsid w:val="00880C61"/>
    <w:rsid w:val="00880D0E"/>
    <w:rsid w:val="00881217"/>
    <w:rsid w:val="0088136F"/>
    <w:rsid w:val="0088188D"/>
    <w:rsid w:val="00882024"/>
    <w:rsid w:val="0088209D"/>
    <w:rsid w:val="0088209E"/>
    <w:rsid w:val="008824D9"/>
    <w:rsid w:val="008824EB"/>
    <w:rsid w:val="00882707"/>
    <w:rsid w:val="008829B3"/>
    <w:rsid w:val="00882D22"/>
    <w:rsid w:val="0088302C"/>
    <w:rsid w:val="0088339E"/>
    <w:rsid w:val="00883C3B"/>
    <w:rsid w:val="0088412D"/>
    <w:rsid w:val="0088432E"/>
    <w:rsid w:val="008845F4"/>
    <w:rsid w:val="00884A1D"/>
    <w:rsid w:val="00884C4D"/>
    <w:rsid w:val="00885388"/>
    <w:rsid w:val="008853C3"/>
    <w:rsid w:val="008856FC"/>
    <w:rsid w:val="00885B86"/>
    <w:rsid w:val="00886013"/>
    <w:rsid w:val="0088613A"/>
    <w:rsid w:val="00886275"/>
    <w:rsid w:val="008863D6"/>
    <w:rsid w:val="0088687B"/>
    <w:rsid w:val="0088696E"/>
    <w:rsid w:val="00886A6B"/>
    <w:rsid w:val="00886AF3"/>
    <w:rsid w:val="00886BE7"/>
    <w:rsid w:val="008875DF"/>
    <w:rsid w:val="00887623"/>
    <w:rsid w:val="0088794E"/>
    <w:rsid w:val="00887A00"/>
    <w:rsid w:val="00887A15"/>
    <w:rsid w:val="00887ED7"/>
    <w:rsid w:val="008900A1"/>
    <w:rsid w:val="00890144"/>
    <w:rsid w:val="008901D5"/>
    <w:rsid w:val="00890464"/>
    <w:rsid w:val="008904D5"/>
    <w:rsid w:val="008905AC"/>
    <w:rsid w:val="00891022"/>
    <w:rsid w:val="008910DB"/>
    <w:rsid w:val="00891602"/>
    <w:rsid w:val="008916BD"/>
    <w:rsid w:val="008917C5"/>
    <w:rsid w:val="00891842"/>
    <w:rsid w:val="0089213F"/>
    <w:rsid w:val="0089220B"/>
    <w:rsid w:val="00892502"/>
    <w:rsid w:val="008929CB"/>
    <w:rsid w:val="00892CFA"/>
    <w:rsid w:val="00892E3F"/>
    <w:rsid w:val="008933E3"/>
    <w:rsid w:val="008937EA"/>
    <w:rsid w:val="00893840"/>
    <w:rsid w:val="00893EC5"/>
    <w:rsid w:val="00893FB8"/>
    <w:rsid w:val="0089412B"/>
    <w:rsid w:val="00894823"/>
    <w:rsid w:val="00894A98"/>
    <w:rsid w:val="00894D96"/>
    <w:rsid w:val="00894D9A"/>
    <w:rsid w:val="00895123"/>
    <w:rsid w:val="00895F5F"/>
    <w:rsid w:val="00895FB1"/>
    <w:rsid w:val="00895FD1"/>
    <w:rsid w:val="008960AE"/>
    <w:rsid w:val="0089651A"/>
    <w:rsid w:val="0089668B"/>
    <w:rsid w:val="0089675B"/>
    <w:rsid w:val="00897398"/>
    <w:rsid w:val="00897613"/>
    <w:rsid w:val="00897DFF"/>
    <w:rsid w:val="008A0723"/>
    <w:rsid w:val="008A07B8"/>
    <w:rsid w:val="008A0963"/>
    <w:rsid w:val="008A0A77"/>
    <w:rsid w:val="008A175F"/>
    <w:rsid w:val="008A19BB"/>
    <w:rsid w:val="008A1A22"/>
    <w:rsid w:val="008A1CDB"/>
    <w:rsid w:val="008A1D77"/>
    <w:rsid w:val="008A217B"/>
    <w:rsid w:val="008A23FE"/>
    <w:rsid w:val="008A2587"/>
    <w:rsid w:val="008A274F"/>
    <w:rsid w:val="008A2874"/>
    <w:rsid w:val="008A2885"/>
    <w:rsid w:val="008A29B3"/>
    <w:rsid w:val="008A2A77"/>
    <w:rsid w:val="008A3567"/>
    <w:rsid w:val="008A3BD9"/>
    <w:rsid w:val="008A44A5"/>
    <w:rsid w:val="008A456E"/>
    <w:rsid w:val="008A45BD"/>
    <w:rsid w:val="008A47AE"/>
    <w:rsid w:val="008A4827"/>
    <w:rsid w:val="008A49A3"/>
    <w:rsid w:val="008A49D6"/>
    <w:rsid w:val="008A58C3"/>
    <w:rsid w:val="008A58CD"/>
    <w:rsid w:val="008A6FD8"/>
    <w:rsid w:val="008A7093"/>
    <w:rsid w:val="008A7150"/>
    <w:rsid w:val="008A73BE"/>
    <w:rsid w:val="008A7638"/>
    <w:rsid w:val="008A7B54"/>
    <w:rsid w:val="008A7D2D"/>
    <w:rsid w:val="008A7E74"/>
    <w:rsid w:val="008B0419"/>
    <w:rsid w:val="008B0AA6"/>
    <w:rsid w:val="008B0FCC"/>
    <w:rsid w:val="008B1ACA"/>
    <w:rsid w:val="008B234B"/>
    <w:rsid w:val="008B3533"/>
    <w:rsid w:val="008B3A9B"/>
    <w:rsid w:val="008B48AF"/>
    <w:rsid w:val="008B4A2B"/>
    <w:rsid w:val="008B5196"/>
    <w:rsid w:val="008B52B5"/>
    <w:rsid w:val="008B54E7"/>
    <w:rsid w:val="008B5507"/>
    <w:rsid w:val="008B5F70"/>
    <w:rsid w:val="008B66EC"/>
    <w:rsid w:val="008B68C0"/>
    <w:rsid w:val="008B71BA"/>
    <w:rsid w:val="008B770F"/>
    <w:rsid w:val="008C021C"/>
    <w:rsid w:val="008C100E"/>
    <w:rsid w:val="008C122A"/>
    <w:rsid w:val="008C1A7E"/>
    <w:rsid w:val="008C1BE2"/>
    <w:rsid w:val="008C2426"/>
    <w:rsid w:val="008C2464"/>
    <w:rsid w:val="008C25DC"/>
    <w:rsid w:val="008C27E9"/>
    <w:rsid w:val="008C33CC"/>
    <w:rsid w:val="008C3525"/>
    <w:rsid w:val="008C4209"/>
    <w:rsid w:val="008C44E9"/>
    <w:rsid w:val="008C47D2"/>
    <w:rsid w:val="008C48EF"/>
    <w:rsid w:val="008C4A50"/>
    <w:rsid w:val="008C4B6D"/>
    <w:rsid w:val="008C4BE2"/>
    <w:rsid w:val="008C4EEF"/>
    <w:rsid w:val="008C5052"/>
    <w:rsid w:val="008C513A"/>
    <w:rsid w:val="008C52C3"/>
    <w:rsid w:val="008C538E"/>
    <w:rsid w:val="008C53C3"/>
    <w:rsid w:val="008C565A"/>
    <w:rsid w:val="008C5747"/>
    <w:rsid w:val="008C592F"/>
    <w:rsid w:val="008C60F8"/>
    <w:rsid w:val="008C62C6"/>
    <w:rsid w:val="008C6513"/>
    <w:rsid w:val="008C65FD"/>
    <w:rsid w:val="008C66EE"/>
    <w:rsid w:val="008C6BDC"/>
    <w:rsid w:val="008C6BEE"/>
    <w:rsid w:val="008C72FC"/>
    <w:rsid w:val="008C7889"/>
    <w:rsid w:val="008D02BF"/>
    <w:rsid w:val="008D0368"/>
    <w:rsid w:val="008D04A6"/>
    <w:rsid w:val="008D0664"/>
    <w:rsid w:val="008D0AA9"/>
    <w:rsid w:val="008D0E1D"/>
    <w:rsid w:val="008D0FBC"/>
    <w:rsid w:val="008D1076"/>
    <w:rsid w:val="008D152B"/>
    <w:rsid w:val="008D1D97"/>
    <w:rsid w:val="008D1FB7"/>
    <w:rsid w:val="008D2B48"/>
    <w:rsid w:val="008D36AD"/>
    <w:rsid w:val="008D3EB0"/>
    <w:rsid w:val="008D4A7E"/>
    <w:rsid w:val="008D4B54"/>
    <w:rsid w:val="008D4F18"/>
    <w:rsid w:val="008D5576"/>
    <w:rsid w:val="008D627E"/>
    <w:rsid w:val="008D6486"/>
    <w:rsid w:val="008D64C7"/>
    <w:rsid w:val="008D67C9"/>
    <w:rsid w:val="008D6AFA"/>
    <w:rsid w:val="008D745F"/>
    <w:rsid w:val="008D768C"/>
    <w:rsid w:val="008D7A3C"/>
    <w:rsid w:val="008D7D73"/>
    <w:rsid w:val="008D7DB2"/>
    <w:rsid w:val="008E00D1"/>
    <w:rsid w:val="008E0E0D"/>
    <w:rsid w:val="008E11DF"/>
    <w:rsid w:val="008E16DC"/>
    <w:rsid w:val="008E1BCD"/>
    <w:rsid w:val="008E1C96"/>
    <w:rsid w:val="008E1CE2"/>
    <w:rsid w:val="008E1FAE"/>
    <w:rsid w:val="008E206B"/>
    <w:rsid w:val="008E219E"/>
    <w:rsid w:val="008E2626"/>
    <w:rsid w:val="008E2859"/>
    <w:rsid w:val="008E30B2"/>
    <w:rsid w:val="008E3158"/>
    <w:rsid w:val="008E3389"/>
    <w:rsid w:val="008E3428"/>
    <w:rsid w:val="008E3C2D"/>
    <w:rsid w:val="008E3F68"/>
    <w:rsid w:val="008E459E"/>
    <w:rsid w:val="008E4A30"/>
    <w:rsid w:val="008E4A83"/>
    <w:rsid w:val="008E5662"/>
    <w:rsid w:val="008E58CC"/>
    <w:rsid w:val="008E5C28"/>
    <w:rsid w:val="008E62A6"/>
    <w:rsid w:val="008E6605"/>
    <w:rsid w:val="008E6820"/>
    <w:rsid w:val="008E69F6"/>
    <w:rsid w:val="008E6A65"/>
    <w:rsid w:val="008E6B42"/>
    <w:rsid w:val="008E7204"/>
    <w:rsid w:val="008E7A93"/>
    <w:rsid w:val="008F0094"/>
    <w:rsid w:val="008F016B"/>
    <w:rsid w:val="008F0409"/>
    <w:rsid w:val="008F0D20"/>
    <w:rsid w:val="008F0D92"/>
    <w:rsid w:val="008F10EF"/>
    <w:rsid w:val="008F17B0"/>
    <w:rsid w:val="008F1D2B"/>
    <w:rsid w:val="008F244A"/>
    <w:rsid w:val="008F2452"/>
    <w:rsid w:val="008F268C"/>
    <w:rsid w:val="008F3993"/>
    <w:rsid w:val="008F4A34"/>
    <w:rsid w:val="008F4C03"/>
    <w:rsid w:val="008F50CC"/>
    <w:rsid w:val="008F5AE4"/>
    <w:rsid w:val="008F5CCD"/>
    <w:rsid w:val="008F5E6D"/>
    <w:rsid w:val="008F5EA0"/>
    <w:rsid w:val="008F6291"/>
    <w:rsid w:val="008F6867"/>
    <w:rsid w:val="008F6EB0"/>
    <w:rsid w:val="008F6EFA"/>
    <w:rsid w:val="008F70AB"/>
    <w:rsid w:val="008F7279"/>
    <w:rsid w:val="008F751D"/>
    <w:rsid w:val="008F769B"/>
    <w:rsid w:val="008F7F7E"/>
    <w:rsid w:val="00900324"/>
    <w:rsid w:val="009003E4"/>
    <w:rsid w:val="00901BD4"/>
    <w:rsid w:val="00901DB3"/>
    <w:rsid w:val="009020A4"/>
    <w:rsid w:val="009024A9"/>
    <w:rsid w:val="00902533"/>
    <w:rsid w:val="009025B3"/>
    <w:rsid w:val="009025FF"/>
    <w:rsid w:val="00902951"/>
    <w:rsid w:val="00903412"/>
    <w:rsid w:val="0090341A"/>
    <w:rsid w:val="009041FA"/>
    <w:rsid w:val="00904518"/>
    <w:rsid w:val="0090464F"/>
    <w:rsid w:val="0090476C"/>
    <w:rsid w:val="009056D4"/>
    <w:rsid w:val="0090578C"/>
    <w:rsid w:val="009059FF"/>
    <w:rsid w:val="00905D9A"/>
    <w:rsid w:val="00905F22"/>
    <w:rsid w:val="00905FF7"/>
    <w:rsid w:val="009060B6"/>
    <w:rsid w:val="00906215"/>
    <w:rsid w:val="00906247"/>
    <w:rsid w:val="00906831"/>
    <w:rsid w:val="009071C4"/>
    <w:rsid w:val="0090757F"/>
    <w:rsid w:val="00907838"/>
    <w:rsid w:val="0090786C"/>
    <w:rsid w:val="009104F2"/>
    <w:rsid w:val="009105A0"/>
    <w:rsid w:val="0091083B"/>
    <w:rsid w:val="00910C4D"/>
    <w:rsid w:val="009111EE"/>
    <w:rsid w:val="009114AC"/>
    <w:rsid w:val="00911CC5"/>
    <w:rsid w:val="00912955"/>
    <w:rsid w:val="00912A09"/>
    <w:rsid w:val="0091361D"/>
    <w:rsid w:val="009138C6"/>
    <w:rsid w:val="00913B3B"/>
    <w:rsid w:val="00914241"/>
    <w:rsid w:val="00914534"/>
    <w:rsid w:val="00914D2A"/>
    <w:rsid w:val="0091502B"/>
    <w:rsid w:val="00915104"/>
    <w:rsid w:val="009158AD"/>
    <w:rsid w:val="00915D50"/>
    <w:rsid w:val="00916135"/>
    <w:rsid w:val="0091637C"/>
    <w:rsid w:val="009167E9"/>
    <w:rsid w:val="00916A22"/>
    <w:rsid w:val="00916B8C"/>
    <w:rsid w:val="00916DB8"/>
    <w:rsid w:val="00916E8A"/>
    <w:rsid w:val="00916EAF"/>
    <w:rsid w:val="00917C92"/>
    <w:rsid w:val="009202AB"/>
    <w:rsid w:val="00920677"/>
    <w:rsid w:val="009209EE"/>
    <w:rsid w:val="00920BF0"/>
    <w:rsid w:val="00920C82"/>
    <w:rsid w:val="00920D0D"/>
    <w:rsid w:val="00921102"/>
    <w:rsid w:val="00921541"/>
    <w:rsid w:val="00921B30"/>
    <w:rsid w:val="009221F5"/>
    <w:rsid w:val="00922472"/>
    <w:rsid w:val="00922C42"/>
    <w:rsid w:val="00922C5B"/>
    <w:rsid w:val="00922CB5"/>
    <w:rsid w:val="0092386E"/>
    <w:rsid w:val="0092399D"/>
    <w:rsid w:val="00923EE0"/>
    <w:rsid w:val="0092466E"/>
    <w:rsid w:val="009246E5"/>
    <w:rsid w:val="00924740"/>
    <w:rsid w:val="00924D20"/>
    <w:rsid w:val="00924F99"/>
    <w:rsid w:val="009253F1"/>
    <w:rsid w:val="009259B7"/>
    <w:rsid w:val="0092660A"/>
    <w:rsid w:val="00926B68"/>
    <w:rsid w:val="00926D2B"/>
    <w:rsid w:val="00927368"/>
    <w:rsid w:val="0092750B"/>
    <w:rsid w:val="0092771C"/>
    <w:rsid w:val="00927726"/>
    <w:rsid w:val="00927C8F"/>
    <w:rsid w:val="00927D10"/>
    <w:rsid w:val="009300A0"/>
    <w:rsid w:val="00930308"/>
    <w:rsid w:val="00930458"/>
    <w:rsid w:val="0093077E"/>
    <w:rsid w:val="00930F5A"/>
    <w:rsid w:val="009310A8"/>
    <w:rsid w:val="00931224"/>
    <w:rsid w:val="009314AF"/>
    <w:rsid w:val="00931716"/>
    <w:rsid w:val="009317C1"/>
    <w:rsid w:val="0093194D"/>
    <w:rsid w:val="009319F9"/>
    <w:rsid w:val="00931B1E"/>
    <w:rsid w:val="00931ED6"/>
    <w:rsid w:val="00932699"/>
    <w:rsid w:val="00932A89"/>
    <w:rsid w:val="00932AE7"/>
    <w:rsid w:val="00932B5E"/>
    <w:rsid w:val="00932EAB"/>
    <w:rsid w:val="0093346E"/>
    <w:rsid w:val="0093374C"/>
    <w:rsid w:val="00933AFD"/>
    <w:rsid w:val="00933E1F"/>
    <w:rsid w:val="00934132"/>
    <w:rsid w:val="009344B2"/>
    <w:rsid w:val="00934A11"/>
    <w:rsid w:val="00934ACC"/>
    <w:rsid w:val="00934ACD"/>
    <w:rsid w:val="00934BD2"/>
    <w:rsid w:val="00935464"/>
    <w:rsid w:val="00935874"/>
    <w:rsid w:val="00935D91"/>
    <w:rsid w:val="00936118"/>
    <w:rsid w:val="009361BF"/>
    <w:rsid w:val="00936A6F"/>
    <w:rsid w:val="00936D41"/>
    <w:rsid w:val="00937279"/>
    <w:rsid w:val="00937680"/>
    <w:rsid w:val="00937759"/>
    <w:rsid w:val="00937A64"/>
    <w:rsid w:val="009400B9"/>
    <w:rsid w:val="0094083B"/>
    <w:rsid w:val="00940A01"/>
    <w:rsid w:val="00941438"/>
    <w:rsid w:val="00941848"/>
    <w:rsid w:val="00941DDB"/>
    <w:rsid w:val="009423B8"/>
    <w:rsid w:val="00942507"/>
    <w:rsid w:val="00942BCB"/>
    <w:rsid w:val="00943118"/>
    <w:rsid w:val="00943191"/>
    <w:rsid w:val="00943B84"/>
    <w:rsid w:val="00944273"/>
    <w:rsid w:val="009443D0"/>
    <w:rsid w:val="00944B8D"/>
    <w:rsid w:val="00944E6C"/>
    <w:rsid w:val="00944E83"/>
    <w:rsid w:val="00944F9B"/>
    <w:rsid w:val="00945308"/>
    <w:rsid w:val="009457F0"/>
    <w:rsid w:val="00945807"/>
    <w:rsid w:val="00945A7B"/>
    <w:rsid w:val="00945DF6"/>
    <w:rsid w:val="0094623D"/>
    <w:rsid w:val="009462EC"/>
    <w:rsid w:val="009477CB"/>
    <w:rsid w:val="00947C7E"/>
    <w:rsid w:val="009512B1"/>
    <w:rsid w:val="009517B5"/>
    <w:rsid w:val="00951BC3"/>
    <w:rsid w:val="00951CA8"/>
    <w:rsid w:val="00951EC2"/>
    <w:rsid w:val="00951F22"/>
    <w:rsid w:val="0095217E"/>
    <w:rsid w:val="00952312"/>
    <w:rsid w:val="0095232B"/>
    <w:rsid w:val="009527AD"/>
    <w:rsid w:val="00952FBC"/>
    <w:rsid w:val="009535BC"/>
    <w:rsid w:val="00953760"/>
    <w:rsid w:val="0095390A"/>
    <w:rsid w:val="00953B42"/>
    <w:rsid w:val="00953E27"/>
    <w:rsid w:val="00953EA5"/>
    <w:rsid w:val="00953ED7"/>
    <w:rsid w:val="009553EB"/>
    <w:rsid w:val="009554A7"/>
    <w:rsid w:val="00955866"/>
    <w:rsid w:val="009562C4"/>
    <w:rsid w:val="00956301"/>
    <w:rsid w:val="009568AF"/>
    <w:rsid w:val="00956A07"/>
    <w:rsid w:val="00956E8D"/>
    <w:rsid w:val="00957077"/>
    <w:rsid w:val="00957352"/>
    <w:rsid w:val="00957589"/>
    <w:rsid w:val="00957622"/>
    <w:rsid w:val="0095788A"/>
    <w:rsid w:val="009579DC"/>
    <w:rsid w:val="00957FFC"/>
    <w:rsid w:val="00960681"/>
    <w:rsid w:val="00960833"/>
    <w:rsid w:val="00960DB1"/>
    <w:rsid w:val="00961939"/>
    <w:rsid w:val="00961BAB"/>
    <w:rsid w:val="00961EDD"/>
    <w:rsid w:val="00961F66"/>
    <w:rsid w:val="00962151"/>
    <w:rsid w:val="0096220D"/>
    <w:rsid w:val="00962305"/>
    <w:rsid w:val="00962A0F"/>
    <w:rsid w:val="009632B0"/>
    <w:rsid w:val="00963331"/>
    <w:rsid w:val="009634B7"/>
    <w:rsid w:val="00963642"/>
    <w:rsid w:val="00964266"/>
    <w:rsid w:val="009647EB"/>
    <w:rsid w:val="00964AE8"/>
    <w:rsid w:val="0096562A"/>
    <w:rsid w:val="00965F39"/>
    <w:rsid w:val="00966006"/>
    <w:rsid w:val="00966092"/>
    <w:rsid w:val="009665A8"/>
    <w:rsid w:val="009665F1"/>
    <w:rsid w:val="009666F3"/>
    <w:rsid w:val="0096686A"/>
    <w:rsid w:val="00966A01"/>
    <w:rsid w:val="00966A49"/>
    <w:rsid w:val="00966A81"/>
    <w:rsid w:val="00967042"/>
    <w:rsid w:val="009670EF"/>
    <w:rsid w:val="00967B70"/>
    <w:rsid w:val="00967C6F"/>
    <w:rsid w:val="00967F71"/>
    <w:rsid w:val="009708FA"/>
    <w:rsid w:val="009713C1"/>
    <w:rsid w:val="009714C6"/>
    <w:rsid w:val="00971520"/>
    <w:rsid w:val="00971875"/>
    <w:rsid w:val="00971C63"/>
    <w:rsid w:val="00973909"/>
    <w:rsid w:val="00973F76"/>
    <w:rsid w:val="0097411F"/>
    <w:rsid w:val="00974AE2"/>
    <w:rsid w:val="00974DFE"/>
    <w:rsid w:val="00975033"/>
    <w:rsid w:val="0097511F"/>
    <w:rsid w:val="009752CD"/>
    <w:rsid w:val="00975312"/>
    <w:rsid w:val="0097550B"/>
    <w:rsid w:val="00975FAD"/>
    <w:rsid w:val="009774CF"/>
    <w:rsid w:val="00977699"/>
    <w:rsid w:val="0097781D"/>
    <w:rsid w:val="0097786E"/>
    <w:rsid w:val="009802F4"/>
    <w:rsid w:val="0098060C"/>
    <w:rsid w:val="00980832"/>
    <w:rsid w:val="00980BA1"/>
    <w:rsid w:val="0098130E"/>
    <w:rsid w:val="0098138C"/>
    <w:rsid w:val="009815FE"/>
    <w:rsid w:val="00981652"/>
    <w:rsid w:val="00981705"/>
    <w:rsid w:val="009817FB"/>
    <w:rsid w:val="00981E17"/>
    <w:rsid w:val="00982175"/>
    <w:rsid w:val="0098249E"/>
    <w:rsid w:val="009824A1"/>
    <w:rsid w:val="009825DD"/>
    <w:rsid w:val="00982EFE"/>
    <w:rsid w:val="0098340E"/>
    <w:rsid w:val="00983AD9"/>
    <w:rsid w:val="00984183"/>
    <w:rsid w:val="009844C2"/>
    <w:rsid w:val="00984C5B"/>
    <w:rsid w:val="0098500D"/>
    <w:rsid w:val="009850DA"/>
    <w:rsid w:val="00985548"/>
    <w:rsid w:val="009858FE"/>
    <w:rsid w:val="00985916"/>
    <w:rsid w:val="009859AD"/>
    <w:rsid w:val="00985C56"/>
    <w:rsid w:val="00986076"/>
    <w:rsid w:val="009864EB"/>
    <w:rsid w:val="0098766E"/>
    <w:rsid w:val="00987D18"/>
    <w:rsid w:val="009906A3"/>
    <w:rsid w:val="009906F2"/>
    <w:rsid w:val="00991166"/>
    <w:rsid w:val="00991562"/>
    <w:rsid w:val="00991F5E"/>
    <w:rsid w:val="009929F6"/>
    <w:rsid w:val="0099345D"/>
    <w:rsid w:val="009934AF"/>
    <w:rsid w:val="0099355A"/>
    <w:rsid w:val="00994077"/>
    <w:rsid w:val="00994427"/>
    <w:rsid w:val="00994786"/>
    <w:rsid w:val="009947BE"/>
    <w:rsid w:val="009947CF"/>
    <w:rsid w:val="00994BBB"/>
    <w:rsid w:val="00994BE7"/>
    <w:rsid w:val="00994FC8"/>
    <w:rsid w:val="00995335"/>
    <w:rsid w:val="00995AFD"/>
    <w:rsid w:val="00995DA4"/>
    <w:rsid w:val="0099614F"/>
    <w:rsid w:val="00996773"/>
    <w:rsid w:val="00996898"/>
    <w:rsid w:val="00996AC7"/>
    <w:rsid w:val="00997DA8"/>
    <w:rsid w:val="009A0274"/>
    <w:rsid w:val="009A0CAB"/>
    <w:rsid w:val="009A107B"/>
    <w:rsid w:val="009A1427"/>
    <w:rsid w:val="009A179F"/>
    <w:rsid w:val="009A17E9"/>
    <w:rsid w:val="009A18AB"/>
    <w:rsid w:val="009A1BE3"/>
    <w:rsid w:val="009A1C08"/>
    <w:rsid w:val="009A1C83"/>
    <w:rsid w:val="009A20C5"/>
    <w:rsid w:val="009A237E"/>
    <w:rsid w:val="009A2948"/>
    <w:rsid w:val="009A33A9"/>
    <w:rsid w:val="009A3675"/>
    <w:rsid w:val="009A445F"/>
    <w:rsid w:val="009A48B8"/>
    <w:rsid w:val="009A4B1E"/>
    <w:rsid w:val="009A4B6F"/>
    <w:rsid w:val="009A4C20"/>
    <w:rsid w:val="009A507D"/>
    <w:rsid w:val="009A5101"/>
    <w:rsid w:val="009A5397"/>
    <w:rsid w:val="009A5452"/>
    <w:rsid w:val="009A5F10"/>
    <w:rsid w:val="009A6223"/>
    <w:rsid w:val="009A63DB"/>
    <w:rsid w:val="009A6608"/>
    <w:rsid w:val="009A701E"/>
    <w:rsid w:val="009A749B"/>
    <w:rsid w:val="009A7BEF"/>
    <w:rsid w:val="009A7C74"/>
    <w:rsid w:val="009B0072"/>
    <w:rsid w:val="009B02A8"/>
    <w:rsid w:val="009B0B30"/>
    <w:rsid w:val="009B0E58"/>
    <w:rsid w:val="009B0E93"/>
    <w:rsid w:val="009B1438"/>
    <w:rsid w:val="009B1545"/>
    <w:rsid w:val="009B1611"/>
    <w:rsid w:val="009B1AC7"/>
    <w:rsid w:val="009B1CF5"/>
    <w:rsid w:val="009B1F33"/>
    <w:rsid w:val="009B205D"/>
    <w:rsid w:val="009B2217"/>
    <w:rsid w:val="009B236F"/>
    <w:rsid w:val="009B2B65"/>
    <w:rsid w:val="009B2F7E"/>
    <w:rsid w:val="009B32DB"/>
    <w:rsid w:val="009B3338"/>
    <w:rsid w:val="009B370E"/>
    <w:rsid w:val="009B3874"/>
    <w:rsid w:val="009B4E56"/>
    <w:rsid w:val="009B4F4B"/>
    <w:rsid w:val="009B4F9E"/>
    <w:rsid w:val="009B5643"/>
    <w:rsid w:val="009B586A"/>
    <w:rsid w:val="009B5B4C"/>
    <w:rsid w:val="009B5DD5"/>
    <w:rsid w:val="009B5FB2"/>
    <w:rsid w:val="009B621A"/>
    <w:rsid w:val="009B715F"/>
    <w:rsid w:val="009B7998"/>
    <w:rsid w:val="009B7BC5"/>
    <w:rsid w:val="009B7D54"/>
    <w:rsid w:val="009B7EE7"/>
    <w:rsid w:val="009C036A"/>
    <w:rsid w:val="009C0EB6"/>
    <w:rsid w:val="009C1841"/>
    <w:rsid w:val="009C1BC3"/>
    <w:rsid w:val="009C1C2E"/>
    <w:rsid w:val="009C1DA8"/>
    <w:rsid w:val="009C1F5D"/>
    <w:rsid w:val="009C263D"/>
    <w:rsid w:val="009C3118"/>
    <w:rsid w:val="009C3515"/>
    <w:rsid w:val="009C3937"/>
    <w:rsid w:val="009C3ABE"/>
    <w:rsid w:val="009C3CD1"/>
    <w:rsid w:val="009C3E12"/>
    <w:rsid w:val="009C3F26"/>
    <w:rsid w:val="009C3F32"/>
    <w:rsid w:val="009C41D0"/>
    <w:rsid w:val="009C4C45"/>
    <w:rsid w:val="009C4E76"/>
    <w:rsid w:val="009C56BD"/>
    <w:rsid w:val="009C5BE3"/>
    <w:rsid w:val="009C5DAE"/>
    <w:rsid w:val="009C5DDF"/>
    <w:rsid w:val="009C5F6B"/>
    <w:rsid w:val="009C6273"/>
    <w:rsid w:val="009C6B82"/>
    <w:rsid w:val="009C6F10"/>
    <w:rsid w:val="009C70FC"/>
    <w:rsid w:val="009C7313"/>
    <w:rsid w:val="009D00C3"/>
    <w:rsid w:val="009D04F8"/>
    <w:rsid w:val="009D0B4B"/>
    <w:rsid w:val="009D0D28"/>
    <w:rsid w:val="009D1261"/>
    <w:rsid w:val="009D1338"/>
    <w:rsid w:val="009D1AA7"/>
    <w:rsid w:val="009D1D44"/>
    <w:rsid w:val="009D1F3B"/>
    <w:rsid w:val="009D22F5"/>
    <w:rsid w:val="009D2331"/>
    <w:rsid w:val="009D25B6"/>
    <w:rsid w:val="009D25BB"/>
    <w:rsid w:val="009D2905"/>
    <w:rsid w:val="009D2EE9"/>
    <w:rsid w:val="009D312C"/>
    <w:rsid w:val="009D3651"/>
    <w:rsid w:val="009D3722"/>
    <w:rsid w:val="009D38E8"/>
    <w:rsid w:val="009D3F65"/>
    <w:rsid w:val="009D3F75"/>
    <w:rsid w:val="009D4DFD"/>
    <w:rsid w:val="009D509E"/>
    <w:rsid w:val="009D51F5"/>
    <w:rsid w:val="009D5916"/>
    <w:rsid w:val="009D5950"/>
    <w:rsid w:val="009D5964"/>
    <w:rsid w:val="009D5B37"/>
    <w:rsid w:val="009D5BB4"/>
    <w:rsid w:val="009D5C73"/>
    <w:rsid w:val="009D6311"/>
    <w:rsid w:val="009D63D9"/>
    <w:rsid w:val="009D6584"/>
    <w:rsid w:val="009D679C"/>
    <w:rsid w:val="009D692B"/>
    <w:rsid w:val="009D6BA1"/>
    <w:rsid w:val="009D6DA7"/>
    <w:rsid w:val="009D6EE8"/>
    <w:rsid w:val="009D735A"/>
    <w:rsid w:val="009D758C"/>
    <w:rsid w:val="009D76D4"/>
    <w:rsid w:val="009D78F8"/>
    <w:rsid w:val="009D7B87"/>
    <w:rsid w:val="009D7D5A"/>
    <w:rsid w:val="009D7F85"/>
    <w:rsid w:val="009E00AB"/>
    <w:rsid w:val="009E01D7"/>
    <w:rsid w:val="009E06B9"/>
    <w:rsid w:val="009E0707"/>
    <w:rsid w:val="009E071B"/>
    <w:rsid w:val="009E0814"/>
    <w:rsid w:val="009E0B70"/>
    <w:rsid w:val="009E0CF3"/>
    <w:rsid w:val="009E0F43"/>
    <w:rsid w:val="009E1044"/>
    <w:rsid w:val="009E1188"/>
    <w:rsid w:val="009E1924"/>
    <w:rsid w:val="009E1CE4"/>
    <w:rsid w:val="009E1DE5"/>
    <w:rsid w:val="009E2288"/>
    <w:rsid w:val="009E250C"/>
    <w:rsid w:val="009E262A"/>
    <w:rsid w:val="009E2D36"/>
    <w:rsid w:val="009E350C"/>
    <w:rsid w:val="009E3651"/>
    <w:rsid w:val="009E42C0"/>
    <w:rsid w:val="009E4483"/>
    <w:rsid w:val="009E4DB9"/>
    <w:rsid w:val="009E4F40"/>
    <w:rsid w:val="009E5116"/>
    <w:rsid w:val="009E546F"/>
    <w:rsid w:val="009E5ABB"/>
    <w:rsid w:val="009E5B90"/>
    <w:rsid w:val="009E603E"/>
    <w:rsid w:val="009E68E9"/>
    <w:rsid w:val="009E6E8F"/>
    <w:rsid w:val="009E6F49"/>
    <w:rsid w:val="009E724A"/>
    <w:rsid w:val="009E7B52"/>
    <w:rsid w:val="009E7CA1"/>
    <w:rsid w:val="009E7F40"/>
    <w:rsid w:val="009F05B1"/>
    <w:rsid w:val="009F06C0"/>
    <w:rsid w:val="009F07F8"/>
    <w:rsid w:val="009F0CAF"/>
    <w:rsid w:val="009F1481"/>
    <w:rsid w:val="009F18C3"/>
    <w:rsid w:val="009F1F67"/>
    <w:rsid w:val="009F208C"/>
    <w:rsid w:val="009F236A"/>
    <w:rsid w:val="009F2BB0"/>
    <w:rsid w:val="009F2CF9"/>
    <w:rsid w:val="009F4040"/>
    <w:rsid w:val="009F41A7"/>
    <w:rsid w:val="009F43EF"/>
    <w:rsid w:val="009F4506"/>
    <w:rsid w:val="009F488A"/>
    <w:rsid w:val="009F4F1C"/>
    <w:rsid w:val="009F5131"/>
    <w:rsid w:val="009F5436"/>
    <w:rsid w:val="009F5954"/>
    <w:rsid w:val="009F5CE1"/>
    <w:rsid w:val="009F6152"/>
    <w:rsid w:val="009F6A68"/>
    <w:rsid w:val="009F71A2"/>
    <w:rsid w:val="009F7544"/>
    <w:rsid w:val="009F7956"/>
    <w:rsid w:val="009F7B80"/>
    <w:rsid w:val="009F7DC4"/>
    <w:rsid w:val="009F7F93"/>
    <w:rsid w:val="009F7FC0"/>
    <w:rsid w:val="00A0037D"/>
    <w:rsid w:val="00A00942"/>
    <w:rsid w:val="00A00B87"/>
    <w:rsid w:val="00A00D0E"/>
    <w:rsid w:val="00A00D8E"/>
    <w:rsid w:val="00A02079"/>
    <w:rsid w:val="00A026F8"/>
    <w:rsid w:val="00A027B9"/>
    <w:rsid w:val="00A027BE"/>
    <w:rsid w:val="00A02880"/>
    <w:rsid w:val="00A02A9F"/>
    <w:rsid w:val="00A02E63"/>
    <w:rsid w:val="00A03073"/>
    <w:rsid w:val="00A033E5"/>
    <w:rsid w:val="00A03C84"/>
    <w:rsid w:val="00A03CD5"/>
    <w:rsid w:val="00A03ED6"/>
    <w:rsid w:val="00A03FBC"/>
    <w:rsid w:val="00A042B9"/>
    <w:rsid w:val="00A04550"/>
    <w:rsid w:val="00A0462B"/>
    <w:rsid w:val="00A047E3"/>
    <w:rsid w:val="00A048DF"/>
    <w:rsid w:val="00A050E2"/>
    <w:rsid w:val="00A05342"/>
    <w:rsid w:val="00A054FC"/>
    <w:rsid w:val="00A0568B"/>
    <w:rsid w:val="00A05704"/>
    <w:rsid w:val="00A0598A"/>
    <w:rsid w:val="00A0680F"/>
    <w:rsid w:val="00A069E7"/>
    <w:rsid w:val="00A06DF3"/>
    <w:rsid w:val="00A06EAE"/>
    <w:rsid w:val="00A06FF4"/>
    <w:rsid w:val="00A07672"/>
    <w:rsid w:val="00A07E4B"/>
    <w:rsid w:val="00A07F44"/>
    <w:rsid w:val="00A10194"/>
    <w:rsid w:val="00A101FC"/>
    <w:rsid w:val="00A10259"/>
    <w:rsid w:val="00A10581"/>
    <w:rsid w:val="00A10E5E"/>
    <w:rsid w:val="00A111AC"/>
    <w:rsid w:val="00A112DB"/>
    <w:rsid w:val="00A11E9A"/>
    <w:rsid w:val="00A11F31"/>
    <w:rsid w:val="00A122CA"/>
    <w:rsid w:val="00A123E2"/>
    <w:rsid w:val="00A1312F"/>
    <w:rsid w:val="00A13162"/>
    <w:rsid w:val="00A1386F"/>
    <w:rsid w:val="00A1394C"/>
    <w:rsid w:val="00A13BDA"/>
    <w:rsid w:val="00A14AD5"/>
    <w:rsid w:val="00A14C62"/>
    <w:rsid w:val="00A14F76"/>
    <w:rsid w:val="00A1500A"/>
    <w:rsid w:val="00A15015"/>
    <w:rsid w:val="00A15893"/>
    <w:rsid w:val="00A15B8C"/>
    <w:rsid w:val="00A15DF1"/>
    <w:rsid w:val="00A15F42"/>
    <w:rsid w:val="00A16032"/>
    <w:rsid w:val="00A1603D"/>
    <w:rsid w:val="00A16093"/>
    <w:rsid w:val="00A164F0"/>
    <w:rsid w:val="00A16BAC"/>
    <w:rsid w:val="00A16D42"/>
    <w:rsid w:val="00A171D9"/>
    <w:rsid w:val="00A17334"/>
    <w:rsid w:val="00A174CA"/>
    <w:rsid w:val="00A17689"/>
    <w:rsid w:val="00A177ED"/>
    <w:rsid w:val="00A17802"/>
    <w:rsid w:val="00A17B09"/>
    <w:rsid w:val="00A204F2"/>
    <w:rsid w:val="00A2104A"/>
    <w:rsid w:val="00A21092"/>
    <w:rsid w:val="00A215B3"/>
    <w:rsid w:val="00A218A6"/>
    <w:rsid w:val="00A21926"/>
    <w:rsid w:val="00A21F25"/>
    <w:rsid w:val="00A21FE8"/>
    <w:rsid w:val="00A22080"/>
    <w:rsid w:val="00A2277D"/>
    <w:rsid w:val="00A22D08"/>
    <w:rsid w:val="00A22D2F"/>
    <w:rsid w:val="00A22E1F"/>
    <w:rsid w:val="00A232B8"/>
    <w:rsid w:val="00A236A4"/>
    <w:rsid w:val="00A23877"/>
    <w:rsid w:val="00A239B8"/>
    <w:rsid w:val="00A23B36"/>
    <w:rsid w:val="00A23CDA"/>
    <w:rsid w:val="00A246F2"/>
    <w:rsid w:val="00A248A0"/>
    <w:rsid w:val="00A249DB"/>
    <w:rsid w:val="00A24FCC"/>
    <w:rsid w:val="00A255FE"/>
    <w:rsid w:val="00A25D09"/>
    <w:rsid w:val="00A26389"/>
    <w:rsid w:val="00A267AA"/>
    <w:rsid w:val="00A267CD"/>
    <w:rsid w:val="00A26E90"/>
    <w:rsid w:val="00A278DB"/>
    <w:rsid w:val="00A27963"/>
    <w:rsid w:val="00A27D8C"/>
    <w:rsid w:val="00A306A0"/>
    <w:rsid w:val="00A30A3C"/>
    <w:rsid w:val="00A30DA6"/>
    <w:rsid w:val="00A31308"/>
    <w:rsid w:val="00A31330"/>
    <w:rsid w:val="00A31F75"/>
    <w:rsid w:val="00A321F0"/>
    <w:rsid w:val="00A33189"/>
    <w:rsid w:val="00A3329D"/>
    <w:rsid w:val="00A33636"/>
    <w:rsid w:val="00A33D4D"/>
    <w:rsid w:val="00A3408F"/>
    <w:rsid w:val="00A3420A"/>
    <w:rsid w:val="00A34402"/>
    <w:rsid w:val="00A34546"/>
    <w:rsid w:val="00A35722"/>
    <w:rsid w:val="00A3592A"/>
    <w:rsid w:val="00A35E6C"/>
    <w:rsid w:val="00A36193"/>
    <w:rsid w:val="00A363DF"/>
    <w:rsid w:val="00A364B7"/>
    <w:rsid w:val="00A36500"/>
    <w:rsid w:val="00A36C5F"/>
    <w:rsid w:val="00A36F60"/>
    <w:rsid w:val="00A37583"/>
    <w:rsid w:val="00A376B4"/>
    <w:rsid w:val="00A37821"/>
    <w:rsid w:val="00A40A2C"/>
    <w:rsid w:val="00A40DCB"/>
    <w:rsid w:val="00A414FE"/>
    <w:rsid w:val="00A416C5"/>
    <w:rsid w:val="00A418F3"/>
    <w:rsid w:val="00A41D7A"/>
    <w:rsid w:val="00A42077"/>
    <w:rsid w:val="00A421A8"/>
    <w:rsid w:val="00A42345"/>
    <w:rsid w:val="00A42704"/>
    <w:rsid w:val="00A42DDC"/>
    <w:rsid w:val="00A43207"/>
    <w:rsid w:val="00A43392"/>
    <w:rsid w:val="00A4344A"/>
    <w:rsid w:val="00A43A70"/>
    <w:rsid w:val="00A43B3B"/>
    <w:rsid w:val="00A43C7A"/>
    <w:rsid w:val="00A43CE6"/>
    <w:rsid w:val="00A43EBA"/>
    <w:rsid w:val="00A443CA"/>
    <w:rsid w:val="00A44570"/>
    <w:rsid w:val="00A447F6"/>
    <w:rsid w:val="00A4490C"/>
    <w:rsid w:val="00A44AB8"/>
    <w:rsid w:val="00A45128"/>
    <w:rsid w:val="00A453F2"/>
    <w:rsid w:val="00A45A4A"/>
    <w:rsid w:val="00A46915"/>
    <w:rsid w:val="00A46A63"/>
    <w:rsid w:val="00A46F49"/>
    <w:rsid w:val="00A46FD9"/>
    <w:rsid w:val="00A47FE3"/>
    <w:rsid w:val="00A50332"/>
    <w:rsid w:val="00A505B9"/>
    <w:rsid w:val="00A5081B"/>
    <w:rsid w:val="00A50836"/>
    <w:rsid w:val="00A50ADC"/>
    <w:rsid w:val="00A50CFE"/>
    <w:rsid w:val="00A51342"/>
    <w:rsid w:val="00A51B21"/>
    <w:rsid w:val="00A52643"/>
    <w:rsid w:val="00A52823"/>
    <w:rsid w:val="00A5360A"/>
    <w:rsid w:val="00A53DEB"/>
    <w:rsid w:val="00A53FB4"/>
    <w:rsid w:val="00A54218"/>
    <w:rsid w:val="00A5422B"/>
    <w:rsid w:val="00A54270"/>
    <w:rsid w:val="00A54625"/>
    <w:rsid w:val="00A54886"/>
    <w:rsid w:val="00A54946"/>
    <w:rsid w:val="00A5495D"/>
    <w:rsid w:val="00A54DF6"/>
    <w:rsid w:val="00A552C3"/>
    <w:rsid w:val="00A55326"/>
    <w:rsid w:val="00A555EA"/>
    <w:rsid w:val="00A55F33"/>
    <w:rsid w:val="00A55F78"/>
    <w:rsid w:val="00A5671F"/>
    <w:rsid w:val="00A56806"/>
    <w:rsid w:val="00A56D6C"/>
    <w:rsid w:val="00A56D90"/>
    <w:rsid w:val="00A56F23"/>
    <w:rsid w:val="00A56FBD"/>
    <w:rsid w:val="00A571A3"/>
    <w:rsid w:val="00A57521"/>
    <w:rsid w:val="00A576E3"/>
    <w:rsid w:val="00A57A93"/>
    <w:rsid w:val="00A57B0D"/>
    <w:rsid w:val="00A61072"/>
    <w:rsid w:val="00A61352"/>
    <w:rsid w:val="00A6138F"/>
    <w:rsid w:val="00A61E4D"/>
    <w:rsid w:val="00A6224C"/>
    <w:rsid w:val="00A6247D"/>
    <w:rsid w:val="00A6257A"/>
    <w:rsid w:val="00A625D8"/>
    <w:rsid w:val="00A626A6"/>
    <w:rsid w:val="00A629C5"/>
    <w:rsid w:val="00A62E1B"/>
    <w:rsid w:val="00A62FAD"/>
    <w:rsid w:val="00A63822"/>
    <w:rsid w:val="00A63B05"/>
    <w:rsid w:val="00A63CA4"/>
    <w:rsid w:val="00A63CB2"/>
    <w:rsid w:val="00A63D69"/>
    <w:rsid w:val="00A63DF1"/>
    <w:rsid w:val="00A63E89"/>
    <w:rsid w:val="00A64326"/>
    <w:rsid w:val="00A645B3"/>
    <w:rsid w:val="00A64A5B"/>
    <w:rsid w:val="00A64D50"/>
    <w:rsid w:val="00A64D98"/>
    <w:rsid w:val="00A650C7"/>
    <w:rsid w:val="00A65104"/>
    <w:rsid w:val="00A65A88"/>
    <w:rsid w:val="00A65A90"/>
    <w:rsid w:val="00A65DDF"/>
    <w:rsid w:val="00A66558"/>
    <w:rsid w:val="00A669F0"/>
    <w:rsid w:val="00A66E70"/>
    <w:rsid w:val="00A671F8"/>
    <w:rsid w:val="00A67214"/>
    <w:rsid w:val="00A67491"/>
    <w:rsid w:val="00A6769C"/>
    <w:rsid w:val="00A6775B"/>
    <w:rsid w:val="00A67A77"/>
    <w:rsid w:val="00A67E32"/>
    <w:rsid w:val="00A7091E"/>
    <w:rsid w:val="00A70BB8"/>
    <w:rsid w:val="00A70EBA"/>
    <w:rsid w:val="00A71390"/>
    <w:rsid w:val="00A7142F"/>
    <w:rsid w:val="00A7174B"/>
    <w:rsid w:val="00A71AC4"/>
    <w:rsid w:val="00A721C9"/>
    <w:rsid w:val="00A72B31"/>
    <w:rsid w:val="00A7373F"/>
    <w:rsid w:val="00A73BB7"/>
    <w:rsid w:val="00A74031"/>
    <w:rsid w:val="00A740EC"/>
    <w:rsid w:val="00A74124"/>
    <w:rsid w:val="00A7414D"/>
    <w:rsid w:val="00A741BC"/>
    <w:rsid w:val="00A7488F"/>
    <w:rsid w:val="00A74E2B"/>
    <w:rsid w:val="00A74EB6"/>
    <w:rsid w:val="00A753C2"/>
    <w:rsid w:val="00A75545"/>
    <w:rsid w:val="00A75560"/>
    <w:rsid w:val="00A756AA"/>
    <w:rsid w:val="00A75E82"/>
    <w:rsid w:val="00A761C4"/>
    <w:rsid w:val="00A76298"/>
    <w:rsid w:val="00A76464"/>
    <w:rsid w:val="00A764BA"/>
    <w:rsid w:val="00A767E8"/>
    <w:rsid w:val="00A77071"/>
    <w:rsid w:val="00A773B9"/>
    <w:rsid w:val="00A77772"/>
    <w:rsid w:val="00A779EF"/>
    <w:rsid w:val="00A8068F"/>
    <w:rsid w:val="00A81BA7"/>
    <w:rsid w:val="00A81BCB"/>
    <w:rsid w:val="00A81FA3"/>
    <w:rsid w:val="00A8267A"/>
    <w:rsid w:val="00A8299B"/>
    <w:rsid w:val="00A830D6"/>
    <w:rsid w:val="00A83130"/>
    <w:rsid w:val="00A83220"/>
    <w:rsid w:val="00A83AC4"/>
    <w:rsid w:val="00A83AC6"/>
    <w:rsid w:val="00A83AE2"/>
    <w:rsid w:val="00A83B94"/>
    <w:rsid w:val="00A8438F"/>
    <w:rsid w:val="00A8499C"/>
    <w:rsid w:val="00A84B13"/>
    <w:rsid w:val="00A84DBD"/>
    <w:rsid w:val="00A856F8"/>
    <w:rsid w:val="00A85758"/>
    <w:rsid w:val="00A85775"/>
    <w:rsid w:val="00A85F66"/>
    <w:rsid w:val="00A86697"/>
    <w:rsid w:val="00A867E8"/>
    <w:rsid w:val="00A869B3"/>
    <w:rsid w:val="00A86C91"/>
    <w:rsid w:val="00A871AF"/>
    <w:rsid w:val="00A87380"/>
    <w:rsid w:val="00A8745B"/>
    <w:rsid w:val="00A87A87"/>
    <w:rsid w:val="00A87E98"/>
    <w:rsid w:val="00A9056F"/>
    <w:rsid w:val="00A90C87"/>
    <w:rsid w:val="00A91069"/>
    <w:rsid w:val="00A914AB"/>
    <w:rsid w:val="00A93777"/>
    <w:rsid w:val="00A9377C"/>
    <w:rsid w:val="00A939DB"/>
    <w:rsid w:val="00A93BD3"/>
    <w:rsid w:val="00A945A9"/>
    <w:rsid w:val="00A94617"/>
    <w:rsid w:val="00A95044"/>
    <w:rsid w:val="00A95AF7"/>
    <w:rsid w:val="00A95CFB"/>
    <w:rsid w:val="00A96297"/>
    <w:rsid w:val="00A9629F"/>
    <w:rsid w:val="00A9742A"/>
    <w:rsid w:val="00AA03D1"/>
    <w:rsid w:val="00AA0A3A"/>
    <w:rsid w:val="00AA0CBF"/>
    <w:rsid w:val="00AA1290"/>
    <w:rsid w:val="00AA177C"/>
    <w:rsid w:val="00AA183A"/>
    <w:rsid w:val="00AA1910"/>
    <w:rsid w:val="00AA1CBE"/>
    <w:rsid w:val="00AA227E"/>
    <w:rsid w:val="00AA26EB"/>
    <w:rsid w:val="00AA2FE7"/>
    <w:rsid w:val="00AA3417"/>
    <w:rsid w:val="00AA3B49"/>
    <w:rsid w:val="00AA3E96"/>
    <w:rsid w:val="00AA406E"/>
    <w:rsid w:val="00AA442E"/>
    <w:rsid w:val="00AA458F"/>
    <w:rsid w:val="00AA464C"/>
    <w:rsid w:val="00AA4960"/>
    <w:rsid w:val="00AA4EC7"/>
    <w:rsid w:val="00AA5021"/>
    <w:rsid w:val="00AA5387"/>
    <w:rsid w:val="00AA53D3"/>
    <w:rsid w:val="00AA53E5"/>
    <w:rsid w:val="00AA5613"/>
    <w:rsid w:val="00AA57C2"/>
    <w:rsid w:val="00AA5992"/>
    <w:rsid w:val="00AA5E73"/>
    <w:rsid w:val="00AA62C8"/>
    <w:rsid w:val="00AA67EB"/>
    <w:rsid w:val="00AA69C7"/>
    <w:rsid w:val="00AA6A8E"/>
    <w:rsid w:val="00AA70BE"/>
    <w:rsid w:val="00AA7469"/>
    <w:rsid w:val="00AB0357"/>
    <w:rsid w:val="00AB0593"/>
    <w:rsid w:val="00AB06F6"/>
    <w:rsid w:val="00AB0AEE"/>
    <w:rsid w:val="00AB1015"/>
    <w:rsid w:val="00AB12B2"/>
    <w:rsid w:val="00AB1493"/>
    <w:rsid w:val="00AB1691"/>
    <w:rsid w:val="00AB1B6F"/>
    <w:rsid w:val="00AB1D37"/>
    <w:rsid w:val="00AB1E77"/>
    <w:rsid w:val="00AB2253"/>
    <w:rsid w:val="00AB2331"/>
    <w:rsid w:val="00AB260F"/>
    <w:rsid w:val="00AB2CD2"/>
    <w:rsid w:val="00AB36EC"/>
    <w:rsid w:val="00AB384C"/>
    <w:rsid w:val="00AB3BA3"/>
    <w:rsid w:val="00AB4281"/>
    <w:rsid w:val="00AB4289"/>
    <w:rsid w:val="00AB4293"/>
    <w:rsid w:val="00AB4801"/>
    <w:rsid w:val="00AB4C0C"/>
    <w:rsid w:val="00AB4C34"/>
    <w:rsid w:val="00AB4D3F"/>
    <w:rsid w:val="00AB50F3"/>
    <w:rsid w:val="00AB51AD"/>
    <w:rsid w:val="00AB5578"/>
    <w:rsid w:val="00AB55E3"/>
    <w:rsid w:val="00AB5CE8"/>
    <w:rsid w:val="00AB5D23"/>
    <w:rsid w:val="00AB64E5"/>
    <w:rsid w:val="00AB7308"/>
    <w:rsid w:val="00AB7584"/>
    <w:rsid w:val="00AB7638"/>
    <w:rsid w:val="00AB76D6"/>
    <w:rsid w:val="00AB792E"/>
    <w:rsid w:val="00AC0379"/>
    <w:rsid w:val="00AC0B54"/>
    <w:rsid w:val="00AC0B64"/>
    <w:rsid w:val="00AC14BC"/>
    <w:rsid w:val="00AC157A"/>
    <w:rsid w:val="00AC18D7"/>
    <w:rsid w:val="00AC24BC"/>
    <w:rsid w:val="00AC2E54"/>
    <w:rsid w:val="00AC2E8D"/>
    <w:rsid w:val="00AC3095"/>
    <w:rsid w:val="00AC3433"/>
    <w:rsid w:val="00AC3DCE"/>
    <w:rsid w:val="00AC4E45"/>
    <w:rsid w:val="00AC50C9"/>
    <w:rsid w:val="00AC5110"/>
    <w:rsid w:val="00AC55AD"/>
    <w:rsid w:val="00AC5EAC"/>
    <w:rsid w:val="00AC6144"/>
    <w:rsid w:val="00AC6283"/>
    <w:rsid w:val="00AC67BB"/>
    <w:rsid w:val="00AC680C"/>
    <w:rsid w:val="00AC6FB0"/>
    <w:rsid w:val="00AC6FF9"/>
    <w:rsid w:val="00AC771B"/>
    <w:rsid w:val="00AC7E0D"/>
    <w:rsid w:val="00AC7F2E"/>
    <w:rsid w:val="00AD0280"/>
    <w:rsid w:val="00AD0840"/>
    <w:rsid w:val="00AD08FE"/>
    <w:rsid w:val="00AD0AE8"/>
    <w:rsid w:val="00AD0F43"/>
    <w:rsid w:val="00AD1120"/>
    <w:rsid w:val="00AD2028"/>
    <w:rsid w:val="00AD2277"/>
    <w:rsid w:val="00AD2562"/>
    <w:rsid w:val="00AD2AC3"/>
    <w:rsid w:val="00AD2B87"/>
    <w:rsid w:val="00AD33D9"/>
    <w:rsid w:val="00AD3466"/>
    <w:rsid w:val="00AD35AD"/>
    <w:rsid w:val="00AD3A15"/>
    <w:rsid w:val="00AD3DC7"/>
    <w:rsid w:val="00AD3E4E"/>
    <w:rsid w:val="00AD3E95"/>
    <w:rsid w:val="00AD3FD7"/>
    <w:rsid w:val="00AD4609"/>
    <w:rsid w:val="00AD492C"/>
    <w:rsid w:val="00AD49E5"/>
    <w:rsid w:val="00AD5116"/>
    <w:rsid w:val="00AD51CC"/>
    <w:rsid w:val="00AD5321"/>
    <w:rsid w:val="00AD61C3"/>
    <w:rsid w:val="00AD675D"/>
    <w:rsid w:val="00AD6B59"/>
    <w:rsid w:val="00AD6D6D"/>
    <w:rsid w:val="00AD6DDA"/>
    <w:rsid w:val="00AD7032"/>
    <w:rsid w:val="00AD755F"/>
    <w:rsid w:val="00AD7701"/>
    <w:rsid w:val="00AD7ABD"/>
    <w:rsid w:val="00AD7B64"/>
    <w:rsid w:val="00AE0124"/>
    <w:rsid w:val="00AE101E"/>
    <w:rsid w:val="00AE1AC1"/>
    <w:rsid w:val="00AE1AFB"/>
    <w:rsid w:val="00AE2012"/>
    <w:rsid w:val="00AE2746"/>
    <w:rsid w:val="00AE2951"/>
    <w:rsid w:val="00AE2C6A"/>
    <w:rsid w:val="00AE2E6C"/>
    <w:rsid w:val="00AE318D"/>
    <w:rsid w:val="00AE3552"/>
    <w:rsid w:val="00AE35E1"/>
    <w:rsid w:val="00AE3999"/>
    <w:rsid w:val="00AE3A36"/>
    <w:rsid w:val="00AE3C8D"/>
    <w:rsid w:val="00AE4364"/>
    <w:rsid w:val="00AE4512"/>
    <w:rsid w:val="00AE45DF"/>
    <w:rsid w:val="00AE4730"/>
    <w:rsid w:val="00AE48A3"/>
    <w:rsid w:val="00AE4BA4"/>
    <w:rsid w:val="00AE4C2B"/>
    <w:rsid w:val="00AE556D"/>
    <w:rsid w:val="00AE5883"/>
    <w:rsid w:val="00AE5DF3"/>
    <w:rsid w:val="00AE5E22"/>
    <w:rsid w:val="00AE612D"/>
    <w:rsid w:val="00AE62E3"/>
    <w:rsid w:val="00AE6D4A"/>
    <w:rsid w:val="00AE6DB3"/>
    <w:rsid w:val="00AE6DBB"/>
    <w:rsid w:val="00AE6F31"/>
    <w:rsid w:val="00AE754D"/>
    <w:rsid w:val="00AE7B48"/>
    <w:rsid w:val="00AE7BC9"/>
    <w:rsid w:val="00AE7F85"/>
    <w:rsid w:val="00AF0736"/>
    <w:rsid w:val="00AF0B7C"/>
    <w:rsid w:val="00AF0D1D"/>
    <w:rsid w:val="00AF0FE8"/>
    <w:rsid w:val="00AF1320"/>
    <w:rsid w:val="00AF1574"/>
    <w:rsid w:val="00AF1661"/>
    <w:rsid w:val="00AF200E"/>
    <w:rsid w:val="00AF2832"/>
    <w:rsid w:val="00AF3647"/>
    <w:rsid w:val="00AF3B93"/>
    <w:rsid w:val="00AF40C8"/>
    <w:rsid w:val="00AF4566"/>
    <w:rsid w:val="00AF472B"/>
    <w:rsid w:val="00AF52E4"/>
    <w:rsid w:val="00AF5B27"/>
    <w:rsid w:val="00AF622B"/>
    <w:rsid w:val="00AF64C5"/>
    <w:rsid w:val="00AF6584"/>
    <w:rsid w:val="00AF66F2"/>
    <w:rsid w:val="00AF69FA"/>
    <w:rsid w:val="00AF6E3D"/>
    <w:rsid w:val="00AF6E50"/>
    <w:rsid w:val="00AF7538"/>
    <w:rsid w:val="00AF7564"/>
    <w:rsid w:val="00AF7CD3"/>
    <w:rsid w:val="00AF7E0E"/>
    <w:rsid w:val="00B00159"/>
    <w:rsid w:val="00B00567"/>
    <w:rsid w:val="00B0108B"/>
    <w:rsid w:val="00B013F9"/>
    <w:rsid w:val="00B015C3"/>
    <w:rsid w:val="00B01ADB"/>
    <w:rsid w:val="00B02169"/>
    <w:rsid w:val="00B026AF"/>
    <w:rsid w:val="00B033C4"/>
    <w:rsid w:val="00B0350E"/>
    <w:rsid w:val="00B0390C"/>
    <w:rsid w:val="00B03A79"/>
    <w:rsid w:val="00B03ADD"/>
    <w:rsid w:val="00B03EEA"/>
    <w:rsid w:val="00B03F2B"/>
    <w:rsid w:val="00B044BE"/>
    <w:rsid w:val="00B04754"/>
    <w:rsid w:val="00B04D99"/>
    <w:rsid w:val="00B0610E"/>
    <w:rsid w:val="00B061D2"/>
    <w:rsid w:val="00B06653"/>
    <w:rsid w:val="00B068DF"/>
    <w:rsid w:val="00B069F5"/>
    <w:rsid w:val="00B06A11"/>
    <w:rsid w:val="00B07230"/>
    <w:rsid w:val="00B075FF"/>
    <w:rsid w:val="00B0779E"/>
    <w:rsid w:val="00B07C05"/>
    <w:rsid w:val="00B10224"/>
    <w:rsid w:val="00B10555"/>
    <w:rsid w:val="00B10FCF"/>
    <w:rsid w:val="00B1113B"/>
    <w:rsid w:val="00B111C4"/>
    <w:rsid w:val="00B114CC"/>
    <w:rsid w:val="00B11711"/>
    <w:rsid w:val="00B11B1D"/>
    <w:rsid w:val="00B11BCF"/>
    <w:rsid w:val="00B11DDF"/>
    <w:rsid w:val="00B11F97"/>
    <w:rsid w:val="00B12878"/>
    <w:rsid w:val="00B12B2F"/>
    <w:rsid w:val="00B12BB6"/>
    <w:rsid w:val="00B12E04"/>
    <w:rsid w:val="00B13639"/>
    <w:rsid w:val="00B1382B"/>
    <w:rsid w:val="00B139B4"/>
    <w:rsid w:val="00B14330"/>
    <w:rsid w:val="00B14816"/>
    <w:rsid w:val="00B149D0"/>
    <w:rsid w:val="00B14A9D"/>
    <w:rsid w:val="00B14D2D"/>
    <w:rsid w:val="00B156C9"/>
    <w:rsid w:val="00B15A07"/>
    <w:rsid w:val="00B1650D"/>
    <w:rsid w:val="00B16B28"/>
    <w:rsid w:val="00B16BD0"/>
    <w:rsid w:val="00B16E19"/>
    <w:rsid w:val="00B172C2"/>
    <w:rsid w:val="00B173F8"/>
    <w:rsid w:val="00B178FA"/>
    <w:rsid w:val="00B17BEA"/>
    <w:rsid w:val="00B17D7A"/>
    <w:rsid w:val="00B17F52"/>
    <w:rsid w:val="00B200C7"/>
    <w:rsid w:val="00B2046B"/>
    <w:rsid w:val="00B212E3"/>
    <w:rsid w:val="00B21599"/>
    <w:rsid w:val="00B21B99"/>
    <w:rsid w:val="00B21DAC"/>
    <w:rsid w:val="00B21F92"/>
    <w:rsid w:val="00B21FDE"/>
    <w:rsid w:val="00B231A2"/>
    <w:rsid w:val="00B231BE"/>
    <w:rsid w:val="00B23BB5"/>
    <w:rsid w:val="00B24314"/>
    <w:rsid w:val="00B24B2C"/>
    <w:rsid w:val="00B25169"/>
    <w:rsid w:val="00B25B28"/>
    <w:rsid w:val="00B25DEE"/>
    <w:rsid w:val="00B26086"/>
    <w:rsid w:val="00B26194"/>
    <w:rsid w:val="00B26568"/>
    <w:rsid w:val="00B265B9"/>
    <w:rsid w:val="00B26A98"/>
    <w:rsid w:val="00B26D60"/>
    <w:rsid w:val="00B27162"/>
    <w:rsid w:val="00B27185"/>
    <w:rsid w:val="00B27470"/>
    <w:rsid w:val="00B2786E"/>
    <w:rsid w:val="00B27A80"/>
    <w:rsid w:val="00B27E7E"/>
    <w:rsid w:val="00B27FA4"/>
    <w:rsid w:val="00B307A0"/>
    <w:rsid w:val="00B30E57"/>
    <w:rsid w:val="00B31B66"/>
    <w:rsid w:val="00B32E15"/>
    <w:rsid w:val="00B3310B"/>
    <w:rsid w:val="00B33221"/>
    <w:rsid w:val="00B33971"/>
    <w:rsid w:val="00B341AC"/>
    <w:rsid w:val="00B341EB"/>
    <w:rsid w:val="00B343EE"/>
    <w:rsid w:val="00B34485"/>
    <w:rsid w:val="00B348C0"/>
    <w:rsid w:val="00B34A1B"/>
    <w:rsid w:val="00B34A9C"/>
    <w:rsid w:val="00B34AAC"/>
    <w:rsid w:val="00B34DEF"/>
    <w:rsid w:val="00B35328"/>
    <w:rsid w:val="00B35719"/>
    <w:rsid w:val="00B3626B"/>
    <w:rsid w:val="00B36471"/>
    <w:rsid w:val="00B364A7"/>
    <w:rsid w:val="00B367DB"/>
    <w:rsid w:val="00B36A4B"/>
    <w:rsid w:val="00B36ADC"/>
    <w:rsid w:val="00B36CFB"/>
    <w:rsid w:val="00B371F3"/>
    <w:rsid w:val="00B37344"/>
    <w:rsid w:val="00B37496"/>
    <w:rsid w:val="00B374CB"/>
    <w:rsid w:val="00B3753B"/>
    <w:rsid w:val="00B3785F"/>
    <w:rsid w:val="00B378A1"/>
    <w:rsid w:val="00B37B84"/>
    <w:rsid w:val="00B4007F"/>
    <w:rsid w:val="00B400C6"/>
    <w:rsid w:val="00B40B0B"/>
    <w:rsid w:val="00B40C6E"/>
    <w:rsid w:val="00B41205"/>
    <w:rsid w:val="00B4148B"/>
    <w:rsid w:val="00B41722"/>
    <w:rsid w:val="00B41F57"/>
    <w:rsid w:val="00B42053"/>
    <w:rsid w:val="00B424E2"/>
    <w:rsid w:val="00B426E5"/>
    <w:rsid w:val="00B42A14"/>
    <w:rsid w:val="00B436DC"/>
    <w:rsid w:val="00B43801"/>
    <w:rsid w:val="00B43944"/>
    <w:rsid w:val="00B43D9C"/>
    <w:rsid w:val="00B443E0"/>
    <w:rsid w:val="00B44C6F"/>
    <w:rsid w:val="00B44DE3"/>
    <w:rsid w:val="00B454E3"/>
    <w:rsid w:val="00B4676E"/>
    <w:rsid w:val="00B46C6F"/>
    <w:rsid w:val="00B46F5B"/>
    <w:rsid w:val="00B474F7"/>
    <w:rsid w:val="00B47517"/>
    <w:rsid w:val="00B47A52"/>
    <w:rsid w:val="00B47E97"/>
    <w:rsid w:val="00B50182"/>
    <w:rsid w:val="00B5054D"/>
    <w:rsid w:val="00B50940"/>
    <w:rsid w:val="00B50A6F"/>
    <w:rsid w:val="00B50C95"/>
    <w:rsid w:val="00B50CD5"/>
    <w:rsid w:val="00B50F94"/>
    <w:rsid w:val="00B50F9F"/>
    <w:rsid w:val="00B5111D"/>
    <w:rsid w:val="00B516CF"/>
    <w:rsid w:val="00B51975"/>
    <w:rsid w:val="00B51F0A"/>
    <w:rsid w:val="00B5222E"/>
    <w:rsid w:val="00B52312"/>
    <w:rsid w:val="00B5269D"/>
    <w:rsid w:val="00B5293F"/>
    <w:rsid w:val="00B52A23"/>
    <w:rsid w:val="00B52A51"/>
    <w:rsid w:val="00B53334"/>
    <w:rsid w:val="00B5346E"/>
    <w:rsid w:val="00B53500"/>
    <w:rsid w:val="00B53B67"/>
    <w:rsid w:val="00B53FDF"/>
    <w:rsid w:val="00B540DE"/>
    <w:rsid w:val="00B540F0"/>
    <w:rsid w:val="00B5410E"/>
    <w:rsid w:val="00B541F4"/>
    <w:rsid w:val="00B54792"/>
    <w:rsid w:val="00B5499F"/>
    <w:rsid w:val="00B54BF3"/>
    <w:rsid w:val="00B5526A"/>
    <w:rsid w:val="00B55562"/>
    <w:rsid w:val="00B55772"/>
    <w:rsid w:val="00B55F29"/>
    <w:rsid w:val="00B560A2"/>
    <w:rsid w:val="00B56A6D"/>
    <w:rsid w:val="00B56BD4"/>
    <w:rsid w:val="00B570E7"/>
    <w:rsid w:val="00B57135"/>
    <w:rsid w:val="00B57507"/>
    <w:rsid w:val="00B5773A"/>
    <w:rsid w:val="00B609AB"/>
    <w:rsid w:val="00B60D6A"/>
    <w:rsid w:val="00B61942"/>
    <w:rsid w:val="00B62351"/>
    <w:rsid w:val="00B62448"/>
    <w:rsid w:val="00B625F0"/>
    <w:rsid w:val="00B62DBE"/>
    <w:rsid w:val="00B63084"/>
    <w:rsid w:val="00B6314B"/>
    <w:rsid w:val="00B6341D"/>
    <w:rsid w:val="00B63808"/>
    <w:rsid w:val="00B63B81"/>
    <w:rsid w:val="00B63BE5"/>
    <w:rsid w:val="00B63C6C"/>
    <w:rsid w:val="00B6401F"/>
    <w:rsid w:val="00B64229"/>
    <w:rsid w:val="00B642E6"/>
    <w:rsid w:val="00B647E9"/>
    <w:rsid w:val="00B65003"/>
    <w:rsid w:val="00B65305"/>
    <w:rsid w:val="00B656DE"/>
    <w:rsid w:val="00B65705"/>
    <w:rsid w:val="00B6604F"/>
    <w:rsid w:val="00B660D8"/>
    <w:rsid w:val="00B66289"/>
    <w:rsid w:val="00B66730"/>
    <w:rsid w:val="00B66937"/>
    <w:rsid w:val="00B66D93"/>
    <w:rsid w:val="00B66E4F"/>
    <w:rsid w:val="00B672CA"/>
    <w:rsid w:val="00B67668"/>
    <w:rsid w:val="00B67872"/>
    <w:rsid w:val="00B678D9"/>
    <w:rsid w:val="00B67F69"/>
    <w:rsid w:val="00B70761"/>
    <w:rsid w:val="00B70B05"/>
    <w:rsid w:val="00B70E24"/>
    <w:rsid w:val="00B710E7"/>
    <w:rsid w:val="00B71772"/>
    <w:rsid w:val="00B71C2D"/>
    <w:rsid w:val="00B71C5A"/>
    <w:rsid w:val="00B72060"/>
    <w:rsid w:val="00B728F1"/>
    <w:rsid w:val="00B731C8"/>
    <w:rsid w:val="00B733D6"/>
    <w:rsid w:val="00B73C6E"/>
    <w:rsid w:val="00B73CE1"/>
    <w:rsid w:val="00B73EA3"/>
    <w:rsid w:val="00B73F00"/>
    <w:rsid w:val="00B7419E"/>
    <w:rsid w:val="00B7449F"/>
    <w:rsid w:val="00B7496E"/>
    <w:rsid w:val="00B750B8"/>
    <w:rsid w:val="00B7557A"/>
    <w:rsid w:val="00B75DAF"/>
    <w:rsid w:val="00B76112"/>
    <w:rsid w:val="00B765B8"/>
    <w:rsid w:val="00B76694"/>
    <w:rsid w:val="00B76758"/>
    <w:rsid w:val="00B76C69"/>
    <w:rsid w:val="00B772AE"/>
    <w:rsid w:val="00B7749F"/>
    <w:rsid w:val="00B775F6"/>
    <w:rsid w:val="00B77BE0"/>
    <w:rsid w:val="00B8001B"/>
    <w:rsid w:val="00B8008A"/>
    <w:rsid w:val="00B801E6"/>
    <w:rsid w:val="00B802EB"/>
    <w:rsid w:val="00B80DFC"/>
    <w:rsid w:val="00B8121E"/>
    <w:rsid w:val="00B819B1"/>
    <w:rsid w:val="00B819D2"/>
    <w:rsid w:val="00B821A9"/>
    <w:rsid w:val="00B82322"/>
    <w:rsid w:val="00B82471"/>
    <w:rsid w:val="00B8251D"/>
    <w:rsid w:val="00B827BD"/>
    <w:rsid w:val="00B82B83"/>
    <w:rsid w:val="00B82EC2"/>
    <w:rsid w:val="00B833C8"/>
    <w:rsid w:val="00B83782"/>
    <w:rsid w:val="00B83A89"/>
    <w:rsid w:val="00B83ACB"/>
    <w:rsid w:val="00B83D49"/>
    <w:rsid w:val="00B83F18"/>
    <w:rsid w:val="00B84367"/>
    <w:rsid w:val="00B84D25"/>
    <w:rsid w:val="00B84DDE"/>
    <w:rsid w:val="00B8553B"/>
    <w:rsid w:val="00B85562"/>
    <w:rsid w:val="00B85E47"/>
    <w:rsid w:val="00B85EE0"/>
    <w:rsid w:val="00B86095"/>
    <w:rsid w:val="00B8649C"/>
    <w:rsid w:val="00B868C4"/>
    <w:rsid w:val="00B878EE"/>
    <w:rsid w:val="00B9065C"/>
    <w:rsid w:val="00B90C42"/>
    <w:rsid w:val="00B90C90"/>
    <w:rsid w:val="00B90DDE"/>
    <w:rsid w:val="00B90F7F"/>
    <w:rsid w:val="00B9123F"/>
    <w:rsid w:val="00B91BC3"/>
    <w:rsid w:val="00B92AD3"/>
    <w:rsid w:val="00B92C31"/>
    <w:rsid w:val="00B92DA4"/>
    <w:rsid w:val="00B92F3F"/>
    <w:rsid w:val="00B93068"/>
    <w:rsid w:val="00B930CC"/>
    <w:rsid w:val="00B9315F"/>
    <w:rsid w:val="00B93285"/>
    <w:rsid w:val="00B932E8"/>
    <w:rsid w:val="00B934AF"/>
    <w:rsid w:val="00B93869"/>
    <w:rsid w:val="00B9386E"/>
    <w:rsid w:val="00B93BBA"/>
    <w:rsid w:val="00B93BD6"/>
    <w:rsid w:val="00B93D2D"/>
    <w:rsid w:val="00B93E3C"/>
    <w:rsid w:val="00B93EA5"/>
    <w:rsid w:val="00B93FF3"/>
    <w:rsid w:val="00B947B8"/>
    <w:rsid w:val="00B94802"/>
    <w:rsid w:val="00B94D79"/>
    <w:rsid w:val="00B94E21"/>
    <w:rsid w:val="00B94E53"/>
    <w:rsid w:val="00B950ED"/>
    <w:rsid w:val="00B95127"/>
    <w:rsid w:val="00B952A2"/>
    <w:rsid w:val="00B9534C"/>
    <w:rsid w:val="00B95A24"/>
    <w:rsid w:val="00B95C53"/>
    <w:rsid w:val="00B95C98"/>
    <w:rsid w:val="00B95CD2"/>
    <w:rsid w:val="00B95DEF"/>
    <w:rsid w:val="00B962BF"/>
    <w:rsid w:val="00B9647D"/>
    <w:rsid w:val="00B96571"/>
    <w:rsid w:val="00B96BA3"/>
    <w:rsid w:val="00B974D2"/>
    <w:rsid w:val="00B977B5"/>
    <w:rsid w:val="00B97F62"/>
    <w:rsid w:val="00BA01F7"/>
    <w:rsid w:val="00BA024F"/>
    <w:rsid w:val="00BA03FE"/>
    <w:rsid w:val="00BA040F"/>
    <w:rsid w:val="00BA0AE4"/>
    <w:rsid w:val="00BA0BA1"/>
    <w:rsid w:val="00BA1C03"/>
    <w:rsid w:val="00BA1DE0"/>
    <w:rsid w:val="00BA2373"/>
    <w:rsid w:val="00BA266B"/>
    <w:rsid w:val="00BA2763"/>
    <w:rsid w:val="00BA27F4"/>
    <w:rsid w:val="00BA2F83"/>
    <w:rsid w:val="00BA3049"/>
    <w:rsid w:val="00BA3471"/>
    <w:rsid w:val="00BA355F"/>
    <w:rsid w:val="00BA368F"/>
    <w:rsid w:val="00BA39EE"/>
    <w:rsid w:val="00BA41EA"/>
    <w:rsid w:val="00BA4231"/>
    <w:rsid w:val="00BA45AE"/>
    <w:rsid w:val="00BA4838"/>
    <w:rsid w:val="00BA4CCE"/>
    <w:rsid w:val="00BA4D1F"/>
    <w:rsid w:val="00BA4F25"/>
    <w:rsid w:val="00BA5052"/>
    <w:rsid w:val="00BA5391"/>
    <w:rsid w:val="00BA580C"/>
    <w:rsid w:val="00BA5E2E"/>
    <w:rsid w:val="00BA61F1"/>
    <w:rsid w:val="00BA6346"/>
    <w:rsid w:val="00BA6765"/>
    <w:rsid w:val="00BA68FB"/>
    <w:rsid w:val="00BA7124"/>
    <w:rsid w:val="00BA73DB"/>
    <w:rsid w:val="00BA7B58"/>
    <w:rsid w:val="00BA7B77"/>
    <w:rsid w:val="00BB074C"/>
    <w:rsid w:val="00BB080F"/>
    <w:rsid w:val="00BB0A84"/>
    <w:rsid w:val="00BB0C21"/>
    <w:rsid w:val="00BB0C40"/>
    <w:rsid w:val="00BB0C4C"/>
    <w:rsid w:val="00BB0F09"/>
    <w:rsid w:val="00BB0F41"/>
    <w:rsid w:val="00BB108B"/>
    <w:rsid w:val="00BB10C8"/>
    <w:rsid w:val="00BB13FD"/>
    <w:rsid w:val="00BB14D2"/>
    <w:rsid w:val="00BB2089"/>
    <w:rsid w:val="00BB21D8"/>
    <w:rsid w:val="00BB23C3"/>
    <w:rsid w:val="00BB25EA"/>
    <w:rsid w:val="00BB2612"/>
    <w:rsid w:val="00BB284B"/>
    <w:rsid w:val="00BB2881"/>
    <w:rsid w:val="00BB2B2E"/>
    <w:rsid w:val="00BB2D38"/>
    <w:rsid w:val="00BB307D"/>
    <w:rsid w:val="00BB335B"/>
    <w:rsid w:val="00BB3399"/>
    <w:rsid w:val="00BB33C4"/>
    <w:rsid w:val="00BB3439"/>
    <w:rsid w:val="00BB3840"/>
    <w:rsid w:val="00BB3B5F"/>
    <w:rsid w:val="00BB44BB"/>
    <w:rsid w:val="00BB45B5"/>
    <w:rsid w:val="00BB45E5"/>
    <w:rsid w:val="00BB4B5E"/>
    <w:rsid w:val="00BB523E"/>
    <w:rsid w:val="00BB52D0"/>
    <w:rsid w:val="00BB54EB"/>
    <w:rsid w:val="00BB5697"/>
    <w:rsid w:val="00BB5B12"/>
    <w:rsid w:val="00BB5C24"/>
    <w:rsid w:val="00BB5C8B"/>
    <w:rsid w:val="00BB69CC"/>
    <w:rsid w:val="00BB6BB8"/>
    <w:rsid w:val="00BB6C3A"/>
    <w:rsid w:val="00BB6D33"/>
    <w:rsid w:val="00BB6D67"/>
    <w:rsid w:val="00BB71C0"/>
    <w:rsid w:val="00BB7F95"/>
    <w:rsid w:val="00BC0220"/>
    <w:rsid w:val="00BC04ED"/>
    <w:rsid w:val="00BC0606"/>
    <w:rsid w:val="00BC061B"/>
    <w:rsid w:val="00BC0720"/>
    <w:rsid w:val="00BC0773"/>
    <w:rsid w:val="00BC08FB"/>
    <w:rsid w:val="00BC0A89"/>
    <w:rsid w:val="00BC0FCE"/>
    <w:rsid w:val="00BC15E8"/>
    <w:rsid w:val="00BC1751"/>
    <w:rsid w:val="00BC1AF5"/>
    <w:rsid w:val="00BC1AFF"/>
    <w:rsid w:val="00BC1F63"/>
    <w:rsid w:val="00BC2719"/>
    <w:rsid w:val="00BC27C8"/>
    <w:rsid w:val="00BC2AA6"/>
    <w:rsid w:val="00BC2EF6"/>
    <w:rsid w:val="00BC3258"/>
    <w:rsid w:val="00BC32ED"/>
    <w:rsid w:val="00BC3474"/>
    <w:rsid w:val="00BC35A3"/>
    <w:rsid w:val="00BC4321"/>
    <w:rsid w:val="00BC44D7"/>
    <w:rsid w:val="00BC4750"/>
    <w:rsid w:val="00BC47F1"/>
    <w:rsid w:val="00BC5199"/>
    <w:rsid w:val="00BC52DA"/>
    <w:rsid w:val="00BC530F"/>
    <w:rsid w:val="00BC55B3"/>
    <w:rsid w:val="00BC5660"/>
    <w:rsid w:val="00BC5782"/>
    <w:rsid w:val="00BC5ADD"/>
    <w:rsid w:val="00BC5C11"/>
    <w:rsid w:val="00BC5DA3"/>
    <w:rsid w:val="00BC60F5"/>
    <w:rsid w:val="00BC62C8"/>
    <w:rsid w:val="00BC6731"/>
    <w:rsid w:val="00BC6757"/>
    <w:rsid w:val="00BC7487"/>
    <w:rsid w:val="00BC764A"/>
    <w:rsid w:val="00BC7940"/>
    <w:rsid w:val="00BC79A0"/>
    <w:rsid w:val="00BD067D"/>
    <w:rsid w:val="00BD075E"/>
    <w:rsid w:val="00BD0987"/>
    <w:rsid w:val="00BD0CCB"/>
    <w:rsid w:val="00BD1114"/>
    <w:rsid w:val="00BD1630"/>
    <w:rsid w:val="00BD1889"/>
    <w:rsid w:val="00BD1E6D"/>
    <w:rsid w:val="00BD2511"/>
    <w:rsid w:val="00BD265F"/>
    <w:rsid w:val="00BD2BCF"/>
    <w:rsid w:val="00BD2F9F"/>
    <w:rsid w:val="00BD3220"/>
    <w:rsid w:val="00BD35B0"/>
    <w:rsid w:val="00BD3668"/>
    <w:rsid w:val="00BD366D"/>
    <w:rsid w:val="00BD37BE"/>
    <w:rsid w:val="00BD4389"/>
    <w:rsid w:val="00BD4862"/>
    <w:rsid w:val="00BD5765"/>
    <w:rsid w:val="00BD5DBC"/>
    <w:rsid w:val="00BD5FF7"/>
    <w:rsid w:val="00BD628A"/>
    <w:rsid w:val="00BD6A3B"/>
    <w:rsid w:val="00BD6EC5"/>
    <w:rsid w:val="00BD7087"/>
    <w:rsid w:val="00BD70F5"/>
    <w:rsid w:val="00BD75B8"/>
    <w:rsid w:val="00BD7688"/>
    <w:rsid w:val="00BD79C7"/>
    <w:rsid w:val="00BE0338"/>
    <w:rsid w:val="00BE0617"/>
    <w:rsid w:val="00BE097B"/>
    <w:rsid w:val="00BE0A02"/>
    <w:rsid w:val="00BE0E73"/>
    <w:rsid w:val="00BE0F2B"/>
    <w:rsid w:val="00BE1606"/>
    <w:rsid w:val="00BE232E"/>
    <w:rsid w:val="00BE23DB"/>
    <w:rsid w:val="00BE2702"/>
    <w:rsid w:val="00BE2F99"/>
    <w:rsid w:val="00BE3091"/>
    <w:rsid w:val="00BE3325"/>
    <w:rsid w:val="00BE3AD6"/>
    <w:rsid w:val="00BE3D15"/>
    <w:rsid w:val="00BE43E6"/>
    <w:rsid w:val="00BE443C"/>
    <w:rsid w:val="00BE4BBF"/>
    <w:rsid w:val="00BE4FF5"/>
    <w:rsid w:val="00BE546B"/>
    <w:rsid w:val="00BE56DB"/>
    <w:rsid w:val="00BE5A34"/>
    <w:rsid w:val="00BE5B93"/>
    <w:rsid w:val="00BE5F49"/>
    <w:rsid w:val="00BE5FCF"/>
    <w:rsid w:val="00BE612B"/>
    <w:rsid w:val="00BE619E"/>
    <w:rsid w:val="00BE6826"/>
    <w:rsid w:val="00BE68D4"/>
    <w:rsid w:val="00BE717F"/>
    <w:rsid w:val="00BE7B36"/>
    <w:rsid w:val="00BE7BFA"/>
    <w:rsid w:val="00BE7C68"/>
    <w:rsid w:val="00BE7CC7"/>
    <w:rsid w:val="00BF08FA"/>
    <w:rsid w:val="00BF0D1D"/>
    <w:rsid w:val="00BF0E12"/>
    <w:rsid w:val="00BF109F"/>
    <w:rsid w:val="00BF1115"/>
    <w:rsid w:val="00BF223C"/>
    <w:rsid w:val="00BF26BD"/>
    <w:rsid w:val="00BF294F"/>
    <w:rsid w:val="00BF2A2B"/>
    <w:rsid w:val="00BF3690"/>
    <w:rsid w:val="00BF3710"/>
    <w:rsid w:val="00BF377A"/>
    <w:rsid w:val="00BF38FE"/>
    <w:rsid w:val="00BF395D"/>
    <w:rsid w:val="00BF3B06"/>
    <w:rsid w:val="00BF3CBB"/>
    <w:rsid w:val="00BF3ED5"/>
    <w:rsid w:val="00BF4249"/>
    <w:rsid w:val="00BF4347"/>
    <w:rsid w:val="00BF43B2"/>
    <w:rsid w:val="00BF463A"/>
    <w:rsid w:val="00BF46B6"/>
    <w:rsid w:val="00BF57E1"/>
    <w:rsid w:val="00BF5932"/>
    <w:rsid w:val="00BF59CF"/>
    <w:rsid w:val="00BF59E7"/>
    <w:rsid w:val="00BF6013"/>
    <w:rsid w:val="00BF6044"/>
    <w:rsid w:val="00BF60DC"/>
    <w:rsid w:val="00BF6821"/>
    <w:rsid w:val="00BF6B59"/>
    <w:rsid w:val="00BF6C9D"/>
    <w:rsid w:val="00BF74C8"/>
    <w:rsid w:val="00BF7809"/>
    <w:rsid w:val="00BF78C1"/>
    <w:rsid w:val="00BF7B0B"/>
    <w:rsid w:val="00BF7E91"/>
    <w:rsid w:val="00C00124"/>
    <w:rsid w:val="00C003EE"/>
    <w:rsid w:val="00C0066F"/>
    <w:rsid w:val="00C016E8"/>
    <w:rsid w:val="00C01A2C"/>
    <w:rsid w:val="00C01E2A"/>
    <w:rsid w:val="00C01E6B"/>
    <w:rsid w:val="00C02012"/>
    <w:rsid w:val="00C021F5"/>
    <w:rsid w:val="00C0233C"/>
    <w:rsid w:val="00C026C8"/>
    <w:rsid w:val="00C02BB1"/>
    <w:rsid w:val="00C02EE2"/>
    <w:rsid w:val="00C038A6"/>
    <w:rsid w:val="00C038B0"/>
    <w:rsid w:val="00C04067"/>
    <w:rsid w:val="00C04231"/>
    <w:rsid w:val="00C045CD"/>
    <w:rsid w:val="00C04CB3"/>
    <w:rsid w:val="00C04D20"/>
    <w:rsid w:val="00C05010"/>
    <w:rsid w:val="00C053BE"/>
    <w:rsid w:val="00C05404"/>
    <w:rsid w:val="00C05C49"/>
    <w:rsid w:val="00C05EA9"/>
    <w:rsid w:val="00C05EE9"/>
    <w:rsid w:val="00C06AB9"/>
    <w:rsid w:val="00C0754B"/>
    <w:rsid w:val="00C07B81"/>
    <w:rsid w:val="00C07C63"/>
    <w:rsid w:val="00C10608"/>
    <w:rsid w:val="00C10CB5"/>
    <w:rsid w:val="00C11116"/>
    <w:rsid w:val="00C11702"/>
    <w:rsid w:val="00C11FEB"/>
    <w:rsid w:val="00C12014"/>
    <w:rsid w:val="00C132D2"/>
    <w:rsid w:val="00C13390"/>
    <w:rsid w:val="00C133AB"/>
    <w:rsid w:val="00C137A7"/>
    <w:rsid w:val="00C139D3"/>
    <w:rsid w:val="00C13A17"/>
    <w:rsid w:val="00C13BCB"/>
    <w:rsid w:val="00C13C61"/>
    <w:rsid w:val="00C146E8"/>
    <w:rsid w:val="00C14E27"/>
    <w:rsid w:val="00C1508B"/>
    <w:rsid w:val="00C1520D"/>
    <w:rsid w:val="00C152AD"/>
    <w:rsid w:val="00C156DD"/>
    <w:rsid w:val="00C15CB9"/>
    <w:rsid w:val="00C15CEA"/>
    <w:rsid w:val="00C163DE"/>
    <w:rsid w:val="00C16A36"/>
    <w:rsid w:val="00C16CA9"/>
    <w:rsid w:val="00C16CF9"/>
    <w:rsid w:val="00C170B4"/>
    <w:rsid w:val="00C17411"/>
    <w:rsid w:val="00C1779E"/>
    <w:rsid w:val="00C209F2"/>
    <w:rsid w:val="00C210B0"/>
    <w:rsid w:val="00C21573"/>
    <w:rsid w:val="00C21A5A"/>
    <w:rsid w:val="00C21DEA"/>
    <w:rsid w:val="00C21EAE"/>
    <w:rsid w:val="00C21EDE"/>
    <w:rsid w:val="00C21F93"/>
    <w:rsid w:val="00C22406"/>
    <w:rsid w:val="00C2244C"/>
    <w:rsid w:val="00C225A1"/>
    <w:rsid w:val="00C22B74"/>
    <w:rsid w:val="00C22E09"/>
    <w:rsid w:val="00C23360"/>
    <w:rsid w:val="00C23795"/>
    <w:rsid w:val="00C237B9"/>
    <w:rsid w:val="00C23932"/>
    <w:rsid w:val="00C23A8A"/>
    <w:rsid w:val="00C23DBD"/>
    <w:rsid w:val="00C23F20"/>
    <w:rsid w:val="00C24861"/>
    <w:rsid w:val="00C24FDD"/>
    <w:rsid w:val="00C25001"/>
    <w:rsid w:val="00C2585D"/>
    <w:rsid w:val="00C258D2"/>
    <w:rsid w:val="00C25CA0"/>
    <w:rsid w:val="00C260AD"/>
    <w:rsid w:val="00C2673B"/>
    <w:rsid w:val="00C26765"/>
    <w:rsid w:val="00C26830"/>
    <w:rsid w:val="00C26CB4"/>
    <w:rsid w:val="00C26DB3"/>
    <w:rsid w:val="00C26F28"/>
    <w:rsid w:val="00C270C5"/>
    <w:rsid w:val="00C27823"/>
    <w:rsid w:val="00C27EBD"/>
    <w:rsid w:val="00C3026F"/>
    <w:rsid w:val="00C307D1"/>
    <w:rsid w:val="00C307EA"/>
    <w:rsid w:val="00C30968"/>
    <w:rsid w:val="00C30DF8"/>
    <w:rsid w:val="00C30E5E"/>
    <w:rsid w:val="00C3114B"/>
    <w:rsid w:val="00C31187"/>
    <w:rsid w:val="00C3150C"/>
    <w:rsid w:val="00C31F5B"/>
    <w:rsid w:val="00C322E3"/>
    <w:rsid w:val="00C32590"/>
    <w:rsid w:val="00C326F4"/>
    <w:rsid w:val="00C32F51"/>
    <w:rsid w:val="00C33220"/>
    <w:rsid w:val="00C33332"/>
    <w:rsid w:val="00C339A3"/>
    <w:rsid w:val="00C33ACA"/>
    <w:rsid w:val="00C33C53"/>
    <w:rsid w:val="00C33EC6"/>
    <w:rsid w:val="00C33FCF"/>
    <w:rsid w:val="00C3423A"/>
    <w:rsid w:val="00C349C8"/>
    <w:rsid w:val="00C34BCC"/>
    <w:rsid w:val="00C34E22"/>
    <w:rsid w:val="00C34FAA"/>
    <w:rsid w:val="00C34FFD"/>
    <w:rsid w:val="00C354E4"/>
    <w:rsid w:val="00C35AC3"/>
    <w:rsid w:val="00C35B74"/>
    <w:rsid w:val="00C36007"/>
    <w:rsid w:val="00C360C3"/>
    <w:rsid w:val="00C36BDB"/>
    <w:rsid w:val="00C374A4"/>
    <w:rsid w:val="00C37805"/>
    <w:rsid w:val="00C37921"/>
    <w:rsid w:val="00C403B4"/>
    <w:rsid w:val="00C4085F"/>
    <w:rsid w:val="00C40BC5"/>
    <w:rsid w:val="00C40E83"/>
    <w:rsid w:val="00C40F7F"/>
    <w:rsid w:val="00C4108B"/>
    <w:rsid w:val="00C41171"/>
    <w:rsid w:val="00C41310"/>
    <w:rsid w:val="00C41555"/>
    <w:rsid w:val="00C41AFC"/>
    <w:rsid w:val="00C41C94"/>
    <w:rsid w:val="00C422F7"/>
    <w:rsid w:val="00C42850"/>
    <w:rsid w:val="00C42B52"/>
    <w:rsid w:val="00C42B54"/>
    <w:rsid w:val="00C42F0F"/>
    <w:rsid w:val="00C43033"/>
    <w:rsid w:val="00C436F9"/>
    <w:rsid w:val="00C4393F"/>
    <w:rsid w:val="00C4395D"/>
    <w:rsid w:val="00C43AF8"/>
    <w:rsid w:val="00C43C47"/>
    <w:rsid w:val="00C43FD0"/>
    <w:rsid w:val="00C44277"/>
    <w:rsid w:val="00C44488"/>
    <w:rsid w:val="00C4451A"/>
    <w:rsid w:val="00C44ABC"/>
    <w:rsid w:val="00C44EBF"/>
    <w:rsid w:val="00C44FBF"/>
    <w:rsid w:val="00C450B6"/>
    <w:rsid w:val="00C451E3"/>
    <w:rsid w:val="00C45316"/>
    <w:rsid w:val="00C455C8"/>
    <w:rsid w:val="00C45B6E"/>
    <w:rsid w:val="00C45C47"/>
    <w:rsid w:val="00C460B0"/>
    <w:rsid w:val="00C46218"/>
    <w:rsid w:val="00C463A2"/>
    <w:rsid w:val="00C46516"/>
    <w:rsid w:val="00C465A7"/>
    <w:rsid w:val="00C467CB"/>
    <w:rsid w:val="00C46B65"/>
    <w:rsid w:val="00C46BAA"/>
    <w:rsid w:val="00C46BC4"/>
    <w:rsid w:val="00C47826"/>
    <w:rsid w:val="00C4793A"/>
    <w:rsid w:val="00C47A73"/>
    <w:rsid w:val="00C47D0C"/>
    <w:rsid w:val="00C47D57"/>
    <w:rsid w:val="00C47EA3"/>
    <w:rsid w:val="00C50090"/>
    <w:rsid w:val="00C50689"/>
    <w:rsid w:val="00C50ADF"/>
    <w:rsid w:val="00C50D81"/>
    <w:rsid w:val="00C51180"/>
    <w:rsid w:val="00C51779"/>
    <w:rsid w:val="00C51F1E"/>
    <w:rsid w:val="00C52190"/>
    <w:rsid w:val="00C52C3D"/>
    <w:rsid w:val="00C52E48"/>
    <w:rsid w:val="00C53123"/>
    <w:rsid w:val="00C533D8"/>
    <w:rsid w:val="00C53DFF"/>
    <w:rsid w:val="00C53F77"/>
    <w:rsid w:val="00C54703"/>
    <w:rsid w:val="00C54A5D"/>
    <w:rsid w:val="00C54ADB"/>
    <w:rsid w:val="00C54D54"/>
    <w:rsid w:val="00C551DB"/>
    <w:rsid w:val="00C55433"/>
    <w:rsid w:val="00C55B2E"/>
    <w:rsid w:val="00C55EA8"/>
    <w:rsid w:val="00C56692"/>
    <w:rsid w:val="00C566C8"/>
    <w:rsid w:val="00C56717"/>
    <w:rsid w:val="00C56731"/>
    <w:rsid w:val="00C56A44"/>
    <w:rsid w:val="00C56B69"/>
    <w:rsid w:val="00C56BA1"/>
    <w:rsid w:val="00C57496"/>
    <w:rsid w:val="00C57604"/>
    <w:rsid w:val="00C5766D"/>
    <w:rsid w:val="00C57812"/>
    <w:rsid w:val="00C5799B"/>
    <w:rsid w:val="00C60073"/>
    <w:rsid w:val="00C60539"/>
    <w:rsid w:val="00C608A7"/>
    <w:rsid w:val="00C60A0A"/>
    <w:rsid w:val="00C60CD5"/>
    <w:rsid w:val="00C60D5D"/>
    <w:rsid w:val="00C60DBC"/>
    <w:rsid w:val="00C61087"/>
    <w:rsid w:val="00C6208D"/>
    <w:rsid w:val="00C62B27"/>
    <w:rsid w:val="00C62D36"/>
    <w:rsid w:val="00C63256"/>
    <w:rsid w:val="00C6351A"/>
    <w:rsid w:val="00C6369D"/>
    <w:rsid w:val="00C637EE"/>
    <w:rsid w:val="00C64A14"/>
    <w:rsid w:val="00C64F63"/>
    <w:rsid w:val="00C65117"/>
    <w:rsid w:val="00C656E0"/>
    <w:rsid w:val="00C65B08"/>
    <w:rsid w:val="00C65DBB"/>
    <w:rsid w:val="00C661C5"/>
    <w:rsid w:val="00C6635D"/>
    <w:rsid w:val="00C66B6A"/>
    <w:rsid w:val="00C66C5C"/>
    <w:rsid w:val="00C67492"/>
    <w:rsid w:val="00C67A0D"/>
    <w:rsid w:val="00C67F1C"/>
    <w:rsid w:val="00C67FFB"/>
    <w:rsid w:val="00C7003E"/>
    <w:rsid w:val="00C7014A"/>
    <w:rsid w:val="00C7016A"/>
    <w:rsid w:val="00C701BC"/>
    <w:rsid w:val="00C70693"/>
    <w:rsid w:val="00C70C2C"/>
    <w:rsid w:val="00C70EE6"/>
    <w:rsid w:val="00C71457"/>
    <w:rsid w:val="00C714A9"/>
    <w:rsid w:val="00C7171C"/>
    <w:rsid w:val="00C71786"/>
    <w:rsid w:val="00C71CD7"/>
    <w:rsid w:val="00C71F10"/>
    <w:rsid w:val="00C72401"/>
    <w:rsid w:val="00C72691"/>
    <w:rsid w:val="00C72830"/>
    <w:rsid w:val="00C728AD"/>
    <w:rsid w:val="00C72B0B"/>
    <w:rsid w:val="00C72C65"/>
    <w:rsid w:val="00C72D89"/>
    <w:rsid w:val="00C72E10"/>
    <w:rsid w:val="00C72FE9"/>
    <w:rsid w:val="00C7307B"/>
    <w:rsid w:val="00C738DF"/>
    <w:rsid w:val="00C73B6C"/>
    <w:rsid w:val="00C741AF"/>
    <w:rsid w:val="00C7440D"/>
    <w:rsid w:val="00C7475F"/>
    <w:rsid w:val="00C74790"/>
    <w:rsid w:val="00C747AB"/>
    <w:rsid w:val="00C74828"/>
    <w:rsid w:val="00C751C7"/>
    <w:rsid w:val="00C75234"/>
    <w:rsid w:val="00C75A47"/>
    <w:rsid w:val="00C75CF2"/>
    <w:rsid w:val="00C75EE8"/>
    <w:rsid w:val="00C763BD"/>
    <w:rsid w:val="00C76407"/>
    <w:rsid w:val="00C76580"/>
    <w:rsid w:val="00C76C39"/>
    <w:rsid w:val="00C76E2A"/>
    <w:rsid w:val="00C76F73"/>
    <w:rsid w:val="00C773AF"/>
    <w:rsid w:val="00C77538"/>
    <w:rsid w:val="00C7772A"/>
    <w:rsid w:val="00C77738"/>
    <w:rsid w:val="00C77BCF"/>
    <w:rsid w:val="00C809E6"/>
    <w:rsid w:val="00C80FAD"/>
    <w:rsid w:val="00C8109B"/>
    <w:rsid w:val="00C819F5"/>
    <w:rsid w:val="00C81A7C"/>
    <w:rsid w:val="00C81BC3"/>
    <w:rsid w:val="00C821E2"/>
    <w:rsid w:val="00C82442"/>
    <w:rsid w:val="00C8266E"/>
    <w:rsid w:val="00C8305C"/>
    <w:rsid w:val="00C83B72"/>
    <w:rsid w:val="00C83FE1"/>
    <w:rsid w:val="00C84730"/>
    <w:rsid w:val="00C847FC"/>
    <w:rsid w:val="00C849F3"/>
    <w:rsid w:val="00C850B9"/>
    <w:rsid w:val="00C8512E"/>
    <w:rsid w:val="00C8557A"/>
    <w:rsid w:val="00C858C1"/>
    <w:rsid w:val="00C859A1"/>
    <w:rsid w:val="00C85B66"/>
    <w:rsid w:val="00C85BAD"/>
    <w:rsid w:val="00C86145"/>
    <w:rsid w:val="00C861E7"/>
    <w:rsid w:val="00C865A5"/>
    <w:rsid w:val="00C86799"/>
    <w:rsid w:val="00C86DA1"/>
    <w:rsid w:val="00C86F08"/>
    <w:rsid w:val="00C87327"/>
    <w:rsid w:val="00C87452"/>
    <w:rsid w:val="00C875B4"/>
    <w:rsid w:val="00C876EB"/>
    <w:rsid w:val="00C87828"/>
    <w:rsid w:val="00C87923"/>
    <w:rsid w:val="00C87D32"/>
    <w:rsid w:val="00C87E65"/>
    <w:rsid w:val="00C904D4"/>
    <w:rsid w:val="00C9084F"/>
    <w:rsid w:val="00C90BD4"/>
    <w:rsid w:val="00C90D1B"/>
    <w:rsid w:val="00C90ECE"/>
    <w:rsid w:val="00C911C2"/>
    <w:rsid w:val="00C91463"/>
    <w:rsid w:val="00C920D7"/>
    <w:rsid w:val="00C921D9"/>
    <w:rsid w:val="00C927C7"/>
    <w:rsid w:val="00C93A3C"/>
    <w:rsid w:val="00C93B1A"/>
    <w:rsid w:val="00C93B3E"/>
    <w:rsid w:val="00C93BCE"/>
    <w:rsid w:val="00C94058"/>
    <w:rsid w:val="00C95970"/>
    <w:rsid w:val="00C95A20"/>
    <w:rsid w:val="00C95EC7"/>
    <w:rsid w:val="00C95F65"/>
    <w:rsid w:val="00C960A5"/>
    <w:rsid w:val="00C96150"/>
    <w:rsid w:val="00C961D7"/>
    <w:rsid w:val="00C96215"/>
    <w:rsid w:val="00C9679B"/>
    <w:rsid w:val="00C96AF9"/>
    <w:rsid w:val="00C96BDF"/>
    <w:rsid w:val="00C96E01"/>
    <w:rsid w:val="00C96E1B"/>
    <w:rsid w:val="00C971BA"/>
    <w:rsid w:val="00C97906"/>
    <w:rsid w:val="00C97B01"/>
    <w:rsid w:val="00CA0078"/>
    <w:rsid w:val="00CA0B43"/>
    <w:rsid w:val="00CA0D24"/>
    <w:rsid w:val="00CA13E5"/>
    <w:rsid w:val="00CA164D"/>
    <w:rsid w:val="00CA1670"/>
    <w:rsid w:val="00CA1985"/>
    <w:rsid w:val="00CA1DD1"/>
    <w:rsid w:val="00CA3092"/>
    <w:rsid w:val="00CA31CA"/>
    <w:rsid w:val="00CA3289"/>
    <w:rsid w:val="00CA32C4"/>
    <w:rsid w:val="00CA37BE"/>
    <w:rsid w:val="00CA38A6"/>
    <w:rsid w:val="00CA3A9F"/>
    <w:rsid w:val="00CA3B0E"/>
    <w:rsid w:val="00CA3FF7"/>
    <w:rsid w:val="00CA459D"/>
    <w:rsid w:val="00CA47C2"/>
    <w:rsid w:val="00CA487E"/>
    <w:rsid w:val="00CA4C25"/>
    <w:rsid w:val="00CA4F78"/>
    <w:rsid w:val="00CA5512"/>
    <w:rsid w:val="00CA62A6"/>
    <w:rsid w:val="00CA6354"/>
    <w:rsid w:val="00CA65D4"/>
    <w:rsid w:val="00CA6723"/>
    <w:rsid w:val="00CA6BFD"/>
    <w:rsid w:val="00CA7216"/>
    <w:rsid w:val="00CA72B1"/>
    <w:rsid w:val="00CA7920"/>
    <w:rsid w:val="00CB09AD"/>
    <w:rsid w:val="00CB0CA6"/>
    <w:rsid w:val="00CB0D7A"/>
    <w:rsid w:val="00CB19AF"/>
    <w:rsid w:val="00CB1D32"/>
    <w:rsid w:val="00CB1E01"/>
    <w:rsid w:val="00CB21AB"/>
    <w:rsid w:val="00CB22E7"/>
    <w:rsid w:val="00CB235A"/>
    <w:rsid w:val="00CB24BB"/>
    <w:rsid w:val="00CB24DA"/>
    <w:rsid w:val="00CB2E65"/>
    <w:rsid w:val="00CB3527"/>
    <w:rsid w:val="00CB36EA"/>
    <w:rsid w:val="00CB3AB7"/>
    <w:rsid w:val="00CB3E04"/>
    <w:rsid w:val="00CB3EC3"/>
    <w:rsid w:val="00CB3FD9"/>
    <w:rsid w:val="00CB46F4"/>
    <w:rsid w:val="00CB498B"/>
    <w:rsid w:val="00CB4E77"/>
    <w:rsid w:val="00CB4F7F"/>
    <w:rsid w:val="00CB51FB"/>
    <w:rsid w:val="00CB5C3F"/>
    <w:rsid w:val="00CB5DD7"/>
    <w:rsid w:val="00CB5E75"/>
    <w:rsid w:val="00CB7436"/>
    <w:rsid w:val="00CB7DE8"/>
    <w:rsid w:val="00CB7E1E"/>
    <w:rsid w:val="00CC0BC7"/>
    <w:rsid w:val="00CC10C0"/>
    <w:rsid w:val="00CC13BD"/>
    <w:rsid w:val="00CC13F5"/>
    <w:rsid w:val="00CC1839"/>
    <w:rsid w:val="00CC1856"/>
    <w:rsid w:val="00CC1B6F"/>
    <w:rsid w:val="00CC1DB0"/>
    <w:rsid w:val="00CC2821"/>
    <w:rsid w:val="00CC287E"/>
    <w:rsid w:val="00CC29CE"/>
    <w:rsid w:val="00CC2ABE"/>
    <w:rsid w:val="00CC2D75"/>
    <w:rsid w:val="00CC2DB9"/>
    <w:rsid w:val="00CC2DEA"/>
    <w:rsid w:val="00CC2FB0"/>
    <w:rsid w:val="00CC33D7"/>
    <w:rsid w:val="00CC34EA"/>
    <w:rsid w:val="00CC3A05"/>
    <w:rsid w:val="00CC3EFA"/>
    <w:rsid w:val="00CC4035"/>
    <w:rsid w:val="00CC40C4"/>
    <w:rsid w:val="00CC40FA"/>
    <w:rsid w:val="00CC478E"/>
    <w:rsid w:val="00CC4863"/>
    <w:rsid w:val="00CC4A09"/>
    <w:rsid w:val="00CC4C81"/>
    <w:rsid w:val="00CC5130"/>
    <w:rsid w:val="00CC523E"/>
    <w:rsid w:val="00CC57F0"/>
    <w:rsid w:val="00CC59C9"/>
    <w:rsid w:val="00CC5A6A"/>
    <w:rsid w:val="00CC66AC"/>
    <w:rsid w:val="00CC6D15"/>
    <w:rsid w:val="00CC7280"/>
    <w:rsid w:val="00CC72C7"/>
    <w:rsid w:val="00CC72E9"/>
    <w:rsid w:val="00CC7745"/>
    <w:rsid w:val="00CC7C71"/>
    <w:rsid w:val="00CC7CDF"/>
    <w:rsid w:val="00CD0363"/>
    <w:rsid w:val="00CD0489"/>
    <w:rsid w:val="00CD04EE"/>
    <w:rsid w:val="00CD0BB6"/>
    <w:rsid w:val="00CD0C98"/>
    <w:rsid w:val="00CD1200"/>
    <w:rsid w:val="00CD17E5"/>
    <w:rsid w:val="00CD2536"/>
    <w:rsid w:val="00CD2615"/>
    <w:rsid w:val="00CD2A66"/>
    <w:rsid w:val="00CD2A71"/>
    <w:rsid w:val="00CD2B65"/>
    <w:rsid w:val="00CD2F78"/>
    <w:rsid w:val="00CD3124"/>
    <w:rsid w:val="00CD373C"/>
    <w:rsid w:val="00CD392C"/>
    <w:rsid w:val="00CD398D"/>
    <w:rsid w:val="00CD3AED"/>
    <w:rsid w:val="00CD4186"/>
    <w:rsid w:val="00CD42BE"/>
    <w:rsid w:val="00CD44F4"/>
    <w:rsid w:val="00CD487B"/>
    <w:rsid w:val="00CD4C3A"/>
    <w:rsid w:val="00CD4D49"/>
    <w:rsid w:val="00CD5140"/>
    <w:rsid w:val="00CD5843"/>
    <w:rsid w:val="00CD5E08"/>
    <w:rsid w:val="00CD5FFA"/>
    <w:rsid w:val="00CD600E"/>
    <w:rsid w:val="00CD601A"/>
    <w:rsid w:val="00CD6378"/>
    <w:rsid w:val="00CD6439"/>
    <w:rsid w:val="00CD6F74"/>
    <w:rsid w:val="00CD72AA"/>
    <w:rsid w:val="00CD767D"/>
    <w:rsid w:val="00CD77AA"/>
    <w:rsid w:val="00CD7B53"/>
    <w:rsid w:val="00CE0156"/>
    <w:rsid w:val="00CE02D3"/>
    <w:rsid w:val="00CE050F"/>
    <w:rsid w:val="00CE054E"/>
    <w:rsid w:val="00CE066A"/>
    <w:rsid w:val="00CE07FC"/>
    <w:rsid w:val="00CE0A77"/>
    <w:rsid w:val="00CE1565"/>
    <w:rsid w:val="00CE1646"/>
    <w:rsid w:val="00CE1E2D"/>
    <w:rsid w:val="00CE1E62"/>
    <w:rsid w:val="00CE21EA"/>
    <w:rsid w:val="00CE22CC"/>
    <w:rsid w:val="00CE281F"/>
    <w:rsid w:val="00CE2B4C"/>
    <w:rsid w:val="00CE3076"/>
    <w:rsid w:val="00CE31F9"/>
    <w:rsid w:val="00CE357F"/>
    <w:rsid w:val="00CE369E"/>
    <w:rsid w:val="00CE4862"/>
    <w:rsid w:val="00CE488A"/>
    <w:rsid w:val="00CE4B01"/>
    <w:rsid w:val="00CE4C91"/>
    <w:rsid w:val="00CE4EB2"/>
    <w:rsid w:val="00CE56CF"/>
    <w:rsid w:val="00CE67CF"/>
    <w:rsid w:val="00CE6A75"/>
    <w:rsid w:val="00CE6F83"/>
    <w:rsid w:val="00CE7181"/>
    <w:rsid w:val="00CE720F"/>
    <w:rsid w:val="00CE723F"/>
    <w:rsid w:val="00CE77EC"/>
    <w:rsid w:val="00CE7AD3"/>
    <w:rsid w:val="00CE7DEC"/>
    <w:rsid w:val="00CF04E7"/>
    <w:rsid w:val="00CF0652"/>
    <w:rsid w:val="00CF0950"/>
    <w:rsid w:val="00CF0B3D"/>
    <w:rsid w:val="00CF0D56"/>
    <w:rsid w:val="00CF0D6A"/>
    <w:rsid w:val="00CF0D73"/>
    <w:rsid w:val="00CF0EBD"/>
    <w:rsid w:val="00CF1193"/>
    <w:rsid w:val="00CF1A92"/>
    <w:rsid w:val="00CF1B33"/>
    <w:rsid w:val="00CF1D70"/>
    <w:rsid w:val="00CF2D60"/>
    <w:rsid w:val="00CF2F32"/>
    <w:rsid w:val="00CF3215"/>
    <w:rsid w:val="00CF3731"/>
    <w:rsid w:val="00CF3917"/>
    <w:rsid w:val="00CF3E5E"/>
    <w:rsid w:val="00CF403E"/>
    <w:rsid w:val="00CF40ED"/>
    <w:rsid w:val="00CF4AB9"/>
    <w:rsid w:val="00CF5E1A"/>
    <w:rsid w:val="00CF62A8"/>
    <w:rsid w:val="00CF6F37"/>
    <w:rsid w:val="00CF7270"/>
    <w:rsid w:val="00CF76EB"/>
    <w:rsid w:val="00CF7C5A"/>
    <w:rsid w:val="00D0006F"/>
    <w:rsid w:val="00D0031E"/>
    <w:rsid w:val="00D004C1"/>
    <w:rsid w:val="00D00EAC"/>
    <w:rsid w:val="00D01190"/>
    <w:rsid w:val="00D016A2"/>
    <w:rsid w:val="00D01B08"/>
    <w:rsid w:val="00D01B85"/>
    <w:rsid w:val="00D01C4C"/>
    <w:rsid w:val="00D02317"/>
    <w:rsid w:val="00D023E0"/>
    <w:rsid w:val="00D02CEA"/>
    <w:rsid w:val="00D03194"/>
    <w:rsid w:val="00D03860"/>
    <w:rsid w:val="00D03E80"/>
    <w:rsid w:val="00D03EAC"/>
    <w:rsid w:val="00D03EFE"/>
    <w:rsid w:val="00D0403C"/>
    <w:rsid w:val="00D0469D"/>
    <w:rsid w:val="00D047CE"/>
    <w:rsid w:val="00D04919"/>
    <w:rsid w:val="00D049C7"/>
    <w:rsid w:val="00D04E0D"/>
    <w:rsid w:val="00D051EC"/>
    <w:rsid w:val="00D05E97"/>
    <w:rsid w:val="00D0621A"/>
    <w:rsid w:val="00D0648E"/>
    <w:rsid w:val="00D064DD"/>
    <w:rsid w:val="00D0651A"/>
    <w:rsid w:val="00D07240"/>
    <w:rsid w:val="00D0753E"/>
    <w:rsid w:val="00D075DB"/>
    <w:rsid w:val="00D078D4"/>
    <w:rsid w:val="00D10104"/>
    <w:rsid w:val="00D101DA"/>
    <w:rsid w:val="00D1110B"/>
    <w:rsid w:val="00D117D7"/>
    <w:rsid w:val="00D11BB9"/>
    <w:rsid w:val="00D11C1D"/>
    <w:rsid w:val="00D12B08"/>
    <w:rsid w:val="00D12CB2"/>
    <w:rsid w:val="00D1312F"/>
    <w:rsid w:val="00D13154"/>
    <w:rsid w:val="00D13237"/>
    <w:rsid w:val="00D1359F"/>
    <w:rsid w:val="00D13FDE"/>
    <w:rsid w:val="00D14323"/>
    <w:rsid w:val="00D14337"/>
    <w:rsid w:val="00D14658"/>
    <w:rsid w:val="00D14863"/>
    <w:rsid w:val="00D14A6C"/>
    <w:rsid w:val="00D14A76"/>
    <w:rsid w:val="00D15E53"/>
    <w:rsid w:val="00D1603B"/>
    <w:rsid w:val="00D16089"/>
    <w:rsid w:val="00D16176"/>
    <w:rsid w:val="00D1633A"/>
    <w:rsid w:val="00D1650A"/>
    <w:rsid w:val="00D16DFB"/>
    <w:rsid w:val="00D16EB7"/>
    <w:rsid w:val="00D16F61"/>
    <w:rsid w:val="00D16FF0"/>
    <w:rsid w:val="00D170EA"/>
    <w:rsid w:val="00D172EC"/>
    <w:rsid w:val="00D17607"/>
    <w:rsid w:val="00D17D0E"/>
    <w:rsid w:val="00D17EEF"/>
    <w:rsid w:val="00D2038F"/>
    <w:rsid w:val="00D206C3"/>
    <w:rsid w:val="00D208E0"/>
    <w:rsid w:val="00D20B87"/>
    <w:rsid w:val="00D20B8A"/>
    <w:rsid w:val="00D20BC7"/>
    <w:rsid w:val="00D20EF7"/>
    <w:rsid w:val="00D2127F"/>
    <w:rsid w:val="00D215D3"/>
    <w:rsid w:val="00D21802"/>
    <w:rsid w:val="00D21B81"/>
    <w:rsid w:val="00D22162"/>
    <w:rsid w:val="00D2235E"/>
    <w:rsid w:val="00D229FF"/>
    <w:rsid w:val="00D22FCA"/>
    <w:rsid w:val="00D2304B"/>
    <w:rsid w:val="00D230DF"/>
    <w:rsid w:val="00D23224"/>
    <w:rsid w:val="00D235D8"/>
    <w:rsid w:val="00D23612"/>
    <w:rsid w:val="00D237F8"/>
    <w:rsid w:val="00D2385C"/>
    <w:rsid w:val="00D25076"/>
    <w:rsid w:val="00D257C7"/>
    <w:rsid w:val="00D25B3B"/>
    <w:rsid w:val="00D25BB1"/>
    <w:rsid w:val="00D25F4C"/>
    <w:rsid w:val="00D26377"/>
    <w:rsid w:val="00D26547"/>
    <w:rsid w:val="00D26663"/>
    <w:rsid w:val="00D267D5"/>
    <w:rsid w:val="00D27A5F"/>
    <w:rsid w:val="00D3015C"/>
    <w:rsid w:val="00D309E1"/>
    <w:rsid w:val="00D30AA3"/>
    <w:rsid w:val="00D30E58"/>
    <w:rsid w:val="00D310C4"/>
    <w:rsid w:val="00D32DA5"/>
    <w:rsid w:val="00D32E79"/>
    <w:rsid w:val="00D3308C"/>
    <w:rsid w:val="00D33284"/>
    <w:rsid w:val="00D33830"/>
    <w:rsid w:val="00D33869"/>
    <w:rsid w:val="00D34326"/>
    <w:rsid w:val="00D345F4"/>
    <w:rsid w:val="00D3483F"/>
    <w:rsid w:val="00D34A22"/>
    <w:rsid w:val="00D34BC7"/>
    <w:rsid w:val="00D34FC8"/>
    <w:rsid w:val="00D3514A"/>
    <w:rsid w:val="00D353B9"/>
    <w:rsid w:val="00D35579"/>
    <w:rsid w:val="00D35983"/>
    <w:rsid w:val="00D35B42"/>
    <w:rsid w:val="00D36371"/>
    <w:rsid w:val="00D365C9"/>
    <w:rsid w:val="00D36725"/>
    <w:rsid w:val="00D369B7"/>
    <w:rsid w:val="00D36DC5"/>
    <w:rsid w:val="00D37094"/>
    <w:rsid w:val="00D37101"/>
    <w:rsid w:val="00D3716E"/>
    <w:rsid w:val="00D40191"/>
    <w:rsid w:val="00D40274"/>
    <w:rsid w:val="00D40361"/>
    <w:rsid w:val="00D4043D"/>
    <w:rsid w:val="00D40782"/>
    <w:rsid w:val="00D408A4"/>
    <w:rsid w:val="00D40B9F"/>
    <w:rsid w:val="00D40CBA"/>
    <w:rsid w:val="00D40E84"/>
    <w:rsid w:val="00D41003"/>
    <w:rsid w:val="00D4102F"/>
    <w:rsid w:val="00D412EE"/>
    <w:rsid w:val="00D416A0"/>
    <w:rsid w:val="00D41A98"/>
    <w:rsid w:val="00D41EB7"/>
    <w:rsid w:val="00D423D4"/>
    <w:rsid w:val="00D42453"/>
    <w:rsid w:val="00D42500"/>
    <w:rsid w:val="00D42ABF"/>
    <w:rsid w:val="00D42BC5"/>
    <w:rsid w:val="00D42F8D"/>
    <w:rsid w:val="00D42FB1"/>
    <w:rsid w:val="00D4310B"/>
    <w:rsid w:val="00D433E3"/>
    <w:rsid w:val="00D4431C"/>
    <w:rsid w:val="00D446CC"/>
    <w:rsid w:val="00D44A52"/>
    <w:rsid w:val="00D44AA5"/>
    <w:rsid w:val="00D44D86"/>
    <w:rsid w:val="00D45057"/>
    <w:rsid w:val="00D457F7"/>
    <w:rsid w:val="00D45B7E"/>
    <w:rsid w:val="00D45C8D"/>
    <w:rsid w:val="00D45F6A"/>
    <w:rsid w:val="00D46040"/>
    <w:rsid w:val="00D463F9"/>
    <w:rsid w:val="00D4730D"/>
    <w:rsid w:val="00D47974"/>
    <w:rsid w:val="00D47AA4"/>
    <w:rsid w:val="00D50310"/>
    <w:rsid w:val="00D503D6"/>
    <w:rsid w:val="00D506E0"/>
    <w:rsid w:val="00D5073C"/>
    <w:rsid w:val="00D50783"/>
    <w:rsid w:val="00D508BE"/>
    <w:rsid w:val="00D50A62"/>
    <w:rsid w:val="00D50B95"/>
    <w:rsid w:val="00D50C47"/>
    <w:rsid w:val="00D50EC9"/>
    <w:rsid w:val="00D519D6"/>
    <w:rsid w:val="00D5202A"/>
    <w:rsid w:val="00D5218A"/>
    <w:rsid w:val="00D533AB"/>
    <w:rsid w:val="00D53808"/>
    <w:rsid w:val="00D539BC"/>
    <w:rsid w:val="00D53AC2"/>
    <w:rsid w:val="00D53E3C"/>
    <w:rsid w:val="00D53ED7"/>
    <w:rsid w:val="00D53F27"/>
    <w:rsid w:val="00D54258"/>
    <w:rsid w:val="00D5476C"/>
    <w:rsid w:val="00D54BE4"/>
    <w:rsid w:val="00D54DAE"/>
    <w:rsid w:val="00D5505A"/>
    <w:rsid w:val="00D5524B"/>
    <w:rsid w:val="00D55530"/>
    <w:rsid w:val="00D555BD"/>
    <w:rsid w:val="00D55667"/>
    <w:rsid w:val="00D55B86"/>
    <w:rsid w:val="00D55EE7"/>
    <w:rsid w:val="00D55F1C"/>
    <w:rsid w:val="00D5609C"/>
    <w:rsid w:val="00D56101"/>
    <w:rsid w:val="00D56146"/>
    <w:rsid w:val="00D567AC"/>
    <w:rsid w:val="00D56899"/>
    <w:rsid w:val="00D56CEC"/>
    <w:rsid w:val="00D57509"/>
    <w:rsid w:val="00D57D16"/>
    <w:rsid w:val="00D57E66"/>
    <w:rsid w:val="00D57EB2"/>
    <w:rsid w:val="00D57ECE"/>
    <w:rsid w:val="00D603A0"/>
    <w:rsid w:val="00D603D6"/>
    <w:rsid w:val="00D60760"/>
    <w:rsid w:val="00D60829"/>
    <w:rsid w:val="00D60BEA"/>
    <w:rsid w:val="00D60EF3"/>
    <w:rsid w:val="00D61026"/>
    <w:rsid w:val="00D61EAF"/>
    <w:rsid w:val="00D61F78"/>
    <w:rsid w:val="00D624B4"/>
    <w:rsid w:val="00D628F9"/>
    <w:rsid w:val="00D62AAA"/>
    <w:rsid w:val="00D62C1E"/>
    <w:rsid w:val="00D63299"/>
    <w:rsid w:val="00D63B91"/>
    <w:rsid w:val="00D63BDE"/>
    <w:rsid w:val="00D643DB"/>
    <w:rsid w:val="00D64E4A"/>
    <w:rsid w:val="00D651AA"/>
    <w:rsid w:val="00D65DB4"/>
    <w:rsid w:val="00D65DC8"/>
    <w:rsid w:val="00D65F23"/>
    <w:rsid w:val="00D66027"/>
    <w:rsid w:val="00D6613B"/>
    <w:rsid w:val="00D66142"/>
    <w:rsid w:val="00D66195"/>
    <w:rsid w:val="00D661ED"/>
    <w:rsid w:val="00D66459"/>
    <w:rsid w:val="00D66542"/>
    <w:rsid w:val="00D665AF"/>
    <w:rsid w:val="00D6686F"/>
    <w:rsid w:val="00D668E7"/>
    <w:rsid w:val="00D66C0A"/>
    <w:rsid w:val="00D66D5B"/>
    <w:rsid w:val="00D66DDC"/>
    <w:rsid w:val="00D66DFA"/>
    <w:rsid w:val="00D672D8"/>
    <w:rsid w:val="00D6740C"/>
    <w:rsid w:val="00D6749E"/>
    <w:rsid w:val="00D67545"/>
    <w:rsid w:val="00D67C03"/>
    <w:rsid w:val="00D70307"/>
    <w:rsid w:val="00D70E15"/>
    <w:rsid w:val="00D711A1"/>
    <w:rsid w:val="00D7133A"/>
    <w:rsid w:val="00D71371"/>
    <w:rsid w:val="00D713E8"/>
    <w:rsid w:val="00D71942"/>
    <w:rsid w:val="00D72298"/>
    <w:rsid w:val="00D72352"/>
    <w:rsid w:val="00D72497"/>
    <w:rsid w:val="00D72747"/>
    <w:rsid w:val="00D72B07"/>
    <w:rsid w:val="00D73677"/>
    <w:rsid w:val="00D73FC4"/>
    <w:rsid w:val="00D74829"/>
    <w:rsid w:val="00D748F4"/>
    <w:rsid w:val="00D7491A"/>
    <w:rsid w:val="00D74D08"/>
    <w:rsid w:val="00D750DE"/>
    <w:rsid w:val="00D7513F"/>
    <w:rsid w:val="00D752BB"/>
    <w:rsid w:val="00D753B5"/>
    <w:rsid w:val="00D75F13"/>
    <w:rsid w:val="00D76824"/>
    <w:rsid w:val="00D77338"/>
    <w:rsid w:val="00D77475"/>
    <w:rsid w:val="00D77FC1"/>
    <w:rsid w:val="00D800FF"/>
    <w:rsid w:val="00D80724"/>
    <w:rsid w:val="00D808A5"/>
    <w:rsid w:val="00D80AE1"/>
    <w:rsid w:val="00D80EAB"/>
    <w:rsid w:val="00D8104A"/>
    <w:rsid w:val="00D81994"/>
    <w:rsid w:val="00D820CC"/>
    <w:rsid w:val="00D8210B"/>
    <w:rsid w:val="00D828F5"/>
    <w:rsid w:val="00D82C2E"/>
    <w:rsid w:val="00D831F9"/>
    <w:rsid w:val="00D8321A"/>
    <w:rsid w:val="00D833B2"/>
    <w:rsid w:val="00D833C9"/>
    <w:rsid w:val="00D8358F"/>
    <w:rsid w:val="00D83CD1"/>
    <w:rsid w:val="00D84141"/>
    <w:rsid w:val="00D843CA"/>
    <w:rsid w:val="00D84645"/>
    <w:rsid w:val="00D849B5"/>
    <w:rsid w:val="00D84AB0"/>
    <w:rsid w:val="00D84B86"/>
    <w:rsid w:val="00D84E8A"/>
    <w:rsid w:val="00D8525E"/>
    <w:rsid w:val="00D85313"/>
    <w:rsid w:val="00D8554A"/>
    <w:rsid w:val="00D85664"/>
    <w:rsid w:val="00D858F9"/>
    <w:rsid w:val="00D85B3A"/>
    <w:rsid w:val="00D85FCD"/>
    <w:rsid w:val="00D862E1"/>
    <w:rsid w:val="00D865CB"/>
    <w:rsid w:val="00D8663A"/>
    <w:rsid w:val="00D8664F"/>
    <w:rsid w:val="00D86B6B"/>
    <w:rsid w:val="00D86B6D"/>
    <w:rsid w:val="00D86E24"/>
    <w:rsid w:val="00D87854"/>
    <w:rsid w:val="00D87B0D"/>
    <w:rsid w:val="00D90132"/>
    <w:rsid w:val="00D90349"/>
    <w:rsid w:val="00D9092B"/>
    <w:rsid w:val="00D90D14"/>
    <w:rsid w:val="00D9117A"/>
    <w:rsid w:val="00D91420"/>
    <w:rsid w:val="00D916BD"/>
    <w:rsid w:val="00D91856"/>
    <w:rsid w:val="00D91D1B"/>
    <w:rsid w:val="00D91EB6"/>
    <w:rsid w:val="00D9200F"/>
    <w:rsid w:val="00D925D8"/>
    <w:rsid w:val="00D92CFD"/>
    <w:rsid w:val="00D93031"/>
    <w:rsid w:val="00D9309A"/>
    <w:rsid w:val="00D93141"/>
    <w:rsid w:val="00D93190"/>
    <w:rsid w:val="00D940D2"/>
    <w:rsid w:val="00D94576"/>
    <w:rsid w:val="00D94736"/>
    <w:rsid w:val="00D947E2"/>
    <w:rsid w:val="00D947F6"/>
    <w:rsid w:val="00D949C6"/>
    <w:rsid w:val="00D94B3B"/>
    <w:rsid w:val="00D94CAB"/>
    <w:rsid w:val="00D94DE8"/>
    <w:rsid w:val="00D94E09"/>
    <w:rsid w:val="00D94EB9"/>
    <w:rsid w:val="00D957DE"/>
    <w:rsid w:val="00D971A5"/>
    <w:rsid w:val="00D972C7"/>
    <w:rsid w:val="00D9773C"/>
    <w:rsid w:val="00D97B50"/>
    <w:rsid w:val="00D97D57"/>
    <w:rsid w:val="00D97EB4"/>
    <w:rsid w:val="00D97EE4"/>
    <w:rsid w:val="00DA00C6"/>
    <w:rsid w:val="00DA0B2D"/>
    <w:rsid w:val="00DA0FBE"/>
    <w:rsid w:val="00DA141E"/>
    <w:rsid w:val="00DA1A85"/>
    <w:rsid w:val="00DA1C7A"/>
    <w:rsid w:val="00DA1D3E"/>
    <w:rsid w:val="00DA2078"/>
    <w:rsid w:val="00DA2425"/>
    <w:rsid w:val="00DA24A3"/>
    <w:rsid w:val="00DA2BDC"/>
    <w:rsid w:val="00DA2DE3"/>
    <w:rsid w:val="00DA2F65"/>
    <w:rsid w:val="00DA2F79"/>
    <w:rsid w:val="00DA3050"/>
    <w:rsid w:val="00DA3160"/>
    <w:rsid w:val="00DA3593"/>
    <w:rsid w:val="00DA3B7A"/>
    <w:rsid w:val="00DA41DE"/>
    <w:rsid w:val="00DA423E"/>
    <w:rsid w:val="00DA42E8"/>
    <w:rsid w:val="00DA44FD"/>
    <w:rsid w:val="00DA466B"/>
    <w:rsid w:val="00DA4B38"/>
    <w:rsid w:val="00DA4C6D"/>
    <w:rsid w:val="00DA4DB6"/>
    <w:rsid w:val="00DA509A"/>
    <w:rsid w:val="00DA527B"/>
    <w:rsid w:val="00DA55EC"/>
    <w:rsid w:val="00DA5997"/>
    <w:rsid w:val="00DA5E6D"/>
    <w:rsid w:val="00DA604C"/>
    <w:rsid w:val="00DA626F"/>
    <w:rsid w:val="00DA632C"/>
    <w:rsid w:val="00DA640D"/>
    <w:rsid w:val="00DA65BD"/>
    <w:rsid w:val="00DA670B"/>
    <w:rsid w:val="00DA6758"/>
    <w:rsid w:val="00DA6775"/>
    <w:rsid w:val="00DA6A2C"/>
    <w:rsid w:val="00DA6AB5"/>
    <w:rsid w:val="00DA6ED1"/>
    <w:rsid w:val="00DA73BA"/>
    <w:rsid w:val="00DA73C3"/>
    <w:rsid w:val="00DA73E3"/>
    <w:rsid w:val="00DA7464"/>
    <w:rsid w:val="00DA783E"/>
    <w:rsid w:val="00DA7848"/>
    <w:rsid w:val="00DA7E3E"/>
    <w:rsid w:val="00DB0297"/>
    <w:rsid w:val="00DB048A"/>
    <w:rsid w:val="00DB0B98"/>
    <w:rsid w:val="00DB0E5D"/>
    <w:rsid w:val="00DB0ECF"/>
    <w:rsid w:val="00DB11C2"/>
    <w:rsid w:val="00DB12D6"/>
    <w:rsid w:val="00DB208A"/>
    <w:rsid w:val="00DB20A0"/>
    <w:rsid w:val="00DB3171"/>
    <w:rsid w:val="00DB3323"/>
    <w:rsid w:val="00DB336C"/>
    <w:rsid w:val="00DB39C8"/>
    <w:rsid w:val="00DB4367"/>
    <w:rsid w:val="00DB5365"/>
    <w:rsid w:val="00DB5581"/>
    <w:rsid w:val="00DB5800"/>
    <w:rsid w:val="00DB588D"/>
    <w:rsid w:val="00DB61A4"/>
    <w:rsid w:val="00DB6E84"/>
    <w:rsid w:val="00DB7205"/>
    <w:rsid w:val="00DB753F"/>
    <w:rsid w:val="00DC00C2"/>
    <w:rsid w:val="00DC028B"/>
    <w:rsid w:val="00DC0A50"/>
    <w:rsid w:val="00DC0C36"/>
    <w:rsid w:val="00DC12D0"/>
    <w:rsid w:val="00DC1774"/>
    <w:rsid w:val="00DC2082"/>
    <w:rsid w:val="00DC26B8"/>
    <w:rsid w:val="00DC26F6"/>
    <w:rsid w:val="00DC2A9E"/>
    <w:rsid w:val="00DC2BB6"/>
    <w:rsid w:val="00DC31EC"/>
    <w:rsid w:val="00DC32A9"/>
    <w:rsid w:val="00DC32F3"/>
    <w:rsid w:val="00DC36A4"/>
    <w:rsid w:val="00DC3AD4"/>
    <w:rsid w:val="00DC3D37"/>
    <w:rsid w:val="00DC43C0"/>
    <w:rsid w:val="00DC488B"/>
    <w:rsid w:val="00DC48C2"/>
    <w:rsid w:val="00DC49EB"/>
    <w:rsid w:val="00DC4A08"/>
    <w:rsid w:val="00DC4AA6"/>
    <w:rsid w:val="00DC510F"/>
    <w:rsid w:val="00DC5260"/>
    <w:rsid w:val="00DC53BA"/>
    <w:rsid w:val="00DC55F7"/>
    <w:rsid w:val="00DC5648"/>
    <w:rsid w:val="00DC5DD0"/>
    <w:rsid w:val="00DC5E9B"/>
    <w:rsid w:val="00DC5ECE"/>
    <w:rsid w:val="00DC5F03"/>
    <w:rsid w:val="00DC698B"/>
    <w:rsid w:val="00DC6A68"/>
    <w:rsid w:val="00DC6E31"/>
    <w:rsid w:val="00DC6FA9"/>
    <w:rsid w:val="00DD0123"/>
    <w:rsid w:val="00DD018E"/>
    <w:rsid w:val="00DD02DF"/>
    <w:rsid w:val="00DD05B0"/>
    <w:rsid w:val="00DD073A"/>
    <w:rsid w:val="00DD07BA"/>
    <w:rsid w:val="00DD07EA"/>
    <w:rsid w:val="00DD0BA1"/>
    <w:rsid w:val="00DD0E7C"/>
    <w:rsid w:val="00DD219F"/>
    <w:rsid w:val="00DD21BD"/>
    <w:rsid w:val="00DD2352"/>
    <w:rsid w:val="00DD287B"/>
    <w:rsid w:val="00DD2A18"/>
    <w:rsid w:val="00DD369B"/>
    <w:rsid w:val="00DD41B2"/>
    <w:rsid w:val="00DD44E6"/>
    <w:rsid w:val="00DD457D"/>
    <w:rsid w:val="00DD480C"/>
    <w:rsid w:val="00DD4BCD"/>
    <w:rsid w:val="00DD4D78"/>
    <w:rsid w:val="00DD5230"/>
    <w:rsid w:val="00DD5A7E"/>
    <w:rsid w:val="00DD5B00"/>
    <w:rsid w:val="00DD62E7"/>
    <w:rsid w:val="00DD68D8"/>
    <w:rsid w:val="00DD6D1B"/>
    <w:rsid w:val="00DD7227"/>
    <w:rsid w:val="00DD7468"/>
    <w:rsid w:val="00DD7520"/>
    <w:rsid w:val="00DD7C0F"/>
    <w:rsid w:val="00DD7F5E"/>
    <w:rsid w:val="00DE0304"/>
    <w:rsid w:val="00DE059F"/>
    <w:rsid w:val="00DE09C7"/>
    <w:rsid w:val="00DE0F7D"/>
    <w:rsid w:val="00DE11EE"/>
    <w:rsid w:val="00DE130C"/>
    <w:rsid w:val="00DE131A"/>
    <w:rsid w:val="00DE18BE"/>
    <w:rsid w:val="00DE1DF3"/>
    <w:rsid w:val="00DE2668"/>
    <w:rsid w:val="00DE2B6E"/>
    <w:rsid w:val="00DE2E1E"/>
    <w:rsid w:val="00DE339C"/>
    <w:rsid w:val="00DE36E9"/>
    <w:rsid w:val="00DE3A0D"/>
    <w:rsid w:val="00DE3D3C"/>
    <w:rsid w:val="00DE3D78"/>
    <w:rsid w:val="00DE4306"/>
    <w:rsid w:val="00DE451C"/>
    <w:rsid w:val="00DE48BF"/>
    <w:rsid w:val="00DE48E5"/>
    <w:rsid w:val="00DE4B5A"/>
    <w:rsid w:val="00DE55B2"/>
    <w:rsid w:val="00DE56A8"/>
    <w:rsid w:val="00DE5751"/>
    <w:rsid w:val="00DE5ADB"/>
    <w:rsid w:val="00DE5BC2"/>
    <w:rsid w:val="00DE62D4"/>
    <w:rsid w:val="00DE6577"/>
    <w:rsid w:val="00DE75C0"/>
    <w:rsid w:val="00DE7A2A"/>
    <w:rsid w:val="00DE7E54"/>
    <w:rsid w:val="00DF07A5"/>
    <w:rsid w:val="00DF17EC"/>
    <w:rsid w:val="00DF1994"/>
    <w:rsid w:val="00DF1A60"/>
    <w:rsid w:val="00DF1BC9"/>
    <w:rsid w:val="00DF271C"/>
    <w:rsid w:val="00DF2D60"/>
    <w:rsid w:val="00DF31CA"/>
    <w:rsid w:val="00DF341F"/>
    <w:rsid w:val="00DF34B4"/>
    <w:rsid w:val="00DF3715"/>
    <w:rsid w:val="00DF382F"/>
    <w:rsid w:val="00DF3952"/>
    <w:rsid w:val="00DF395F"/>
    <w:rsid w:val="00DF3B99"/>
    <w:rsid w:val="00DF3ED4"/>
    <w:rsid w:val="00DF42A5"/>
    <w:rsid w:val="00DF455E"/>
    <w:rsid w:val="00DF4594"/>
    <w:rsid w:val="00DF52A1"/>
    <w:rsid w:val="00DF5777"/>
    <w:rsid w:val="00DF665A"/>
    <w:rsid w:val="00DF688D"/>
    <w:rsid w:val="00DF6AA4"/>
    <w:rsid w:val="00DF6FA4"/>
    <w:rsid w:val="00E00A0B"/>
    <w:rsid w:val="00E00A2B"/>
    <w:rsid w:val="00E010AA"/>
    <w:rsid w:val="00E01687"/>
    <w:rsid w:val="00E016AA"/>
    <w:rsid w:val="00E02031"/>
    <w:rsid w:val="00E020E3"/>
    <w:rsid w:val="00E021F0"/>
    <w:rsid w:val="00E02514"/>
    <w:rsid w:val="00E02B96"/>
    <w:rsid w:val="00E02CDD"/>
    <w:rsid w:val="00E0314E"/>
    <w:rsid w:val="00E0374D"/>
    <w:rsid w:val="00E03750"/>
    <w:rsid w:val="00E03BF8"/>
    <w:rsid w:val="00E04609"/>
    <w:rsid w:val="00E046A5"/>
    <w:rsid w:val="00E048FA"/>
    <w:rsid w:val="00E0497E"/>
    <w:rsid w:val="00E05407"/>
    <w:rsid w:val="00E0547A"/>
    <w:rsid w:val="00E05778"/>
    <w:rsid w:val="00E059B4"/>
    <w:rsid w:val="00E05CFC"/>
    <w:rsid w:val="00E06371"/>
    <w:rsid w:val="00E06941"/>
    <w:rsid w:val="00E06B60"/>
    <w:rsid w:val="00E06B94"/>
    <w:rsid w:val="00E06DE3"/>
    <w:rsid w:val="00E06EC8"/>
    <w:rsid w:val="00E072AA"/>
    <w:rsid w:val="00E0781E"/>
    <w:rsid w:val="00E078A0"/>
    <w:rsid w:val="00E07A09"/>
    <w:rsid w:val="00E07A1B"/>
    <w:rsid w:val="00E07DA6"/>
    <w:rsid w:val="00E07E6F"/>
    <w:rsid w:val="00E1001F"/>
    <w:rsid w:val="00E10303"/>
    <w:rsid w:val="00E10388"/>
    <w:rsid w:val="00E103A5"/>
    <w:rsid w:val="00E11A62"/>
    <w:rsid w:val="00E12102"/>
    <w:rsid w:val="00E12122"/>
    <w:rsid w:val="00E129CB"/>
    <w:rsid w:val="00E1335F"/>
    <w:rsid w:val="00E137A3"/>
    <w:rsid w:val="00E137E2"/>
    <w:rsid w:val="00E138A0"/>
    <w:rsid w:val="00E138DE"/>
    <w:rsid w:val="00E13AAA"/>
    <w:rsid w:val="00E13B72"/>
    <w:rsid w:val="00E13BA7"/>
    <w:rsid w:val="00E13BD1"/>
    <w:rsid w:val="00E13CF0"/>
    <w:rsid w:val="00E13FBD"/>
    <w:rsid w:val="00E14218"/>
    <w:rsid w:val="00E1448C"/>
    <w:rsid w:val="00E153BC"/>
    <w:rsid w:val="00E15B03"/>
    <w:rsid w:val="00E15C78"/>
    <w:rsid w:val="00E15DDF"/>
    <w:rsid w:val="00E1675C"/>
    <w:rsid w:val="00E168FC"/>
    <w:rsid w:val="00E16D43"/>
    <w:rsid w:val="00E17A98"/>
    <w:rsid w:val="00E2011D"/>
    <w:rsid w:val="00E204E3"/>
    <w:rsid w:val="00E2074E"/>
    <w:rsid w:val="00E211C4"/>
    <w:rsid w:val="00E216A5"/>
    <w:rsid w:val="00E2185A"/>
    <w:rsid w:val="00E218C8"/>
    <w:rsid w:val="00E21A4D"/>
    <w:rsid w:val="00E21E50"/>
    <w:rsid w:val="00E21E6F"/>
    <w:rsid w:val="00E21EF4"/>
    <w:rsid w:val="00E226BC"/>
    <w:rsid w:val="00E22733"/>
    <w:rsid w:val="00E22E7D"/>
    <w:rsid w:val="00E23144"/>
    <w:rsid w:val="00E236AE"/>
    <w:rsid w:val="00E236B0"/>
    <w:rsid w:val="00E2374E"/>
    <w:rsid w:val="00E23EFF"/>
    <w:rsid w:val="00E24F97"/>
    <w:rsid w:val="00E25C5B"/>
    <w:rsid w:val="00E25E7B"/>
    <w:rsid w:val="00E2619E"/>
    <w:rsid w:val="00E261F0"/>
    <w:rsid w:val="00E2753B"/>
    <w:rsid w:val="00E303A6"/>
    <w:rsid w:val="00E3047E"/>
    <w:rsid w:val="00E30806"/>
    <w:rsid w:val="00E309D8"/>
    <w:rsid w:val="00E30E5C"/>
    <w:rsid w:val="00E31E8C"/>
    <w:rsid w:val="00E321A7"/>
    <w:rsid w:val="00E3237C"/>
    <w:rsid w:val="00E32538"/>
    <w:rsid w:val="00E32957"/>
    <w:rsid w:val="00E32B25"/>
    <w:rsid w:val="00E32B62"/>
    <w:rsid w:val="00E32EB4"/>
    <w:rsid w:val="00E32F11"/>
    <w:rsid w:val="00E33103"/>
    <w:rsid w:val="00E33486"/>
    <w:rsid w:val="00E336B5"/>
    <w:rsid w:val="00E337F4"/>
    <w:rsid w:val="00E3385C"/>
    <w:rsid w:val="00E338E3"/>
    <w:rsid w:val="00E33B45"/>
    <w:rsid w:val="00E344F2"/>
    <w:rsid w:val="00E345D2"/>
    <w:rsid w:val="00E345EE"/>
    <w:rsid w:val="00E3467A"/>
    <w:rsid w:val="00E34AA1"/>
    <w:rsid w:val="00E34F40"/>
    <w:rsid w:val="00E358F7"/>
    <w:rsid w:val="00E363DE"/>
    <w:rsid w:val="00E364BD"/>
    <w:rsid w:val="00E36653"/>
    <w:rsid w:val="00E366F3"/>
    <w:rsid w:val="00E367EE"/>
    <w:rsid w:val="00E36B93"/>
    <w:rsid w:val="00E37662"/>
    <w:rsid w:val="00E40422"/>
    <w:rsid w:val="00E406D0"/>
    <w:rsid w:val="00E40889"/>
    <w:rsid w:val="00E40F81"/>
    <w:rsid w:val="00E418A3"/>
    <w:rsid w:val="00E418F6"/>
    <w:rsid w:val="00E425CB"/>
    <w:rsid w:val="00E42707"/>
    <w:rsid w:val="00E43209"/>
    <w:rsid w:val="00E43479"/>
    <w:rsid w:val="00E434C6"/>
    <w:rsid w:val="00E438FA"/>
    <w:rsid w:val="00E43C65"/>
    <w:rsid w:val="00E44370"/>
    <w:rsid w:val="00E44462"/>
    <w:rsid w:val="00E44654"/>
    <w:rsid w:val="00E4544C"/>
    <w:rsid w:val="00E45882"/>
    <w:rsid w:val="00E45C78"/>
    <w:rsid w:val="00E466F1"/>
    <w:rsid w:val="00E46F0A"/>
    <w:rsid w:val="00E470FE"/>
    <w:rsid w:val="00E47989"/>
    <w:rsid w:val="00E47AB0"/>
    <w:rsid w:val="00E47C0C"/>
    <w:rsid w:val="00E47CE0"/>
    <w:rsid w:val="00E5028D"/>
    <w:rsid w:val="00E50516"/>
    <w:rsid w:val="00E50559"/>
    <w:rsid w:val="00E50968"/>
    <w:rsid w:val="00E50AE0"/>
    <w:rsid w:val="00E50B50"/>
    <w:rsid w:val="00E50E0F"/>
    <w:rsid w:val="00E5153E"/>
    <w:rsid w:val="00E517E7"/>
    <w:rsid w:val="00E51B2B"/>
    <w:rsid w:val="00E51FD3"/>
    <w:rsid w:val="00E522C5"/>
    <w:rsid w:val="00E523BE"/>
    <w:rsid w:val="00E528E9"/>
    <w:rsid w:val="00E539A7"/>
    <w:rsid w:val="00E53BC8"/>
    <w:rsid w:val="00E53CC5"/>
    <w:rsid w:val="00E53FDC"/>
    <w:rsid w:val="00E5437E"/>
    <w:rsid w:val="00E54571"/>
    <w:rsid w:val="00E54BC9"/>
    <w:rsid w:val="00E55003"/>
    <w:rsid w:val="00E558FF"/>
    <w:rsid w:val="00E55E5F"/>
    <w:rsid w:val="00E55E7D"/>
    <w:rsid w:val="00E5633A"/>
    <w:rsid w:val="00E563D6"/>
    <w:rsid w:val="00E566E7"/>
    <w:rsid w:val="00E56884"/>
    <w:rsid w:val="00E570C8"/>
    <w:rsid w:val="00E571E8"/>
    <w:rsid w:val="00E57962"/>
    <w:rsid w:val="00E57C0E"/>
    <w:rsid w:val="00E57C5D"/>
    <w:rsid w:val="00E57F33"/>
    <w:rsid w:val="00E605DA"/>
    <w:rsid w:val="00E60672"/>
    <w:rsid w:val="00E60D20"/>
    <w:rsid w:val="00E60FE3"/>
    <w:rsid w:val="00E612C9"/>
    <w:rsid w:val="00E61301"/>
    <w:rsid w:val="00E61738"/>
    <w:rsid w:val="00E619DC"/>
    <w:rsid w:val="00E61C31"/>
    <w:rsid w:val="00E61DB3"/>
    <w:rsid w:val="00E622BE"/>
    <w:rsid w:val="00E62849"/>
    <w:rsid w:val="00E62C7E"/>
    <w:rsid w:val="00E6301D"/>
    <w:rsid w:val="00E630DF"/>
    <w:rsid w:val="00E63711"/>
    <w:rsid w:val="00E63738"/>
    <w:rsid w:val="00E63A35"/>
    <w:rsid w:val="00E63CE9"/>
    <w:rsid w:val="00E6418B"/>
    <w:rsid w:val="00E6426D"/>
    <w:rsid w:val="00E64A0C"/>
    <w:rsid w:val="00E65029"/>
    <w:rsid w:val="00E65376"/>
    <w:rsid w:val="00E6578C"/>
    <w:rsid w:val="00E658BE"/>
    <w:rsid w:val="00E65C65"/>
    <w:rsid w:val="00E65F74"/>
    <w:rsid w:val="00E66002"/>
    <w:rsid w:val="00E66260"/>
    <w:rsid w:val="00E66A2F"/>
    <w:rsid w:val="00E66B20"/>
    <w:rsid w:val="00E66D23"/>
    <w:rsid w:val="00E66D6E"/>
    <w:rsid w:val="00E67100"/>
    <w:rsid w:val="00E671F8"/>
    <w:rsid w:val="00E672E2"/>
    <w:rsid w:val="00E67BFC"/>
    <w:rsid w:val="00E70904"/>
    <w:rsid w:val="00E71BF7"/>
    <w:rsid w:val="00E72078"/>
    <w:rsid w:val="00E720BF"/>
    <w:rsid w:val="00E725BB"/>
    <w:rsid w:val="00E72651"/>
    <w:rsid w:val="00E73647"/>
    <w:rsid w:val="00E73734"/>
    <w:rsid w:val="00E73B82"/>
    <w:rsid w:val="00E73C6B"/>
    <w:rsid w:val="00E73E84"/>
    <w:rsid w:val="00E74B8B"/>
    <w:rsid w:val="00E751FE"/>
    <w:rsid w:val="00E7577C"/>
    <w:rsid w:val="00E75992"/>
    <w:rsid w:val="00E75FB2"/>
    <w:rsid w:val="00E76382"/>
    <w:rsid w:val="00E76948"/>
    <w:rsid w:val="00E76AB1"/>
    <w:rsid w:val="00E76B10"/>
    <w:rsid w:val="00E76C4E"/>
    <w:rsid w:val="00E76CA2"/>
    <w:rsid w:val="00E76DA9"/>
    <w:rsid w:val="00E76E28"/>
    <w:rsid w:val="00E772C3"/>
    <w:rsid w:val="00E77476"/>
    <w:rsid w:val="00E775E7"/>
    <w:rsid w:val="00E77A52"/>
    <w:rsid w:val="00E77FDB"/>
    <w:rsid w:val="00E80395"/>
    <w:rsid w:val="00E807C9"/>
    <w:rsid w:val="00E80842"/>
    <w:rsid w:val="00E8098B"/>
    <w:rsid w:val="00E80CC6"/>
    <w:rsid w:val="00E80DE3"/>
    <w:rsid w:val="00E81079"/>
    <w:rsid w:val="00E810E5"/>
    <w:rsid w:val="00E819E5"/>
    <w:rsid w:val="00E81AE0"/>
    <w:rsid w:val="00E82321"/>
    <w:rsid w:val="00E82E07"/>
    <w:rsid w:val="00E82F68"/>
    <w:rsid w:val="00E83171"/>
    <w:rsid w:val="00E83810"/>
    <w:rsid w:val="00E83820"/>
    <w:rsid w:val="00E838BB"/>
    <w:rsid w:val="00E83B9B"/>
    <w:rsid w:val="00E83C16"/>
    <w:rsid w:val="00E84050"/>
    <w:rsid w:val="00E8427A"/>
    <w:rsid w:val="00E84377"/>
    <w:rsid w:val="00E84652"/>
    <w:rsid w:val="00E849EA"/>
    <w:rsid w:val="00E84FC4"/>
    <w:rsid w:val="00E85DBB"/>
    <w:rsid w:val="00E85DCC"/>
    <w:rsid w:val="00E861AD"/>
    <w:rsid w:val="00E86207"/>
    <w:rsid w:val="00E862A5"/>
    <w:rsid w:val="00E86471"/>
    <w:rsid w:val="00E87197"/>
    <w:rsid w:val="00E8753B"/>
    <w:rsid w:val="00E87DEE"/>
    <w:rsid w:val="00E9027D"/>
    <w:rsid w:val="00E9091A"/>
    <w:rsid w:val="00E90C2B"/>
    <w:rsid w:val="00E9126B"/>
    <w:rsid w:val="00E9134F"/>
    <w:rsid w:val="00E913CA"/>
    <w:rsid w:val="00E91639"/>
    <w:rsid w:val="00E91AB8"/>
    <w:rsid w:val="00E91D88"/>
    <w:rsid w:val="00E91F9E"/>
    <w:rsid w:val="00E92133"/>
    <w:rsid w:val="00E9276F"/>
    <w:rsid w:val="00E92ACB"/>
    <w:rsid w:val="00E92C24"/>
    <w:rsid w:val="00E932AD"/>
    <w:rsid w:val="00E936F0"/>
    <w:rsid w:val="00E93A13"/>
    <w:rsid w:val="00E941EB"/>
    <w:rsid w:val="00E94302"/>
    <w:rsid w:val="00E9484A"/>
    <w:rsid w:val="00E94B23"/>
    <w:rsid w:val="00E94B46"/>
    <w:rsid w:val="00E94D4D"/>
    <w:rsid w:val="00E94FCE"/>
    <w:rsid w:val="00E9517B"/>
    <w:rsid w:val="00E955B4"/>
    <w:rsid w:val="00E9647C"/>
    <w:rsid w:val="00E96831"/>
    <w:rsid w:val="00E96A99"/>
    <w:rsid w:val="00E9710C"/>
    <w:rsid w:val="00E974F1"/>
    <w:rsid w:val="00E97843"/>
    <w:rsid w:val="00EA0117"/>
    <w:rsid w:val="00EA013B"/>
    <w:rsid w:val="00EA03C8"/>
    <w:rsid w:val="00EA0646"/>
    <w:rsid w:val="00EA06B1"/>
    <w:rsid w:val="00EA1AA5"/>
    <w:rsid w:val="00EA20BA"/>
    <w:rsid w:val="00EA2262"/>
    <w:rsid w:val="00EA2408"/>
    <w:rsid w:val="00EA3536"/>
    <w:rsid w:val="00EA417B"/>
    <w:rsid w:val="00EA41E8"/>
    <w:rsid w:val="00EA461F"/>
    <w:rsid w:val="00EA462C"/>
    <w:rsid w:val="00EA477C"/>
    <w:rsid w:val="00EA48A8"/>
    <w:rsid w:val="00EA4CD8"/>
    <w:rsid w:val="00EA4F73"/>
    <w:rsid w:val="00EA5815"/>
    <w:rsid w:val="00EA58D2"/>
    <w:rsid w:val="00EA7148"/>
    <w:rsid w:val="00EA7346"/>
    <w:rsid w:val="00EA74DE"/>
    <w:rsid w:val="00EA76BB"/>
    <w:rsid w:val="00EA7700"/>
    <w:rsid w:val="00EA77D4"/>
    <w:rsid w:val="00EA7D12"/>
    <w:rsid w:val="00EA7E5F"/>
    <w:rsid w:val="00EB0362"/>
    <w:rsid w:val="00EB044A"/>
    <w:rsid w:val="00EB0B7A"/>
    <w:rsid w:val="00EB1332"/>
    <w:rsid w:val="00EB1613"/>
    <w:rsid w:val="00EB1AC9"/>
    <w:rsid w:val="00EB1ED1"/>
    <w:rsid w:val="00EB239D"/>
    <w:rsid w:val="00EB27C2"/>
    <w:rsid w:val="00EB293B"/>
    <w:rsid w:val="00EB3A42"/>
    <w:rsid w:val="00EB4243"/>
    <w:rsid w:val="00EB4359"/>
    <w:rsid w:val="00EB4655"/>
    <w:rsid w:val="00EB47FE"/>
    <w:rsid w:val="00EB4DCD"/>
    <w:rsid w:val="00EB5337"/>
    <w:rsid w:val="00EB554A"/>
    <w:rsid w:val="00EB5D90"/>
    <w:rsid w:val="00EB62B6"/>
    <w:rsid w:val="00EB66EF"/>
    <w:rsid w:val="00EB67A7"/>
    <w:rsid w:val="00EB6F00"/>
    <w:rsid w:val="00EB7071"/>
    <w:rsid w:val="00EB716E"/>
    <w:rsid w:val="00EB7729"/>
    <w:rsid w:val="00EB7994"/>
    <w:rsid w:val="00EC03DE"/>
    <w:rsid w:val="00EC0454"/>
    <w:rsid w:val="00EC0821"/>
    <w:rsid w:val="00EC0D29"/>
    <w:rsid w:val="00EC0EB7"/>
    <w:rsid w:val="00EC0ED5"/>
    <w:rsid w:val="00EC1304"/>
    <w:rsid w:val="00EC17C7"/>
    <w:rsid w:val="00EC1AA6"/>
    <w:rsid w:val="00EC1C6D"/>
    <w:rsid w:val="00EC1EBD"/>
    <w:rsid w:val="00EC2542"/>
    <w:rsid w:val="00EC2A77"/>
    <w:rsid w:val="00EC2AD0"/>
    <w:rsid w:val="00EC2C66"/>
    <w:rsid w:val="00EC374F"/>
    <w:rsid w:val="00EC3CEF"/>
    <w:rsid w:val="00EC47E5"/>
    <w:rsid w:val="00EC48E1"/>
    <w:rsid w:val="00EC4A30"/>
    <w:rsid w:val="00EC4DEB"/>
    <w:rsid w:val="00EC5241"/>
    <w:rsid w:val="00EC5893"/>
    <w:rsid w:val="00EC5971"/>
    <w:rsid w:val="00EC5B90"/>
    <w:rsid w:val="00EC698B"/>
    <w:rsid w:val="00EC69CC"/>
    <w:rsid w:val="00EC6AED"/>
    <w:rsid w:val="00EC6BDD"/>
    <w:rsid w:val="00EC727F"/>
    <w:rsid w:val="00EC7B48"/>
    <w:rsid w:val="00ED0402"/>
    <w:rsid w:val="00ED0844"/>
    <w:rsid w:val="00ED09BF"/>
    <w:rsid w:val="00ED0D25"/>
    <w:rsid w:val="00ED0F6A"/>
    <w:rsid w:val="00ED14AB"/>
    <w:rsid w:val="00ED14C9"/>
    <w:rsid w:val="00ED2026"/>
    <w:rsid w:val="00ED22A3"/>
    <w:rsid w:val="00ED2F96"/>
    <w:rsid w:val="00ED392D"/>
    <w:rsid w:val="00ED3BF4"/>
    <w:rsid w:val="00ED41C9"/>
    <w:rsid w:val="00ED4729"/>
    <w:rsid w:val="00ED480F"/>
    <w:rsid w:val="00ED4C76"/>
    <w:rsid w:val="00ED4D9B"/>
    <w:rsid w:val="00ED4DEB"/>
    <w:rsid w:val="00ED4FD5"/>
    <w:rsid w:val="00ED50B9"/>
    <w:rsid w:val="00ED53C5"/>
    <w:rsid w:val="00ED53D8"/>
    <w:rsid w:val="00ED5728"/>
    <w:rsid w:val="00ED57DA"/>
    <w:rsid w:val="00ED5892"/>
    <w:rsid w:val="00ED5935"/>
    <w:rsid w:val="00ED6202"/>
    <w:rsid w:val="00ED620E"/>
    <w:rsid w:val="00ED667F"/>
    <w:rsid w:val="00ED66DD"/>
    <w:rsid w:val="00ED7485"/>
    <w:rsid w:val="00ED74FB"/>
    <w:rsid w:val="00ED7996"/>
    <w:rsid w:val="00ED7C4F"/>
    <w:rsid w:val="00ED7CC6"/>
    <w:rsid w:val="00EE05B4"/>
    <w:rsid w:val="00EE09F9"/>
    <w:rsid w:val="00EE0F92"/>
    <w:rsid w:val="00EE1004"/>
    <w:rsid w:val="00EE121F"/>
    <w:rsid w:val="00EE1712"/>
    <w:rsid w:val="00EE17E3"/>
    <w:rsid w:val="00EE1CB9"/>
    <w:rsid w:val="00EE1DB0"/>
    <w:rsid w:val="00EE1E70"/>
    <w:rsid w:val="00EE1F1A"/>
    <w:rsid w:val="00EE211B"/>
    <w:rsid w:val="00EE2212"/>
    <w:rsid w:val="00EE2464"/>
    <w:rsid w:val="00EE24CA"/>
    <w:rsid w:val="00EE25A8"/>
    <w:rsid w:val="00EE2F25"/>
    <w:rsid w:val="00EE3732"/>
    <w:rsid w:val="00EE4BB4"/>
    <w:rsid w:val="00EE4CAD"/>
    <w:rsid w:val="00EE59E7"/>
    <w:rsid w:val="00EE5ADC"/>
    <w:rsid w:val="00EE5D07"/>
    <w:rsid w:val="00EE651D"/>
    <w:rsid w:val="00EE65EF"/>
    <w:rsid w:val="00EE66FF"/>
    <w:rsid w:val="00EE691F"/>
    <w:rsid w:val="00EE6967"/>
    <w:rsid w:val="00EE6C65"/>
    <w:rsid w:val="00EE6D7C"/>
    <w:rsid w:val="00EE6EA1"/>
    <w:rsid w:val="00EE7669"/>
    <w:rsid w:val="00EE7A86"/>
    <w:rsid w:val="00EE7DF4"/>
    <w:rsid w:val="00EF0195"/>
    <w:rsid w:val="00EF083F"/>
    <w:rsid w:val="00EF0A4F"/>
    <w:rsid w:val="00EF0DA5"/>
    <w:rsid w:val="00EF0E97"/>
    <w:rsid w:val="00EF14EF"/>
    <w:rsid w:val="00EF1DC9"/>
    <w:rsid w:val="00EF2D25"/>
    <w:rsid w:val="00EF2D53"/>
    <w:rsid w:val="00EF2E97"/>
    <w:rsid w:val="00EF356E"/>
    <w:rsid w:val="00EF38B9"/>
    <w:rsid w:val="00EF40BF"/>
    <w:rsid w:val="00EF413F"/>
    <w:rsid w:val="00EF4F33"/>
    <w:rsid w:val="00EF53D1"/>
    <w:rsid w:val="00EF54B0"/>
    <w:rsid w:val="00EF58BC"/>
    <w:rsid w:val="00EF5B33"/>
    <w:rsid w:val="00EF5C38"/>
    <w:rsid w:val="00EF5D52"/>
    <w:rsid w:val="00EF6378"/>
    <w:rsid w:val="00EF6568"/>
    <w:rsid w:val="00EF68AA"/>
    <w:rsid w:val="00EF6A26"/>
    <w:rsid w:val="00EF6A5D"/>
    <w:rsid w:val="00EF6B80"/>
    <w:rsid w:val="00EF6DD3"/>
    <w:rsid w:val="00EF70F8"/>
    <w:rsid w:val="00EF7529"/>
    <w:rsid w:val="00EF77D7"/>
    <w:rsid w:val="00EF780C"/>
    <w:rsid w:val="00EF78EA"/>
    <w:rsid w:val="00EF7A18"/>
    <w:rsid w:val="00EF7A27"/>
    <w:rsid w:val="00EF7B26"/>
    <w:rsid w:val="00EF7DE2"/>
    <w:rsid w:val="00EF7E1C"/>
    <w:rsid w:val="00F00346"/>
    <w:rsid w:val="00F00A1B"/>
    <w:rsid w:val="00F00DDA"/>
    <w:rsid w:val="00F00F71"/>
    <w:rsid w:val="00F014CD"/>
    <w:rsid w:val="00F01DF7"/>
    <w:rsid w:val="00F02F7D"/>
    <w:rsid w:val="00F0304B"/>
    <w:rsid w:val="00F0341C"/>
    <w:rsid w:val="00F0351B"/>
    <w:rsid w:val="00F03789"/>
    <w:rsid w:val="00F03A6C"/>
    <w:rsid w:val="00F04234"/>
    <w:rsid w:val="00F04ADB"/>
    <w:rsid w:val="00F04B20"/>
    <w:rsid w:val="00F053F2"/>
    <w:rsid w:val="00F0556B"/>
    <w:rsid w:val="00F0582D"/>
    <w:rsid w:val="00F05D7C"/>
    <w:rsid w:val="00F06609"/>
    <w:rsid w:val="00F06DB4"/>
    <w:rsid w:val="00F06F46"/>
    <w:rsid w:val="00F07075"/>
    <w:rsid w:val="00F076B9"/>
    <w:rsid w:val="00F078B3"/>
    <w:rsid w:val="00F07965"/>
    <w:rsid w:val="00F07B54"/>
    <w:rsid w:val="00F07C59"/>
    <w:rsid w:val="00F07EB9"/>
    <w:rsid w:val="00F102AB"/>
    <w:rsid w:val="00F1040E"/>
    <w:rsid w:val="00F1080F"/>
    <w:rsid w:val="00F10956"/>
    <w:rsid w:val="00F10E9B"/>
    <w:rsid w:val="00F11132"/>
    <w:rsid w:val="00F11578"/>
    <w:rsid w:val="00F1164B"/>
    <w:rsid w:val="00F11825"/>
    <w:rsid w:val="00F11AB5"/>
    <w:rsid w:val="00F11DE9"/>
    <w:rsid w:val="00F12103"/>
    <w:rsid w:val="00F1272D"/>
    <w:rsid w:val="00F12850"/>
    <w:rsid w:val="00F12B8B"/>
    <w:rsid w:val="00F12DB6"/>
    <w:rsid w:val="00F133F4"/>
    <w:rsid w:val="00F138B2"/>
    <w:rsid w:val="00F13A93"/>
    <w:rsid w:val="00F13B92"/>
    <w:rsid w:val="00F13EAF"/>
    <w:rsid w:val="00F13F4A"/>
    <w:rsid w:val="00F1467C"/>
    <w:rsid w:val="00F14973"/>
    <w:rsid w:val="00F14D4E"/>
    <w:rsid w:val="00F15051"/>
    <w:rsid w:val="00F15579"/>
    <w:rsid w:val="00F1564A"/>
    <w:rsid w:val="00F15C41"/>
    <w:rsid w:val="00F15D20"/>
    <w:rsid w:val="00F163D6"/>
    <w:rsid w:val="00F16D07"/>
    <w:rsid w:val="00F16ED9"/>
    <w:rsid w:val="00F16F74"/>
    <w:rsid w:val="00F1711A"/>
    <w:rsid w:val="00F1720C"/>
    <w:rsid w:val="00F175F8"/>
    <w:rsid w:val="00F17972"/>
    <w:rsid w:val="00F17AF4"/>
    <w:rsid w:val="00F205E2"/>
    <w:rsid w:val="00F2061C"/>
    <w:rsid w:val="00F20AD1"/>
    <w:rsid w:val="00F20C01"/>
    <w:rsid w:val="00F20D07"/>
    <w:rsid w:val="00F21529"/>
    <w:rsid w:val="00F2155A"/>
    <w:rsid w:val="00F218D5"/>
    <w:rsid w:val="00F21A55"/>
    <w:rsid w:val="00F21B5F"/>
    <w:rsid w:val="00F21FEE"/>
    <w:rsid w:val="00F2205E"/>
    <w:rsid w:val="00F2246F"/>
    <w:rsid w:val="00F23753"/>
    <w:rsid w:val="00F2399F"/>
    <w:rsid w:val="00F23F42"/>
    <w:rsid w:val="00F2416B"/>
    <w:rsid w:val="00F247F1"/>
    <w:rsid w:val="00F2492C"/>
    <w:rsid w:val="00F24B84"/>
    <w:rsid w:val="00F24F0F"/>
    <w:rsid w:val="00F2509C"/>
    <w:rsid w:val="00F2529A"/>
    <w:rsid w:val="00F2571A"/>
    <w:rsid w:val="00F25895"/>
    <w:rsid w:val="00F258A0"/>
    <w:rsid w:val="00F25AC7"/>
    <w:rsid w:val="00F25F11"/>
    <w:rsid w:val="00F26120"/>
    <w:rsid w:val="00F26363"/>
    <w:rsid w:val="00F268F3"/>
    <w:rsid w:val="00F269C4"/>
    <w:rsid w:val="00F26D88"/>
    <w:rsid w:val="00F26E31"/>
    <w:rsid w:val="00F272F9"/>
    <w:rsid w:val="00F27477"/>
    <w:rsid w:val="00F279C5"/>
    <w:rsid w:val="00F27AB8"/>
    <w:rsid w:val="00F301A0"/>
    <w:rsid w:val="00F30534"/>
    <w:rsid w:val="00F30590"/>
    <w:rsid w:val="00F30B40"/>
    <w:rsid w:val="00F31115"/>
    <w:rsid w:val="00F31191"/>
    <w:rsid w:val="00F31C9E"/>
    <w:rsid w:val="00F31CC8"/>
    <w:rsid w:val="00F32092"/>
    <w:rsid w:val="00F32172"/>
    <w:rsid w:val="00F321A7"/>
    <w:rsid w:val="00F32FCA"/>
    <w:rsid w:val="00F340FF"/>
    <w:rsid w:val="00F3414A"/>
    <w:rsid w:val="00F341DF"/>
    <w:rsid w:val="00F34218"/>
    <w:rsid w:val="00F3453B"/>
    <w:rsid w:val="00F34BC5"/>
    <w:rsid w:val="00F3534C"/>
    <w:rsid w:val="00F35377"/>
    <w:rsid w:val="00F353EF"/>
    <w:rsid w:val="00F35804"/>
    <w:rsid w:val="00F3581E"/>
    <w:rsid w:val="00F35ECA"/>
    <w:rsid w:val="00F36151"/>
    <w:rsid w:val="00F361A5"/>
    <w:rsid w:val="00F3666D"/>
    <w:rsid w:val="00F36B92"/>
    <w:rsid w:val="00F370DA"/>
    <w:rsid w:val="00F379FF"/>
    <w:rsid w:val="00F37ED8"/>
    <w:rsid w:val="00F37FFA"/>
    <w:rsid w:val="00F40789"/>
    <w:rsid w:val="00F40D90"/>
    <w:rsid w:val="00F41249"/>
    <w:rsid w:val="00F4133B"/>
    <w:rsid w:val="00F41412"/>
    <w:rsid w:val="00F4196A"/>
    <w:rsid w:val="00F41AAD"/>
    <w:rsid w:val="00F42627"/>
    <w:rsid w:val="00F426C5"/>
    <w:rsid w:val="00F428CC"/>
    <w:rsid w:val="00F428E4"/>
    <w:rsid w:val="00F42B3C"/>
    <w:rsid w:val="00F42B56"/>
    <w:rsid w:val="00F42F20"/>
    <w:rsid w:val="00F433B3"/>
    <w:rsid w:val="00F43F4E"/>
    <w:rsid w:val="00F43F6B"/>
    <w:rsid w:val="00F4424F"/>
    <w:rsid w:val="00F44380"/>
    <w:rsid w:val="00F44802"/>
    <w:rsid w:val="00F448DD"/>
    <w:rsid w:val="00F45874"/>
    <w:rsid w:val="00F45C75"/>
    <w:rsid w:val="00F4695C"/>
    <w:rsid w:val="00F46A6F"/>
    <w:rsid w:val="00F46DED"/>
    <w:rsid w:val="00F46E02"/>
    <w:rsid w:val="00F46E56"/>
    <w:rsid w:val="00F472CD"/>
    <w:rsid w:val="00F47B31"/>
    <w:rsid w:val="00F47CF2"/>
    <w:rsid w:val="00F5028A"/>
    <w:rsid w:val="00F50682"/>
    <w:rsid w:val="00F50D98"/>
    <w:rsid w:val="00F50DC9"/>
    <w:rsid w:val="00F515CB"/>
    <w:rsid w:val="00F51DB7"/>
    <w:rsid w:val="00F51DD7"/>
    <w:rsid w:val="00F51EB7"/>
    <w:rsid w:val="00F5260F"/>
    <w:rsid w:val="00F527C5"/>
    <w:rsid w:val="00F52C30"/>
    <w:rsid w:val="00F52FAC"/>
    <w:rsid w:val="00F53945"/>
    <w:rsid w:val="00F542B4"/>
    <w:rsid w:val="00F54F2F"/>
    <w:rsid w:val="00F5507C"/>
    <w:rsid w:val="00F5609C"/>
    <w:rsid w:val="00F564D3"/>
    <w:rsid w:val="00F56F24"/>
    <w:rsid w:val="00F56FD5"/>
    <w:rsid w:val="00F57611"/>
    <w:rsid w:val="00F576EB"/>
    <w:rsid w:val="00F57E0C"/>
    <w:rsid w:val="00F60389"/>
    <w:rsid w:val="00F603BE"/>
    <w:rsid w:val="00F604F1"/>
    <w:rsid w:val="00F60A5E"/>
    <w:rsid w:val="00F60DD3"/>
    <w:rsid w:val="00F60F86"/>
    <w:rsid w:val="00F617AE"/>
    <w:rsid w:val="00F61C28"/>
    <w:rsid w:val="00F61CFD"/>
    <w:rsid w:val="00F61EBE"/>
    <w:rsid w:val="00F62469"/>
    <w:rsid w:val="00F62A6C"/>
    <w:rsid w:val="00F62ADC"/>
    <w:rsid w:val="00F62C4C"/>
    <w:rsid w:val="00F62CF6"/>
    <w:rsid w:val="00F62D3F"/>
    <w:rsid w:val="00F6350C"/>
    <w:rsid w:val="00F637CC"/>
    <w:rsid w:val="00F6403F"/>
    <w:rsid w:val="00F64128"/>
    <w:rsid w:val="00F642B2"/>
    <w:rsid w:val="00F65059"/>
    <w:rsid w:val="00F6506B"/>
    <w:rsid w:val="00F65FC1"/>
    <w:rsid w:val="00F66186"/>
    <w:rsid w:val="00F665C7"/>
    <w:rsid w:val="00F66B77"/>
    <w:rsid w:val="00F66BC4"/>
    <w:rsid w:val="00F66DF3"/>
    <w:rsid w:val="00F67289"/>
    <w:rsid w:val="00F672B7"/>
    <w:rsid w:val="00F67517"/>
    <w:rsid w:val="00F70070"/>
    <w:rsid w:val="00F7052B"/>
    <w:rsid w:val="00F70DB2"/>
    <w:rsid w:val="00F712EE"/>
    <w:rsid w:val="00F7148E"/>
    <w:rsid w:val="00F72078"/>
    <w:rsid w:val="00F7249B"/>
    <w:rsid w:val="00F727B3"/>
    <w:rsid w:val="00F72816"/>
    <w:rsid w:val="00F72C9D"/>
    <w:rsid w:val="00F72CC0"/>
    <w:rsid w:val="00F72DF0"/>
    <w:rsid w:val="00F72E08"/>
    <w:rsid w:val="00F731CB"/>
    <w:rsid w:val="00F7339D"/>
    <w:rsid w:val="00F73D24"/>
    <w:rsid w:val="00F73D2F"/>
    <w:rsid w:val="00F73DF8"/>
    <w:rsid w:val="00F74015"/>
    <w:rsid w:val="00F74162"/>
    <w:rsid w:val="00F74B55"/>
    <w:rsid w:val="00F74B58"/>
    <w:rsid w:val="00F75CAE"/>
    <w:rsid w:val="00F75D18"/>
    <w:rsid w:val="00F76FB4"/>
    <w:rsid w:val="00F76FD4"/>
    <w:rsid w:val="00F77541"/>
    <w:rsid w:val="00F7764E"/>
    <w:rsid w:val="00F77945"/>
    <w:rsid w:val="00F77B1A"/>
    <w:rsid w:val="00F77CD5"/>
    <w:rsid w:val="00F81025"/>
    <w:rsid w:val="00F8117A"/>
    <w:rsid w:val="00F81216"/>
    <w:rsid w:val="00F814BD"/>
    <w:rsid w:val="00F819D3"/>
    <w:rsid w:val="00F81CD8"/>
    <w:rsid w:val="00F81E06"/>
    <w:rsid w:val="00F82048"/>
    <w:rsid w:val="00F8223A"/>
    <w:rsid w:val="00F829EB"/>
    <w:rsid w:val="00F830A3"/>
    <w:rsid w:val="00F8341F"/>
    <w:rsid w:val="00F83F79"/>
    <w:rsid w:val="00F840A3"/>
    <w:rsid w:val="00F84209"/>
    <w:rsid w:val="00F8439C"/>
    <w:rsid w:val="00F84B22"/>
    <w:rsid w:val="00F84EB6"/>
    <w:rsid w:val="00F85186"/>
    <w:rsid w:val="00F852A8"/>
    <w:rsid w:val="00F854A0"/>
    <w:rsid w:val="00F86341"/>
    <w:rsid w:val="00F86D97"/>
    <w:rsid w:val="00F87113"/>
    <w:rsid w:val="00F872DB"/>
    <w:rsid w:val="00F875C5"/>
    <w:rsid w:val="00F900E1"/>
    <w:rsid w:val="00F900E5"/>
    <w:rsid w:val="00F9038E"/>
    <w:rsid w:val="00F907EA"/>
    <w:rsid w:val="00F90CCD"/>
    <w:rsid w:val="00F90D25"/>
    <w:rsid w:val="00F91719"/>
    <w:rsid w:val="00F925FE"/>
    <w:rsid w:val="00F92711"/>
    <w:rsid w:val="00F92E43"/>
    <w:rsid w:val="00F9382D"/>
    <w:rsid w:val="00F93A79"/>
    <w:rsid w:val="00F942AF"/>
    <w:rsid w:val="00F942FE"/>
    <w:rsid w:val="00F9464D"/>
    <w:rsid w:val="00F94A25"/>
    <w:rsid w:val="00F94E5B"/>
    <w:rsid w:val="00F94F5A"/>
    <w:rsid w:val="00F94F6B"/>
    <w:rsid w:val="00F952D0"/>
    <w:rsid w:val="00F955BC"/>
    <w:rsid w:val="00F95727"/>
    <w:rsid w:val="00F96E72"/>
    <w:rsid w:val="00F97070"/>
    <w:rsid w:val="00F97567"/>
    <w:rsid w:val="00F976BD"/>
    <w:rsid w:val="00F97794"/>
    <w:rsid w:val="00F97F27"/>
    <w:rsid w:val="00FA0193"/>
    <w:rsid w:val="00FA04AB"/>
    <w:rsid w:val="00FA05E2"/>
    <w:rsid w:val="00FA0C98"/>
    <w:rsid w:val="00FA17D7"/>
    <w:rsid w:val="00FA1892"/>
    <w:rsid w:val="00FA1A56"/>
    <w:rsid w:val="00FA1B3F"/>
    <w:rsid w:val="00FA1D2F"/>
    <w:rsid w:val="00FA1D4D"/>
    <w:rsid w:val="00FA21D9"/>
    <w:rsid w:val="00FA24DB"/>
    <w:rsid w:val="00FA276E"/>
    <w:rsid w:val="00FA2905"/>
    <w:rsid w:val="00FA2C76"/>
    <w:rsid w:val="00FA3004"/>
    <w:rsid w:val="00FA388D"/>
    <w:rsid w:val="00FA3B4C"/>
    <w:rsid w:val="00FA40C1"/>
    <w:rsid w:val="00FA410B"/>
    <w:rsid w:val="00FA48DF"/>
    <w:rsid w:val="00FA4B8C"/>
    <w:rsid w:val="00FA4F81"/>
    <w:rsid w:val="00FA5056"/>
    <w:rsid w:val="00FA506D"/>
    <w:rsid w:val="00FA5581"/>
    <w:rsid w:val="00FA5612"/>
    <w:rsid w:val="00FA59C4"/>
    <w:rsid w:val="00FA5C0E"/>
    <w:rsid w:val="00FA5FD0"/>
    <w:rsid w:val="00FA605A"/>
    <w:rsid w:val="00FA60FB"/>
    <w:rsid w:val="00FA63FC"/>
    <w:rsid w:val="00FA66E4"/>
    <w:rsid w:val="00FA67F3"/>
    <w:rsid w:val="00FA6B96"/>
    <w:rsid w:val="00FA6E08"/>
    <w:rsid w:val="00FA7BFA"/>
    <w:rsid w:val="00FA7FA3"/>
    <w:rsid w:val="00FB075E"/>
    <w:rsid w:val="00FB0EA7"/>
    <w:rsid w:val="00FB0FEB"/>
    <w:rsid w:val="00FB13B9"/>
    <w:rsid w:val="00FB1E95"/>
    <w:rsid w:val="00FB1F3D"/>
    <w:rsid w:val="00FB2239"/>
    <w:rsid w:val="00FB22B3"/>
    <w:rsid w:val="00FB27BC"/>
    <w:rsid w:val="00FB29ED"/>
    <w:rsid w:val="00FB2D12"/>
    <w:rsid w:val="00FB3353"/>
    <w:rsid w:val="00FB33D0"/>
    <w:rsid w:val="00FB35E2"/>
    <w:rsid w:val="00FB36CB"/>
    <w:rsid w:val="00FB3864"/>
    <w:rsid w:val="00FB416C"/>
    <w:rsid w:val="00FB4435"/>
    <w:rsid w:val="00FB446A"/>
    <w:rsid w:val="00FB44B7"/>
    <w:rsid w:val="00FB4617"/>
    <w:rsid w:val="00FB49E5"/>
    <w:rsid w:val="00FB4B8B"/>
    <w:rsid w:val="00FB4C33"/>
    <w:rsid w:val="00FB4D39"/>
    <w:rsid w:val="00FB5370"/>
    <w:rsid w:val="00FB56E1"/>
    <w:rsid w:val="00FB5A0B"/>
    <w:rsid w:val="00FB5BC3"/>
    <w:rsid w:val="00FB5BFE"/>
    <w:rsid w:val="00FB5C1C"/>
    <w:rsid w:val="00FB5E9C"/>
    <w:rsid w:val="00FB61C8"/>
    <w:rsid w:val="00FB684B"/>
    <w:rsid w:val="00FB7294"/>
    <w:rsid w:val="00FB73A6"/>
    <w:rsid w:val="00FB740D"/>
    <w:rsid w:val="00FB7D38"/>
    <w:rsid w:val="00FC08A5"/>
    <w:rsid w:val="00FC1410"/>
    <w:rsid w:val="00FC1794"/>
    <w:rsid w:val="00FC1CA8"/>
    <w:rsid w:val="00FC2484"/>
    <w:rsid w:val="00FC26A4"/>
    <w:rsid w:val="00FC2726"/>
    <w:rsid w:val="00FC29E5"/>
    <w:rsid w:val="00FC2A9C"/>
    <w:rsid w:val="00FC2BCA"/>
    <w:rsid w:val="00FC2E83"/>
    <w:rsid w:val="00FC2ED1"/>
    <w:rsid w:val="00FC33B2"/>
    <w:rsid w:val="00FC3ED9"/>
    <w:rsid w:val="00FC4869"/>
    <w:rsid w:val="00FC48BE"/>
    <w:rsid w:val="00FC4D9C"/>
    <w:rsid w:val="00FC4F0D"/>
    <w:rsid w:val="00FC5098"/>
    <w:rsid w:val="00FC61E3"/>
    <w:rsid w:val="00FC64B8"/>
    <w:rsid w:val="00FC6890"/>
    <w:rsid w:val="00FC7776"/>
    <w:rsid w:val="00FD0824"/>
    <w:rsid w:val="00FD13AF"/>
    <w:rsid w:val="00FD1D48"/>
    <w:rsid w:val="00FD1FC2"/>
    <w:rsid w:val="00FD1FD0"/>
    <w:rsid w:val="00FD2226"/>
    <w:rsid w:val="00FD25F8"/>
    <w:rsid w:val="00FD2634"/>
    <w:rsid w:val="00FD2C04"/>
    <w:rsid w:val="00FD2D11"/>
    <w:rsid w:val="00FD2E4E"/>
    <w:rsid w:val="00FD3AEA"/>
    <w:rsid w:val="00FD4A5B"/>
    <w:rsid w:val="00FD644B"/>
    <w:rsid w:val="00FD70DF"/>
    <w:rsid w:val="00FD755D"/>
    <w:rsid w:val="00FD7AAA"/>
    <w:rsid w:val="00FD7AC2"/>
    <w:rsid w:val="00FE00AD"/>
    <w:rsid w:val="00FE059A"/>
    <w:rsid w:val="00FE0E04"/>
    <w:rsid w:val="00FE0F71"/>
    <w:rsid w:val="00FE1573"/>
    <w:rsid w:val="00FE16C3"/>
    <w:rsid w:val="00FE1950"/>
    <w:rsid w:val="00FE1A09"/>
    <w:rsid w:val="00FE27C6"/>
    <w:rsid w:val="00FE282F"/>
    <w:rsid w:val="00FE34B0"/>
    <w:rsid w:val="00FE35A8"/>
    <w:rsid w:val="00FE3D93"/>
    <w:rsid w:val="00FE4261"/>
    <w:rsid w:val="00FE45D1"/>
    <w:rsid w:val="00FE4830"/>
    <w:rsid w:val="00FE4C80"/>
    <w:rsid w:val="00FE500A"/>
    <w:rsid w:val="00FE5432"/>
    <w:rsid w:val="00FE551C"/>
    <w:rsid w:val="00FE552D"/>
    <w:rsid w:val="00FE5538"/>
    <w:rsid w:val="00FE562E"/>
    <w:rsid w:val="00FE5C4B"/>
    <w:rsid w:val="00FE61C0"/>
    <w:rsid w:val="00FE635C"/>
    <w:rsid w:val="00FE653A"/>
    <w:rsid w:val="00FE659E"/>
    <w:rsid w:val="00FE6A68"/>
    <w:rsid w:val="00FE6B95"/>
    <w:rsid w:val="00FE70B4"/>
    <w:rsid w:val="00FE72C9"/>
    <w:rsid w:val="00FE7467"/>
    <w:rsid w:val="00FE7CB4"/>
    <w:rsid w:val="00FF0291"/>
    <w:rsid w:val="00FF072C"/>
    <w:rsid w:val="00FF0C87"/>
    <w:rsid w:val="00FF11C7"/>
    <w:rsid w:val="00FF1393"/>
    <w:rsid w:val="00FF15C6"/>
    <w:rsid w:val="00FF191C"/>
    <w:rsid w:val="00FF1CAD"/>
    <w:rsid w:val="00FF1EA6"/>
    <w:rsid w:val="00FF1EB9"/>
    <w:rsid w:val="00FF1FF4"/>
    <w:rsid w:val="00FF2206"/>
    <w:rsid w:val="00FF2276"/>
    <w:rsid w:val="00FF2EEC"/>
    <w:rsid w:val="00FF2F3E"/>
    <w:rsid w:val="00FF3BB4"/>
    <w:rsid w:val="00FF41BE"/>
    <w:rsid w:val="00FF420A"/>
    <w:rsid w:val="00FF4698"/>
    <w:rsid w:val="00FF5361"/>
    <w:rsid w:val="00FF5B7E"/>
    <w:rsid w:val="00FF5F26"/>
    <w:rsid w:val="00FF6037"/>
    <w:rsid w:val="00FF6A31"/>
    <w:rsid w:val="00FF6CA5"/>
    <w:rsid w:val="00FF70AE"/>
    <w:rsid w:val="00FF7152"/>
    <w:rsid w:val="00FF727E"/>
    <w:rsid w:val="00FF7358"/>
    <w:rsid w:val="00FF7727"/>
    <w:rsid w:val="0194750D"/>
    <w:rsid w:val="0196BA36"/>
    <w:rsid w:val="01DA652F"/>
    <w:rsid w:val="027025DC"/>
    <w:rsid w:val="02A5EE5E"/>
    <w:rsid w:val="0334EF3E"/>
    <w:rsid w:val="03427FE9"/>
    <w:rsid w:val="036B0174"/>
    <w:rsid w:val="03E58440"/>
    <w:rsid w:val="03F0C032"/>
    <w:rsid w:val="043AECB8"/>
    <w:rsid w:val="04518108"/>
    <w:rsid w:val="04A80C45"/>
    <w:rsid w:val="04AA3805"/>
    <w:rsid w:val="05C01A1A"/>
    <w:rsid w:val="05FAD136"/>
    <w:rsid w:val="061A2071"/>
    <w:rsid w:val="065CF1A2"/>
    <w:rsid w:val="07350610"/>
    <w:rsid w:val="07361D66"/>
    <w:rsid w:val="076AC334"/>
    <w:rsid w:val="082497BF"/>
    <w:rsid w:val="08497090"/>
    <w:rsid w:val="089AC883"/>
    <w:rsid w:val="08C0D255"/>
    <w:rsid w:val="09056B75"/>
    <w:rsid w:val="090D4E75"/>
    <w:rsid w:val="093EFB9B"/>
    <w:rsid w:val="0994B86E"/>
    <w:rsid w:val="09B3A247"/>
    <w:rsid w:val="0A093067"/>
    <w:rsid w:val="0A14FA14"/>
    <w:rsid w:val="0A1840C1"/>
    <w:rsid w:val="0A19C165"/>
    <w:rsid w:val="0A325E70"/>
    <w:rsid w:val="0A3C4568"/>
    <w:rsid w:val="0AA5FBA3"/>
    <w:rsid w:val="0AD4ED68"/>
    <w:rsid w:val="0B38C37A"/>
    <w:rsid w:val="0BD29DC9"/>
    <w:rsid w:val="0BD826E8"/>
    <w:rsid w:val="0C07E707"/>
    <w:rsid w:val="0C0E32C7"/>
    <w:rsid w:val="0C0EFBCF"/>
    <w:rsid w:val="0C2D9A0E"/>
    <w:rsid w:val="0C437883"/>
    <w:rsid w:val="0D03BA35"/>
    <w:rsid w:val="0D053E94"/>
    <w:rsid w:val="0DBD07C5"/>
    <w:rsid w:val="0DC69D21"/>
    <w:rsid w:val="0EF2F3DB"/>
    <w:rsid w:val="0FADFFF9"/>
    <w:rsid w:val="0FC186E8"/>
    <w:rsid w:val="1129D307"/>
    <w:rsid w:val="11B6C1F7"/>
    <w:rsid w:val="11D4DF18"/>
    <w:rsid w:val="11DB5EA5"/>
    <w:rsid w:val="124DD8AD"/>
    <w:rsid w:val="12B1018C"/>
    <w:rsid w:val="12F9D1AE"/>
    <w:rsid w:val="137929BF"/>
    <w:rsid w:val="138E3594"/>
    <w:rsid w:val="13EB2F34"/>
    <w:rsid w:val="142A078D"/>
    <w:rsid w:val="14483ED7"/>
    <w:rsid w:val="1474935E"/>
    <w:rsid w:val="14A4D693"/>
    <w:rsid w:val="14AAE865"/>
    <w:rsid w:val="14FD4DCF"/>
    <w:rsid w:val="154D84C1"/>
    <w:rsid w:val="15C2DF6A"/>
    <w:rsid w:val="173C4182"/>
    <w:rsid w:val="174DF054"/>
    <w:rsid w:val="18300C49"/>
    <w:rsid w:val="199308D0"/>
    <w:rsid w:val="19FC1F56"/>
    <w:rsid w:val="1A50E2F8"/>
    <w:rsid w:val="1A5367B5"/>
    <w:rsid w:val="1A77944C"/>
    <w:rsid w:val="1A9D8505"/>
    <w:rsid w:val="1AC341FD"/>
    <w:rsid w:val="1AE0F06B"/>
    <w:rsid w:val="1B2E5500"/>
    <w:rsid w:val="1B57C2A0"/>
    <w:rsid w:val="1B61012C"/>
    <w:rsid w:val="1B7C771A"/>
    <w:rsid w:val="1BBB373B"/>
    <w:rsid w:val="1C0A4DB4"/>
    <w:rsid w:val="1C21ACD1"/>
    <w:rsid w:val="1CA4E1F3"/>
    <w:rsid w:val="1D39425B"/>
    <w:rsid w:val="1D9372AB"/>
    <w:rsid w:val="1DA5B1BE"/>
    <w:rsid w:val="1EB0DADF"/>
    <w:rsid w:val="1FB755EB"/>
    <w:rsid w:val="1FCB7906"/>
    <w:rsid w:val="202607C0"/>
    <w:rsid w:val="204CBA46"/>
    <w:rsid w:val="20DE269D"/>
    <w:rsid w:val="210BB1B1"/>
    <w:rsid w:val="213B0BEA"/>
    <w:rsid w:val="217CC864"/>
    <w:rsid w:val="21D3E252"/>
    <w:rsid w:val="2285C576"/>
    <w:rsid w:val="22DAFE49"/>
    <w:rsid w:val="22E822F5"/>
    <w:rsid w:val="23C73B2F"/>
    <w:rsid w:val="24A6BA2A"/>
    <w:rsid w:val="24AC6349"/>
    <w:rsid w:val="24B5D345"/>
    <w:rsid w:val="2530B395"/>
    <w:rsid w:val="255F6E43"/>
    <w:rsid w:val="260A3D9E"/>
    <w:rsid w:val="2641F2E3"/>
    <w:rsid w:val="266DDEBA"/>
    <w:rsid w:val="27C5D11B"/>
    <w:rsid w:val="28265BD7"/>
    <w:rsid w:val="282B1709"/>
    <w:rsid w:val="28B9D74B"/>
    <w:rsid w:val="28C4E85C"/>
    <w:rsid w:val="29DAB3E0"/>
    <w:rsid w:val="2A2E6C7F"/>
    <w:rsid w:val="2A72C0C6"/>
    <w:rsid w:val="2AC52FC6"/>
    <w:rsid w:val="2AE2753B"/>
    <w:rsid w:val="2B27F1A1"/>
    <w:rsid w:val="2B9BE12F"/>
    <w:rsid w:val="2C4ECDBA"/>
    <w:rsid w:val="2CD6FE3E"/>
    <w:rsid w:val="2CF9901B"/>
    <w:rsid w:val="2D1F19BF"/>
    <w:rsid w:val="2D4A88DF"/>
    <w:rsid w:val="2DC6576D"/>
    <w:rsid w:val="2DFA28F8"/>
    <w:rsid w:val="2E11DFD0"/>
    <w:rsid w:val="2ED545AD"/>
    <w:rsid w:val="2EDB4B55"/>
    <w:rsid w:val="2EEB129F"/>
    <w:rsid w:val="2EFE31ED"/>
    <w:rsid w:val="2F15F76B"/>
    <w:rsid w:val="2F450EDA"/>
    <w:rsid w:val="2F5E6F4C"/>
    <w:rsid w:val="2F65F56C"/>
    <w:rsid w:val="2F761CF7"/>
    <w:rsid w:val="2F7EA863"/>
    <w:rsid w:val="2F8A3311"/>
    <w:rsid w:val="2FC0BACF"/>
    <w:rsid w:val="2FC1880E"/>
    <w:rsid w:val="2FC751AB"/>
    <w:rsid w:val="300017C5"/>
    <w:rsid w:val="3029C49E"/>
    <w:rsid w:val="302FABDB"/>
    <w:rsid w:val="3091463A"/>
    <w:rsid w:val="3096CDB6"/>
    <w:rsid w:val="310347DB"/>
    <w:rsid w:val="31523617"/>
    <w:rsid w:val="31FC5DD5"/>
    <w:rsid w:val="32086C48"/>
    <w:rsid w:val="326BCCBE"/>
    <w:rsid w:val="32B67CC2"/>
    <w:rsid w:val="33545108"/>
    <w:rsid w:val="335CA287"/>
    <w:rsid w:val="341BD433"/>
    <w:rsid w:val="3445CA75"/>
    <w:rsid w:val="34C13F9F"/>
    <w:rsid w:val="34D7F3F2"/>
    <w:rsid w:val="35031FAD"/>
    <w:rsid w:val="3554A35E"/>
    <w:rsid w:val="35A25184"/>
    <w:rsid w:val="35AD51A9"/>
    <w:rsid w:val="35ED80AF"/>
    <w:rsid w:val="3601D3C8"/>
    <w:rsid w:val="3665DE38"/>
    <w:rsid w:val="36DABAFE"/>
    <w:rsid w:val="374A5E63"/>
    <w:rsid w:val="3796A07A"/>
    <w:rsid w:val="3801B0DD"/>
    <w:rsid w:val="382DD35D"/>
    <w:rsid w:val="3848AEF2"/>
    <w:rsid w:val="3912F84F"/>
    <w:rsid w:val="39C559C3"/>
    <w:rsid w:val="39C791D5"/>
    <w:rsid w:val="3AD7FA6C"/>
    <w:rsid w:val="3ADF11A9"/>
    <w:rsid w:val="3B44F840"/>
    <w:rsid w:val="3B75C807"/>
    <w:rsid w:val="3BDAE868"/>
    <w:rsid w:val="3BE089E9"/>
    <w:rsid w:val="3CA9BD22"/>
    <w:rsid w:val="3CF1DB5E"/>
    <w:rsid w:val="3D5D036D"/>
    <w:rsid w:val="3DC56CEB"/>
    <w:rsid w:val="3E63411B"/>
    <w:rsid w:val="3EBA4586"/>
    <w:rsid w:val="3ECFC464"/>
    <w:rsid w:val="3F14395A"/>
    <w:rsid w:val="3F70EAF2"/>
    <w:rsid w:val="3F95FB1D"/>
    <w:rsid w:val="3FB68210"/>
    <w:rsid w:val="3FD188E3"/>
    <w:rsid w:val="400564B8"/>
    <w:rsid w:val="4010B76C"/>
    <w:rsid w:val="4021C168"/>
    <w:rsid w:val="402A5B14"/>
    <w:rsid w:val="40604C63"/>
    <w:rsid w:val="406516B3"/>
    <w:rsid w:val="407A9C99"/>
    <w:rsid w:val="409EEACE"/>
    <w:rsid w:val="40A554A5"/>
    <w:rsid w:val="40E0E382"/>
    <w:rsid w:val="4141CEF2"/>
    <w:rsid w:val="4182A6EA"/>
    <w:rsid w:val="41C63CC3"/>
    <w:rsid w:val="41EF34C4"/>
    <w:rsid w:val="4218434C"/>
    <w:rsid w:val="422D1AE2"/>
    <w:rsid w:val="42DF2763"/>
    <w:rsid w:val="438538E3"/>
    <w:rsid w:val="448CF05B"/>
    <w:rsid w:val="450A9A95"/>
    <w:rsid w:val="452D1A47"/>
    <w:rsid w:val="458FB9D5"/>
    <w:rsid w:val="45DB337C"/>
    <w:rsid w:val="467E78F1"/>
    <w:rsid w:val="47324356"/>
    <w:rsid w:val="474E928A"/>
    <w:rsid w:val="47A961AC"/>
    <w:rsid w:val="48310D57"/>
    <w:rsid w:val="4863A393"/>
    <w:rsid w:val="489FB1A9"/>
    <w:rsid w:val="48E051AE"/>
    <w:rsid w:val="49BE7164"/>
    <w:rsid w:val="4AA86F8D"/>
    <w:rsid w:val="4AD8E76F"/>
    <w:rsid w:val="4B7ADA9C"/>
    <w:rsid w:val="4B99AB7C"/>
    <w:rsid w:val="4BA5A921"/>
    <w:rsid w:val="4BE5A178"/>
    <w:rsid w:val="4C0993F7"/>
    <w:rsid w:val="4C9BF85A"/>
    <w:rsid w:val="4DD2119A"/>
    <w:rsid w:val="4EE67284"/>
    <w:rsid w:val="4F198C43"/>
    <w:rsid w:val="4FA9DDAD"/>
    <w:rsid w:val="4FB0FE73"/>
    <w:rsid w:val="4FC652CB"/>
    <w:rsid w:val="4FCC2AA4"/>
    <w:rsid w:val="4FCD16F5"/>
    <w:rsid w:val="4FD035B9"/>
    <w:rsid w:val="500CE3BB"/>
    <w:rsid w:val="50446D58"/>
    <w:rsid w:val="5070D91E"/>
    <w:rsid w:val="508426B6"/>
    <w:rsid w:val="509F83F0"/>
    <w:rsid w:val="50B0D761"/>
    <w:rsid w:val="50D37685"/>
    <w:rsid w:val="50EB5CDA"/>
    <w:rsid w:val="5175F59C"/>
    <w:rsid w:val="517F6C8E"/>
    <w:rsid w:val="520531D7"/>
    <w:rsid w:val="5261F141"/>
    <w:rsid w:val="52F5FABF"/>
    <w:rsid w:val="5364C3E2"/>
    <w:rsid w:val="536D9D92"/>
    <w:rsid w:val="53B2222E"/>
    <w:rsid w:val="53BC6DBE"/>
    <w:rsid w:val="53BE56BC"/>
    <w:rsid w:val="53D97ADE"/>
    <w:rsid w:val="543BACF1"/>
    <w:rsid w:val="54B1E44D"/>
    <w:rsid w:val="5500B0F2"/>
    <w:rsid w:val="553ABB9D"/>
    <w:rsid w:val="556F84BC"/>
    <w:rsid w:val="55850B5F"/>
    <w:rsid w:val="56893C83"/>
    <w:rsid w:val="56CB8FEB"/>
    <w:rsid w:val="56F5CCEC"/>
    <w:rsid w:val="570A95E4"/>
    <w:rsid w:val="573DB543"/>
    <w:rsid w:val="57B48AEB"/>
    <w:rsid w:val="57DD55E8"/>
    <w:rsid w:val="58900431"/>
    <w:rsid w:val="58AD1945"/>
    <w:rsid w:val="58E43F52"/>
    <w:rsid w:val="5B0CBFEC"/>
    <w:rsid w:val="5B739C30"/>
    <w:rsid w:val="5B9F71AE"/>
    <w:rsid w:val="5BF3B49F"/>
    <w:rsid w:val="5C231EDD"/>
    <w:rsid w:val="5C6044B0"/>
    <w:rsid w:val="5C68748C"/>
    <w:rsid w:val="5CA8CD5E"/>
    <w:rsid w:val="5CBF0A28"/>
    <w:rsid w:val="5D040DB3"/>
    <w:rsid w:val="5D182630"/>
    <w:rsid w:val="5D3A5850"/>
    <w:rsid w:val="5E941C07"/>
    <w:rsid w:val="5E9E2C33"/>
    <w:rsid w:val="5EBC5F08"/>
    <w:rsid w:val="5ED3A07B"/>
    <w:rsid w:val="5F0B159B"/>
    <w:rsid w:val="5F2DDCAF"/>
    <w:rsid w:val="5F49B809"/>
    <w:rsid w:val="5FB29B71"/>
    <w:rsid w:val="5FD65514"/>
    <w:rsid w:val="60A1CADD"/>
    <w:rsid w:val="60C1A290"/>
    <w:rsid w:val="61558EBB"/>
    <w:rsid w:val="622246CE"/>
    <w:rsid w:val="6245E336"/>
    <w:rsid w:val="62AECEC5"/>
    <w:rsid w:val="6338CC93"/>
    <w:rsid w:val="635712AB"/>
    <w:rsid w:val="637018CB"/>
    <w:rsid w:val="63734805"/>
    <w:rsid w:val="63A439C1"/>
    <w:rsid w:val="63A61F92"/>
    <w:rsid w:val="63BBE3ED"/>
    <w:rsid w:val="643A2B19"/>
    <w:rsid w:val="646E9C29"/>
    <w:rsid w:val="64A08846"/>
    <w:rsid w:val="64AEF161"/>
    <w:rsid w:val="6528EA35"/>
    <w:rsid w:val="659E7F98"/>
    <w:rsid w:val="65A6A4A5"/>
    <w:rsid w:val="65C9E38E"/>
    <w:rsid w:val="65E75663"/>
    <w:rsid w:val="65F49025"/>
    <w:rsid w:val="66328BB8"/>
    <w:rsid w:val="6667FD92"/>
    <w:rsid w:val="666E6D1B"/>
    <w:rsid w:val="6837035C"/>
    <w:rsid w:val="68484D08"/>
    <w:rsid w:val="684E0E3C"/>
    <w:rsid w:val="687868AF"/>
    <w:rsid w:val="68BC47D2"/>
    <w:rsid w:val="68EF4370"/>
    <w:rsid w:val="6923E0AC"/>
    <w:rsid w:val="6982B7DB"/>
    <w:rsid w:val="699037FB"/>
    <w:rsid w:val="69AA2358"/>
    <w:rsid w:val="69C30851"/>
    <w:rsid w:val="69E6D6A7"/>
    <w:rsid w:val="6A01E16B"/>
    <w:rsid w:val="6A06B74E"/>
    <w:rsid w:val="6A145B4F"/>
    <w:rsid w:val="6ACD1AA8"/>
    <w:rsid w:val="6B0F188E"/>
    <w:rsid w:val="6B1F0E41"/>
    <w:rsid w:val="6BCE027A"/>
    <w:rsid w:val="6C4B366F"/>
    <w:rsid w:val="6CCFFF1E"/>
    <w:rsid w:val="6DCAF153"/>
    <w:rsid w:val="6E1EAC7D"/>
    <w:rsid w:val="6E2C7047"/>
    <w:rsid w:val="6E642B57"/>
    <w:rsid w:val="6E68F379"/>
    <w:rsid w:val="6EB3413D"/>
    <w:rsid w:val="6EE5EF9D"/>
    <w:rsid w:val="6F410704"/>
    <w:rsid w:val="6F54FEC3"/>
    <w:rsid w:val="6F561D67"/>
    <w:rsid w:val="6F842BA2"/>
    <w:rsid w:val="6FC45A4C"/>
    <w:rsid w:val="6FCDD933"/>
    <w:rsid w:val="6FDEFBAA"/>
    <w:rsid w:val="6FF5DDA9"/>
    <w:rsid w:val="6FF87C1C"/>
    <w:rsid w:val="700869D5"/>
    <w:rsid w:val="702525FD"/>
    <w:rsid w:val="7027B6A2"/>
    <w:rsid w:val="704817ED"/>
    <w:rsid w:val="70798AD8"/>
    <w:rsid w:val="70AC81FF"/>
    <w:rsid w:val="70FF2C90"/>
    <w:rsid w:val="713C03AC"/>
    <w:rsid w:val="71847E9E"/>
    <w:rsid w:val="71EEAEAE"/>
    <w:rsid w:val="7313EAE8"/>
    <w:rsid w:val="7379311B"/>
    <w:rsid w:val="74396722"/>
    <w:rsid w:val="7465F143"/>
    <w:rsid w:val="74C00394"/>
    <w:rsid w:val="74DBD8D1"/>
    <w:rsid w:val="74F6BD98"/>
    <w:rsid w:val="74F9B272"/>
    <w:rsid w:val="7616218E"/>
    <w:rsid w:val="76A9F7A6"/>
    <w:rsid w:val="7756797F"/>
    <w:rsid w:val="7770C598"/>
    <w:rsid w:val="7835A0AE"/>
    <w:rsid w:val="7848CC3C"/>
    <w:rsid w:val="7876A87C"/>
    <w:rsid w:val="794C0245"/>
    <w:rsid w:val="79A0ADD5"/>
    <w:rsid w:val="7A01FD77"/>
    <w:rsid w:val="7A4179B6"/>
    <w:rsid w:val="7A8C2CF6"/>
    <w:rsid w:val="7AA2A94F"/>
    <w:rsid w:val="7AC00C14"/>
    <w:rsid w:val="7AC760E7"/>
    <w:rsid w:val="7B3451C7"/>
    <w:rsid w:val="7BAFA40D"/>
    <w:rsid w:val="7BC509DE"/>
    <w:rsid w:val="7C33391A"/>
    <w:rsid w:val="7C4485A4"/>
    <w:rsid w:val="7C7E1F4C"/>
    <w:rsid w:val="7CDFFD04"/>
    <w:rsid w:val="7D2B6BEB"/>
    <w:rsid w:val="7DD2DA41"/>
    <w:rsid w:val="7E36929D"/>
    <w:rsid w:val="7E466EA9"/>
    <w:rsid w:val="7E5ED0EE"/>
    <w:rsid w:val="7ED91974"/>
    <w:rsid w:val="7F23A643"/>
    <w:rsid w:val="7F24F0C6"/>
    <w:rsid w:val="7F7C52D0"/>
    <w:rsid w:val="7FF9FA5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578E1"/>
  <w15:docId w15:val="{6A4E5DF3-1750-4067-AEC9-981B1CEAD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728"/>
    <w:pPr>
      <w:spacing w:after="200" w:line="360" w:lineRule="auto"/>
    </w:pPr>
    <w:rPr>
      <w:sz w:val="24"/>
    </w:rPr>
  </w:style>
  <w:style w:type="paragraph" w:styleId="Heading1">
    <w:name w:val="heading 1"/>
    <w:basedOn w:val="Normal"/>
    <w:next w:val="Normal"/>
    <w:link w:val="Heading1Char"/>
    <w:uiPriority w:val="9"/>
    <w:qFormat/>
    <w:rsid w:val="00240A4C"/>
    <w:pPr>
      <w:keepNext/>
      <w:keepLines/>
      <w:spacing w:after="1000" w:line="264" w:lineRule="auto"/>
      <w:outlineLvl w:val="0"/>
    </w:pPr>
    <w:rPr>
      <w:rFonts w:asciiTheme="majorHAnsi" w:eastAsiaTheme="majorEastAsia" w:hAnsiTheme="majorHAnsi" w:cstheme="majorBidi"/>
      <w:b/>
      <w:color w:val="142855" w:themeColor="text2"/>
      <w:sz w:val="44"/>
      <w:szCs w:val="32"/>
    </w:rPr>
  </w:style>
  <w:style w:type="paragraph" w:styleId="Heading2">
    <w:name w:val="heading 2"/>
    <w:basedOn w:val="Normal"/>
    <w:next w:val="Normal"/>
    <w:link w:val="Heading2Char"/>
    <w:uiPriority w:val="9"/>
    <w:unhideWhenUsed/>
    <w:qFormat/>
    <w:rsid w:val="006E4288"/>
    <w:pPr>
      <w:keepNext/>
      <w:keepLines/>
      <w:pBdr>
        <w:top w:val="single" w:sz="4" w:space="6" w:color="0054BA" w:themeColor="accent2"/>
      </w:pBdr>
      <w:spacing w:before="440"/>
      <w:outlineLvl w:val="1"/>
    </w:pPr>
    <w:rPr>
      <w:rFonts w:asciiTheme="majorHAnsi" w:eastAsiaTheme="majorEastAsia" w:hAnsiTheme="majorHAnsi" w:cstheme="majorBidi"/>
      <w:b/>
      <w:color w:val="142855" w:themeColor="text2"/>
      <w:sz w:val="28"/>
      <w:szCs w:val="26"/>
    </w:rPr>
  </w:style>
  <w:style w:type="paragraph" w:styleId="Heading3">
    <w:name w:val="heading 3"/>
    <w:basedOn w:val="Normal"/>
    <w:next w:val="Normal"/>
    <w:link w:val="Heading3Char"/>
    <w:uiPriority w:val="9"/>
    <w:unhideWhenUsed/>
    <w:qFormat/>
    <w:rsid w:val="0007649C"/>
    <w:pPr>
      <w:keepNext/>
      <w:keepLines/>
      <w:spacing w:before="440"/>
      <w:outlineLvl w:val="2"/>
    </w:pPr>
    <w:rPr>
      <w:rFonts w:asciiTheme="majorHAnsi" w:eastAsiaTheme="majorEastAsia" w:hAnsiTheme="majorHAnsi" w:cstheme="majorBidi"/>
      <w:b/>
      <w:color w:val="142855" w:themeColor="text2"/>
      <w:sz w:val="26"/>
      <w:szCs w:val="24"/>
    </w:rPr>
  </w:style>
  <w:style w:type="paragraph" w:styleId="Heading4">
    <w:name w:val="heading 4"/>
    <w:basedOn w:val="Normal"/>
    <w:next w:val="Normal"/>
    <w:link w:val="Heading4Char"/>
    <w:uiPriority w:val="99"/>
    <w:unhideWhenUsed/>
    <w:qFormat/>
    <w:rsid w:val="00E010AA"/>
    <w:pPr>
      <w:keepNext/>
      <w:keepLines/>
      <w:spacing w:before="440"/>
      <w:outlineLvl w:val="3"/>
    </w:pPr>
    <w:rPr>
      <w:rFonts w:asciiTheme="majorHAnsi" w:eastAsiaTheme="majorEastAsia" w:hAnsiTheme="majorHAnsi" w:cstheme="majorBidi"/>
      <w:iCs/>
      <w:color w:val="142855" w:themeColor="text2"/>
      <w:sz w:val="26"/>
    </w:rPr>
  </w:style>
  <w:style w:type="paragraph" w:styleId="Heading5">
    <w:name w:val="heading 5"/>
    <w:basedOn w:val="Normal"/>
    <w:next w:val="Normal"/>
    <w:link w:val="Heading5Char"/>
    <w:uiPriority w:val="9"/>
    <w:unhideWhenUsed/>
    <w:qFormat/>
    <w:rsid w:val="008C47D2"/>
    <w:pPr>
      <w:keepNext/>
      <w:keepLines/>
      <w:spacing w:before="320" w:after="120"/>
      <w:outlineLvl w:val="4"/>
    </w:pPr>
    <w:rPr>
      <w:rFonts w:asciiTheme="majorHAnsi" w:eastAsiaTheme="majorEastAsia" w:hAnsiTheme="majorHAnsi" w:cstheme="majorBidi"/>
      <w:b/>
      <w:color w:val="1D1D1B" w:themeColor="text1"/>
    </w:rPr>
  </w:style>
  <w:style w:type="paragraph" w:styleId="Heading6">
    <w:name w:val="heading 6"/>
    <w:basedOn w:val="Normal"/>
    <w:next w:val="Normal"/>
    <w:link w:val="Heading6Char"/>
    <w:uiPriority w:val="99"/>
    <w:semiHidden/>
    <w:qFormat/>
    <w:rsid w:val="00046F9E"/>
    <w:pPr>
      <w:keepNext/>
      <w:keepLines/>
      <w:spacing w:before="200" w:after="0" w:line="240" w:lineRule="auto"/>
      <w:outlineLvl w:val="5"/>
    </w:pPr>
    <w:rPr>
      <w:rFonts w:asciiTheme="majorHAnsi" w:eastAsiaTheme="majorEastAsia" w:hAnsiTheme="majorHAnsi" w:cstheme="majorBidi"/>
      <w:i/>
      <w:iCs/>
      <w:color w:val="97000E" w:themeColor="accent1" w:themeShade="7F"/>
      <w:sz w:val="22"/>
    </w:rPr>
  </w:style>
  <w:style w:type="paragraph" w:styleId="Heading7">
    <w:name w:val="heading 7"/>
    <w:basedOn w:val="Normal"/>
    <w:next w:val="Normal"/>
    <w:link w:val="Heading7Char"/>
    <w:uiPriority w:val="99"/>
    <w:semiHidden/>
    <w:unhideWhenUsed/>
    <w:qFormat/>
    <w:rsid w:val="00046F9E"/>
    <w:pPr>
      <w:keepNext/>
      <w:keepLines/>
      <w:spacing w:before="200" w:after="0" w:line="240" w:lineRule="auto"/>
      <w:outlineLvl w:val="6"/>
    </w:pPr>
    <w:rPr>
      <w:rFonts w:asciiTheme="majorHAnsi" w:eastAsiaTheme="majorEastAsia" w:hAnsiTheme="majorHAnsi" w:cstheme="majorBidi"/>
      <w:i/>
      <w:iCs/>
      <w:color w:val="575752" w:themeColor="text1" w:themeTint="BF"/>
      <w:sz w:val="22"/>
    </w:rPr>
  </w:style>
  <w:style w:type="paragraph" w:styleId="Heading8">
    <w:name w:val="heading 8"/>
    <w:basedOn w:val="Normal"/>
    <w:next w:val="Normal"/>
    <w:link w:val="Heading8Char"/>
    <w:uiPriority w:val="99"/>
    <w:semiHidden/>
    <w:unhideWhenUsed/>
    <w:qFormat/>
    <w:rsid w:val="00046F9E"/>
    <w:pPr>
      <w:keepNext/>
      <w:keepLines/>
      <w:spacing w:before="200" w:after="0" w:line="240" w:lineRule="auto"/>
      <w:outlineLvl w:val="7"/>
    </w:pPr>
    <w:rPr>
      <w:rFonts w:asciiTheme="majorHAnsi" w:eastAsiaTheme="majorEastAsia" w:hAnsiTheme="majorHAnsi" w:cstheme="majorBidi"/>
      <w:color w:val="575752" w:themeColor="text1" w:themeTint="BF"/>
      <w:sz w:val="20"/>
      <w:szCs w:val="20"/>
    </w:rPr>
  </w:style>
  <w:style w:type="paragraph" w:styleId="Heading9">
    <w:name w:val="heading 9"/>
    <w:basedOn w:val="Normal"/>
    <w:next w:val="Normal"/>
    <w:link w:val="Heading9Char"/>
    <w:uiPriority w:val="99"/>
    <w:semiHidden/>
    <w:unhideWhenUsed/>
    <w:qFormat/>
    <w:rsid w:val="00046F9E"/>
    <w:pPr>
      <w:keepNext/>
      <w:keepLines/>
      <w:spacing w:before="200" w:after="0" w:line="240" w:lineRule="auto"/>
      <w:outlineLvl w:val="8"/>
    </w:pPr>
    <w:rPr>
      <w:rFonts w:asciiTheme="majorHAnsi" w:eastAsiaTheme="majorEastAsia" w:hAnsiTheme="majorHAnsi" w:cstheme="majorBidi"/>
      <w:i/>
      <w:iCs/>
      <w:color w:val="575752"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3A17"/>
    <w:pPr>
      <w:spacing w:before="800" w:after="0" w:line="240" w:lineRule="auto"/>
      <w:contextualSpacing/>
    </w:pPr>
    <w:rPr>
      <w:rFonts w:asciiTheme="majorHAnsi" w:eastAsiaTheme="majorEastAsia" w:hAnsiTheme="majorHAnsi" w:cstheme="majorBidi"/>
      <w:color w:val="142855" w:themeColor="text2"/>
      <w:spacing w:val="-10"/>
      <w:kern w:val="28"/>
      <w:sz w:val="72"/>
      <w:szCs w:val="72"/>
    </w:rPr>
  </w:style>
  <w:style w:type="character" w:customStyle="1" w:styleId="TitleChar">
    <w:name w:val="Title Char"/>
    <w:basedOn w:val="DefaultParagraphFont"/>
    <w:link w:val="Title"/>
    <w:uiPriority w:val="10"/>
    <w:rsid w:val="00C13A17"/>
    <w:rPr>
      <w:rFonts w:asciiTheme="majorHAnsi" w:eastAsiaTheme="majorEastAsia" w:hAnsiTheme="majorHAnsi" w:cstheme="majorBidi"/>
      <w:color w:val="142855" w:themeColor="text2"/>
      <w:spacing w:val="-10"/>
      <w:kern w:val="28"/>
      <w:sz w:val="72"/>
      <w:szCs w:val="72"/>
    </w:rPr>
  </w:style>
  <w:style w:type="paragraph" w:styleId="Subtitle">
    <w:name w:val="Subtitle"/>
    <w:basedOn w:val="Normal"/>
    <w:next w:val="Normal"/>
    <w:link w:val="SubtitleChar"/>
    <w:uiPriority w:val="99"/>
    <w:qFormat/>
    <w:rsid w:val="000F53CC"/>
    <w:pPr>
      <w:numPr>
        <w:ilvl w:val="1"/>
      </w:numPr>
      <w:spacing w:before="760" w:after="0" w:line="240" w:lineRule="auto"/>
    </w:pPr>
    <w:rPr>
      <w:rFonts w:eastAsiaTheme="minorEastAsia"/>
      <w:b/>
      <w:color w:val="142855" w:themeColor="text2"/>
    </w:rPr>
  </w:style>
  <w:style w:type="character" w:customStyle="1" w:styleId="SubtitleChar">
    <w:name w:val="Subtitle Char"/>
    <w:basedOn w:val="DefaultParagraphFont"/>
    <w:link w:val="Subtitle"/>
    <w:uiPriority w:val="99"/>
    <w:rsid w:val="000F53CC"/>
    <w:rPr>
      <w:rFonts w:eastAsiaTheme="minorEastAsia"/>
      <w:b/>
      <w:color w:val="142855" w:themeColor="text2"/>
      <w:sz w:val="24"/>
    </w:rPr>
  </w:style>
  <w:style w:type="paragraph" w:styleId="Date">
    <w:name w:val="Date"/>
    <w:basedOn w:val="Normal"/>
    <w:next w:val="Normal"/>
    <w:link w:val="DateChar"/>
    <w:uiPriority w:val="99"/>
    <w:unhideWhenUsed/>
    <w:rsid w:val="00C13A17"/>
    <w:pPr>
      <w:spacing w:after="0" w:line="264" w:lineRule="auto"/>
    </w:pPr>
    <w:rPr>
      <w:color w:val="142855" w:themeColor="text2"/>
    </w:rPr>
  </w:style>
  <w:style w:type="character" w:customStyle="1" w:styleId="DateChar">
    <w:name w:val="Date Char"/>
    <w:basedOn w:val="DefaultParagraphFont"/>
    <w:link w:val="Date"/>
    <w:uiPriority w:val="99"/>
    <w:rsid w:val="00C13A17"/>
    <w:rPr>
      <w:color w:val="142855" w:themeColor="text2"/>
      <w:sz w:val="24"/>
    </w:rPr>
  </w:style>
  <w:style w:type="character" w:customStyle="1" w:styleId="Heading1Char">
    <w:name w:val="Heading 1 Char"/>
    <w:basedOn w:val="DefaultParagraphFont"/>
    <w:link w:val="Heading1"/>
    <w:uiPriority w:val="9"/>
    <w:rsid w:val="00240A4C"/>
    <w:rPr>
      <w:rFonts w:asciiTheme="majorHAnsi" w:eastAsiaTheme="majorEastAsia" w:hAnsiTheme="majorHAnsi" w:cstheme="majorBidi"/>
      <w:b/>
      <w:color w:val="142855" w:themeColor="text2"/>
      <w:sz w:val="44"/>
      <w:szCs w:val="32"/>
    </w:rPr>
  </w:style>
  <w:style w:type="paragraph" w:styleId="TOCHeading">
    <w:name w:val="TOC Heading"/>
    <w:basedOn w:val="Heading1"/>
    <w:next w:val="Normal"/>
    <w:uiPriority w:val="39"/>
    <w:unhideWhenUsed/>
    <w:qFormat/>
    <w:rsid w:val="00F731CB"/>
    <w:pPr>
      <w:outlineLvl w:val="9"/>
    </w:pPr>
    <w:rPr>
      <w:lang w:val="en-US"/>
    </w:rPr>
  </w:style>
  <w:style w:type="character" w:customStyle="1" w:styleId="Heading2Char">
    <w:name w:val="Heading 2 Char"/>
    <w:basedOn w:val="DefaultParagraphFont"/>
    <w:link w:val="Heading2"/>
    <w:uiPriority w:val="9"/>
    <w:rsid w:val="006E4288"/>
    <w:rPr>
      <w:rFonts w:asciiTheme="majorHAnsi" w:eastAsiaTheme="majorEastAsia" w:hAnsiTheme="majorHAnsi" w:cstheme="majorBidi"/>
      <w:b/>
      <w:color w:val="142855" w:themeColor="text2"/>
      <w:sz w:val="28"/>
      <w:szCs w:val="26"/>
    </w:rPr>
  </w:style>
  <w:style w:type="character" w:customStyle="1" w:styleId="Heading3Char">
    <w:name w:val="Heading 3 Char"/>
    <w:basedOn w:val="DefaultParagraphFont"/>
    <w:link w:val="Heading3"/>
    <w:uiPriority w:val="9"/>
    <w:rsid w:val="0007649C"/>
    <w:rPr>
      <w:rFonts w:asciiTheme="majorHAnsi" w:eastAsiaTheme="majorEastAsia" w:hAnsiTheme="majorHAnsi" w:cstheme="majorBidi"/>
      <w:b/>
      <w:color w:val="142855" w:themeColor="text2"/>
      <w:sz w:val="26"/>
      <w:szCs w:val="24"/>
    </w:rPr>
  </w:style>
  <w:style w:type="character" w:customStyle="1" w:styleId="Heading4Char">
    <w:name w:val="Heading 4 Char"/>
    <w:basedOn w:val="DefaultParagraphFont"/>
    <w:link w:val="Heading4"/>
    <w:uiPriority w:val="99"/>
    <w:rsid w:val="00E010AA"/>
    <w:rPr>
      <w:rFonts w:asciiTheme="majorHAnsi" w:eastAsiaTheme="majorEastAsia" w:hAnsiTheme="majorHAnsi" w:cstheme="majorBidi"/>
      <w:iCs/>
      <w:color w:val="142855" w:themeColor="text2"/>
      <w:sz w:val="26"/>
    </w:rPr>
  </w:style>
  <w:style w:type="character" w:styleId="Emphasis">
    <w:name w:val="Emphasis"/>
    <w:basedOn w:val="DefaultParagraphFont"/>
    <w:uiPriority w:val="99"/>
    <w:qFormat/>
    <w:rsid w:val="00240A4C"/>
    <w:rPr>
      <w:rFonts w:asciiTheme="minorHAnsi" w:hAnsiTheme="minorHAnsi"/>
      <w:b/>
      <w:i w:val="0"/>
      <w:iCs/>
      <w:color w:val="142855" w:themeColor="text2"/>
      <w:sz w:val="24"/>
    </w:rPr>
  </w:style>
  <w:style w:type="character" w:customStyle="1" w:styleId="Heading5Char">
    <w:name w:val="Heading 5 Char"/>
    <w:basedOn w:val="DefaultParagraphFont"/>
    <w:link w:val="Heading5"/>
    <w:uiPriority w:val="9"/>
    <w:rsid w:val="008C47D2"/>
    <w:rPr>
      <w:rFonts w:asciiTheme="majorHAnsi" w:eastAsiaTheme="majorEastAsia" w:hAnsiTheme="majorHAnsi" w:cstheme="majorBidi"/>
      <w:b/>
      <w:color w:val="1D1D1B" w:themeColor="text1"/>
    </w:rPr>
  </w:style>
  <w:style w:type="paragraph" w:styleId="ListBullet">
    <w:name w:val="List Bullet"/>
    <w:basedOn w:val="Normal"/>
    <w:uiPriority w:val="99"/>
    <w:unhideWhenUsed/>
    <w:rsid w:val="00EE1E70"/>
    <w:pPr>
      <w:numPr>
        <w:numId w:val="106"/>
      </w:numPr>
      <w:spacing w:before="120"/>
    </w:pPr>
  </w:style>
  <w:style w:type="paragraph" w:styleId="ListBullet2">
    <w:name w:val="List Bullet 2"/>
    <w:basedOn w:val="Normal"/>
    <w:uiPriority w:val="99"/>
    <w:unhideWhenUsed/>
    <w:rsid w:val="008C47D2"/>
    <w:pPr>
      <w:numPr>
        <w:numId w:val="2"/>
      </w:numPr>
      <w:contextualSpacing/>
    </w:pPr>
  </w:style>
  <w:style w:type="paragraph" w:styleId="ListBullet3">
    <w:name w:val="List Bullet 3"/>
    <w:basedOn w:val="Normal"/>
    <w:uiPriority w:val="99"/>
    <w:unhideWhenUsed/>
    <w:rsid w:val="008C47D2"/>
    <w:pPr>
      <w:numPr>
        <w:numId w:val="3"/>
      </w:numPr>
      <w:contextualSpacing/>
    </w:pPr>
  </w:style>
  <w:style w:type="paragraph" w:styleId="ListBullet4">
    <w:name w:val="List Bullet 4"/>
    <w:basedOn w:val="Normal"/>
    <w:uiPriority w:val="99"/>
    <w:unhideWhenUsed/>
    <w:rsid w:val="008C47D2"/>
    <w:pPr>
      <w:numPr>
        <w:numId w:val="4"/>
      </w:numPr>
      <w:contextualSpacing/>
    </w:pPr>
  </w:style>
  <w:style w:type="paragraph" w:styleId="ListBullet5">
    <w:name w:val="List Bullet 5"/>
    <w:basedOn w:val="Normal"/>
    <w:uiPriority w:val="99"/>
    <w:unhideWhenUsed/>
    <w:rsid w:val="008C47D2"/>
    <w:pPr>
      <w:numPr>
        <w:numId w:val="5"/>
      </w:numPr>
      <w:contextualSpacing/>
    </w:pPr>
  </w:style>
  <w:style w:type="paragraph" w:styleId="Quote">
    <w:name w:val="Quote"/>
    <w:basedOn w:val="Normal"/>
    <w:next w:val="Normal"/>
    <w:link w:val="QuoteChar"/>
    <w:uiPriority w:val="29"/>
    <w:qFormat/>
    <w:rsid w:val="004F0F77"/>
    <w:pPr>
      <w:spacing w:before="400" w:after="400"/>
    </w:pPr>
    <w:rPr>
      <w:iCs/>
      <w:color w:val="0054BA" w:themeColor="accent2"/>
    </w:rPr>
  </w:style>
  <w:style w:type="character" w:customStyle="1" w:styleId="QuoteChar">
    <w:name w:val="Quote Char"/>
    <w:basedOn w:val="DefaultParagraphFont"/>
    <w:link w:val="Quote"/>
    <w:uiPriority w:val="29"/>
    <w:rsid w:val="004F0F77"/>
    <w:rPr>
      <w:iCs/>
      <w:color w:val="0054BA" w:themeColor="accent2"/>
      <w:sz w:val="24"/>
    </w:rPr>
  </w:style>
  <w:style w:type="table" w:styleId="TableGrid">
    <w:name w:val="Table Grid"/>
    <w:aliases w:val="BBB Table option 2"/>
    <w:basedOn w:val="TableNormal"/>
    <w:uiPriority w:val="59"/>
    <w:rsid w:val="00E523BE"/>
    <w:pPr>
      <w:spacing w:after="120" w:line="360" w:lineRule="auto"/>
    </w:pPr>
    <w:rPr>
      <w:color w:val="142855" w:themeColor="text2"/>
      <w:sz w:val="20"/>
    </w:rPr>
    <w:tblPr>
      <w:tblStyleRowBandSize w:val="1"/>
    </w:tblPr>
    <w:tcPr>
      <w:vAlign w:val="bottom"/>
    </w:tcPr>
    <w:tblStylePr w:type="firstRow">
      <w:pPr>
        <w:wordWrap/>
        <w:spacing w:beforeLines="0" w:before="120" w:beforeAutospacing="0" w:afterLines="0" w:after="0" w:afterAutospacing="0" w:line="360" w:lineRule="auto"/>
      </w:pPr>
      <w:rPr>
        <w:rFonts w:ascii="Arial" w:hAnsi="Arial"/>
        <w:b/>
        <w:color w:val="FFFFFF" w:themeColor="background1"/>
        <w:sz w:val="24"/>
      </w:rPr>
      <w:tblPr>
        <w:tblCellMar>
          <w:top w:w="0" w:type="dxa"/>
          <w:left w:w="113" w:type="dxa"/>
          <w:bottom w:w="0" w:type="dxa"/>
          <w:right w:w="113" w:type="dxa"/>
        </w:tblCellMar>
      </w:tblPr>
      <w:tcPr>
        <w:shd w:val="clear" w:color="auto" w:fill="0054BA" w:themeFill="accent2"/>
      </w:tcPr>
    </w:tblStylePr>
    <w:tblStylePr w:type="band1Horz">
      <w:tblPr/>
      <w:tcPr>
        <w:shd w:val="clear" w:color="auto" w:fill="CCDDEF"/>
      </w:tcPr>
    </w:tblStylePr>
  </w:style>
  <w:style w:type="paragraph" w:customStyle="1" w:styleId="Tablecolumnheading-inkblue">
    <w:name w:val="Table column heading - ink blue"/>
    <w:basedOn w:val="Normal"/>
    <w:qFormat/>
    <w:rsid w:val="00BC6757"/>
    <w:pPr>
      <w:keepNext/>
      <w:spacing w:before="120" w:after="0"/>
    </w:pPr>
    <w:rPr>
      <w:color w:val="142855" w:themeColor="text2"/>
    </w:rPr>
  </w:style>
  <w:style w:type="paragraph" w:customStyle="1" w:styleId="Tabletext">
    <w:name w:val="Table text"/>
    <w:basedOn w:val="Normal"/>
    <w:qFormat/>
    <w:rsid w:val="006E4288"/>
    <w:pPr>
      <w:spacing w:before="120" w:after="0"/>
    </w:pPr>
    <w:rPr>
      <w:color w:val="142855" w:themeColor="text2"/>
    </w:rPr>
  </w:style>
  <w:style w:type="character" w:customStyle="1" w:styleId="Bold">
    <w:name w:val="Bold"/>
    <w:uiPriority w:val="1"/>
    <w:qFormat/>
    <w:rsid w:val="001E2B20"/>
    <w:rPr>
      <w:b/>
    </w:rPr>
  </w:style>
  <w:style w:type="paragraph" w:styleId="Caption">
    <w:name w:val="caption"/>
    <w:basedOn w:val="Normal"/>
    <w:next w:val="Normal"/>
    <w:uiPriority w:val="35"/>
    <w:unhideWhenUsed/>
    <w:qFormat/>
    <w:rsid w:val="006E4288"/>
    <w:pPr>
      <w:spacing w:before="120"/>
    </w:pPr>
    <w:rPr>
      <w:iCs/>
      <w:color w:val="555674"/>
      <w:szCs w:val="18"/>
    </w:rPr>
  </w:style>
  <w:style w:type="paragraph" w:customStyle="1" w:styleId="Tablecolumnheading-white">
    <w:name w:val="Table column heading - white"/>
    <w:basedOn w:val="Tablecolumnheading-inkblue"/>
    <w:qFormat/>
    <w:rsid w:val="00C62D36"/>
    <w:rPr>
      <w:rFonts w:ascii="Arial" w:hAnsi="Arial"/>
      <w:color w:val="FFFFFF" w:themeColor="background1"/>
    </w:rPr>
  </w:style>
  <w:style w:type="table" w:customStyle="1" w:styleId="BBBTableoption1">
    <w:name w:val="BBB Table option 1"/>
    <w:basedOn w:val="TableNormal"/>
    <w:uiPriority w:val="99"/>
    <w:rsid w:val="00E523BE"/>
    <w:pPr>
      <w:spacing w:after="0" w:line="240" w:lineRule="auto"/>
    </w:pPr>
    <w:rPr>
      <w:sz w:val="24"/>
    </w:rPr>
    <w:tblPr>
      <w:tblBorders>
        <w:bottom w:val="single" w:sz="4" w:space="0" w:color="0054BA" w:themeColor="accent2"/>
        <w:insideH w:val="single" w:sz="4" w:space="0" w:color="0054BA" w:themeColor="accent2"/>
      </w:tblBorders>
      <w:tblCellMar>
        <w:left w:w="0" w:type="dxa"/>
        <w:right w:w="0" w:type="dxa"/>
      </w:tblCellMar>
    </w:tblPr>
    <w:tcPr>
      <w:vAlign w:val="bottom"/>
    </w:tcPr>
    <w:tblStylePr w:type="firstRow">
      <w:rPr>
        <w:b/>
      </w:rPr>
      <w:tblPr/>
      <w:tcPr>
        <w:vAlign w:val="bottom"/>
      </w:tcPr>
    </w:tblStylePr>
  </w:style>
  <w:style w:type="table" w:styleId="TableGridLight">
    <w:name w:val="Grid Table Light"/>
    <w:aliases w:val="BBB small table"/>
    <w:basedOn w:val="TableNormal"/>
    <w:uiPriority w:val="40"/>
    <w:rsid w:val="00C62D36"/>
    <w:pPr>
      <w:spacing w:after="0" w:line="240" w:lineRule="auto"/>
    </w:pPr>
    <w:rPr>
      <w:color w:val="142855" w:themeColor="text2"/>
      <w:sz w:val="24"/>
    </w:rPr>
    <w:tblPr>
      <w:tblBorders>
        <w:bottom w:val="single" w:sz="4" w:space="0" w:color="0054BA" w:themeColor="accent2"/>
        <w:insideH w:val="single" w:sz="4" w:space="0" w:color="0054BA" w:themeColor="accent2"/>
      </w:tblBorders>
    </w:tblPr>
    <w:tcPr>
      <w:shd w:val="clear" w:color="auto" w:fill="EFF4F6"/>
    </w:tcPr>
    <w:tblStylePr w:type="firstRow">
      <w:pPr>
        <w:wordWrap/>
        <w:spacing w:beforeLines="0" w:before="120" w:beforeAutospacing="0" w:afterLines="0" w:after="0" w:afterAutospacing="0" w:line="360" w:lineRule="auto"/>
      </w:pPr>
      <w:rPr>
        <w:rFonts w:asciiTheme="minorHAnsi" w:hAnsiTheme="minorHAnsi"/>
        <w:b/>
        <w:sz w:val="24"/>
      </w:rPr>
    </w:tblStylePr>
  </w:style>
  <w:style w:type="paragraph" w:customStyle="1" w:styleId="Contentsheading">
    <w:name w:val="Contents heading"/>
    <w:basedOn w:val="Normal"/>
    <w:qFormat/>
    <w:rsid w:val="00C62D36"/>
    <w:pPr>
      <w:spacing w:after="1200"/>
    </w:pPr>
    <w:rPr>
      <w:b/>
      <w:color w:val="142855" w:themeColor="text2"/>
      <w:sz w:val="44"/>
    </w:rPr>
  </w:style>
  <w:style w:type="paragraph" w:styleId="TOC1">
    <w:name w:val="toc 1"/>
    <w:basedOn w:val="Normal"/>
    <w:next w:val="Normal"/>
    <w:autoRedefine/>
    <w:uiPriority w:val="39"/>
    <w:unhideWhenUsed/>
    <w:rsid w:val="00503351"/>
    <w:pPr>
      <w:pBdr>
        <w:top w:val="single" w:sz="4" w:space="4" w:color="0054BA" w:themeColor="accent2"/>
        <w:bottom w:val="single" w:sz="4" w:space="4" w:color="0054BA" w:themeColor="accent2"/>
      </w:pBdr>
      <w:tabs>
        <w:tab w:val="right" w:pos="6629"/>
      </w:tabs>
      <w:spacing w:before="120" w:after="120" w:line="288" w:lineRule="auto"/>
    </w:pPr>
    <w:rPr>
      <w:b/>
      <w:color w:val="142855" w:themeColor="text2"/>
      <w:sz w:val="28"/>
    </w:rPr>
  </w:style>
  <w:style w:type="paragraph" w:styleId="TOC2">
    <w:name w:val="toc 2"/>
    <w:basedOn w:val="Normal"/>
    <w:next w:val="Normal"/>
    <w:autoRedefine/>
    <w:uiPriority w:val="39"/>
    <w:unhideWhenUsed/>
    <w:rsid w:val="00EC2542"/>
    <w:pPr>
      <w:tabs>
        <w:tab w:val="right" w:leader="dot" w:pos="6629"/>
      </w:tabs>
      <w:spacing w:before="120" w:after="120" w:line="288" w:lineRule="auto"/>
      <w:ind w:left="221"/>
    </w:pPr>
    <w:rPr>
      <w:color w:val="142855" w:themeColor="text2"/>
      <w:sz w:val="28"/>
    </w:rPr>
  </w:style>
  <w:style w:type="paragraph" w:styleId="TOC3">
    <w:name w:val="toc 3"/>
    <w:basedOn w:val="Normal"/>
    <w:next w:val="Normal"/>
    <w:autoRedefine/>
    <w:uiPriority w:val="39"/>
    <w:unhideWhenUsed/>
    <w:rsid w:val="007348D9"/>
    <w:pPr>
      <w:tabs>
        <w:tab w:val="right" w:pos="6629"/>
      </w:tabs>
      <w:spacing w:after="100" w:line="288" w:lineRule="auto"/>
      <w:ind w:left="442"/>
    </w:pPr>
    <w:rPr>
      <w:color w:val="142855" w:themeColor="text2"/>
      <w:sz w:val="28"/>
    </w:rPr>
  </w:style>
  <w:style w:type="character" w:styleId="Hyperlink">
    <w:name w:val="Hyperlink"/>
    <w:basedOn w:val="DefaultParagraphFont"/>
    <w:uiPriority w:val="99"/>
    <w:unhideWhenUsed/>
    <w:rsid w:val="00157ACD"/>
    <w:rPr>
      <w:color w:val="142855" w:themeColor="text2"/>
      <w:u w:val="single"/>
    </w:rPr>
  </w:style>
  <w:style w:type="paragraph" w:styleId="Header">
    <w:name w:val="header"/>
    <w:basedOn w:val="Normal"/>
    <w:link w:val="HeaderChar"/>
    <w:uiPriority w:val="99"/>
    <w:unhideWhenUsed/>
    <w:rsid w:val="00D13154"/>
    <w:pPr>
      <w:tabs>
        <w:tab w:val="center" w:pos="4513"/>
        <w:tab w:val="right" w:pos="9026"/>
      </w:tabs>
      <w:spacing w:after="0" w:line="240" w:lineRule="auto"/>
    </w:pPr>
    <w:rPr>
      <w:b/>
      <w:color w:val="0054BA" w:themeColor="accent2"/>
    </w:rPr>
  </w:style>
  <w:style w:type="character" w:customStyle="1" w:styleId="HeaderChar">
    <w:name w:val="Header Char"/>
    <w:basedOn w:val="DefaultParagraphFont"/>
    <w:link w:val="Header"/>
    <w:uiPriority w:val="99"/>
    <w:rsid w:val="00D13154"/>
    <w:rPr>
      <w:b/>
      <w:color w:val="0054BA" w:themeColor="accent2"/>
      <w:sz w:val="24"/>
    </w:rPr>
  </w:style>
  <w:style w:type="paragraph" w:styleId="Footer">
    <w:name w:val="footer"/>
    <w:basedOn w:val="Normal"/>
    <w:link w:val="FooterChar"/>
    <w:uiPriority w:val="99"/>
    <w:unhideWhenUsed/>
    <w:rsid w:val="00BC44D7"/>
    <w:pPr>
      <w:tabs>
        <w:tab w:val="center" w:pos="4513"/>
        <w:tab w:val="right" w:pos="9026"/>
      </w:tabs>
      <w:spacing w:after="0" w:line="240" w:lineRule="auto"/>
    </w:pPr>
    <w:rPr>
      <w:color w:val="142855" w:themeColor="text2"/>
    </w:rPr>
  </w:style>
  <w:style w:type="character" w:customStyle="1" w:styleId="FooterChar">
    <w:name w:val="Footer Char"/>
    <w:basedOn w:val="DefaultParagraphFont"/>
    <w:link w:val="Footer"/>
    <w:uiPriority w:val="99"/>
    <w:rsid w:val="00BC44D7"/>
    <w:rPr>
      <w:color w:val="142855" w:themeColor="text2"/>
      <w:sz w:val="24"/>
    </w:rPr>
  </w:style>
  <w:style w:type="paragraph" w:styleId="Closing">
    <w:name w:val="Closing"/>
    <w:basedOn w:val="Normal"/>
    <w:link w:val="ClosingChar"/>
    <w:uiPriority w:val="99"/>
    <w:unhideWhenUsed/>
    <w:rsid w:val="00F56FD5"/>
    <w:pPr>
      <w:spacing w:after="0"/>
    </w:pPr>
    <w:rPr>
      <w:color w:val="142855" w:themeColor="text2"/>
    </w:rPr>
  </w:style>
  <w:style w:type="character" w:customStyle="1" w:styleId="ClosingChar">
    <w:name w:val="Closing Char"/>
    <w:basedOn w:val="DefaultParagraphFont"/>
    <w:link w:val="Closing"/>
    <w:uiPriority w:val="99"/>
    <w:rsid w:val="00F56FD5"/>
    <w:rPr>
      <w:color w:val="142855" w:themeColor="text2"/>
      <w:sz w:val="24"/>
    </w:rPr>
  </w:style>
  <w:style w:type="character" w:styleId="UnresolvedMention">
    <w:name w:val="Unresolved Mention"/>
    <w:basedOn w:val="DefaultParagraphFont"/>
    <w:uiPriority w:val="99"/>
    <w:unhideWhenUsed/>
    <w:rsid w:val="00F56FD5"/>
    <w:rPr>
      <w:color w:val="605E5C"/>
      <w:shd w:val="clear" w:color="auto" w:fill="E1DFDD"/>
    </w:rPr>
  </w:style>
  <w:style w:type="paragraph" w:customStyle="1" w:styleId="Tablerowheading-inkblue">
    <w:name w:val="Table row heading - ink blue"/>
    <w:basedOn w:val="Tablecolumnheading-white"/>
    <w:qFormat/>
    <w:rsid w:val="00D750DE"/>
    <w:rPr>
      <w:color w:val="142855" w:themeColor="text2"/>
    </w:rPr>
  </w:style>
  <w:style w:type="table" w:customStyle="1" w:styleId="BBBsummarytable">
    <w:name w:val="BBB summary table"/>
    <w:basedOn w:val="TableNormal"/>
    <w:uiPriority w:val="99"/>
    <w:rsid w:val="00E523BE"/>
    <w:pPr>
      <w:spacing w:after="0" w:line="240" w:lineRule="auto"/>
    </w:pPr>
    <w:rPr>
      <w:color w:val="142855" w:themeColor="text2"/>
      <w:sz w:val="24"/>
    </w:rPr>
    <w:tblPr>
      <w:tblBorders>
        <w:bottom w:val="single" w:sz="4" w:space="0" w:color="0054BA" w:themeColor="accent2"/>
        <w:insideH w:val="single" w:sz="4" w:space="0" w:color="0054BA" w:themeColor="accent2"/>
      </w:tblBorders>
    </w:tblPr>
    <w:tcPr>
      <w:shd w:val="clear" w:color="auto" w:fill="FFFFFF" w:themeFill="background1"/>
      <w:vAlign w:val="bottom"/>
    </w:tcPr>
    <w:tblStylePr w:type="firstCol">
      <w:rPr>
        <w:b/>
      </w:rPr>
      <w:tblPr/>
      <w:tcPr>
        <w:shd w:val="clear" w:color="auto" w:fill="EFF4F6"/>
      </w:tcPr>
    </w:tblStylePr>
  </w:style>
  <w:style w:type="paragraph" w:styleId="ListNumber">
    <w:name w:val="List Number"/>
    <w:basedOn w:val="Normal"/>
    <w:uiPriority w:val="99"/>
    <w:unhideWhenUsed/>
    <w:rsid w:val="00356261"/>
    <w:pPr>
      <w:numPr>
        <w:numId w:val="15"/>
      </w:numPr>
    </w:pPr>
  </w:style>
  <w:style w:type="table" w:styleId="PlainTable2">
    <w:name w:val="Plain Table 2"/>
    <w:basedOn w:val="TableNormal"/>
    <w:uiPriority w:val="42"/>
    <w:rsid w:val="00BC44D7"/>
    <w:pPr>
      <w:spacing w:after="0" w:line="240" w:lineRule="auto"/>
    </w:pPr>
    <w:tblPr>
      <w:tblStyleRowBandSize w:val="1"/>
      <w:tblStyleColBandSize w:val="1"/>
      <w:tblBorders>
        <w:top w:val="single" w:sz="4" w:space="0" w:color="919188" w:themeColor="text1" w:themeTint="80"/>
        <w:bottom w:val="single" w:sz="4" w:space="0" w:color="919188" w:themeColor="text1" w:themeTint="80"/>
      </w:tblBorders>
    </w:tblPr>
    <w:tblStylePr w:type="firstRow">
      <w:rPr>
        <w:b/>
        <w:bCs/>
      </w:rPr>
      <w:tblPr/>
      <w:tcPr>
        <w:tcBorders>
          <w:bottom w:val="single" w:sz="4" w:space="0" w:color="919188" w:themeColor="text1" w:themeTint="80"/>
        </w:tcBorders>
      </w:tcPr>
    </w:tblStylePr>
    <w:tblStylePr w:type="lastRow">
      <w:rPr>
        <w:b/>
        <w:bCs/>
      </w:rPr>
      <w:tblPr/>
      <w:tcPr>
        <w:tcBorders>
          <w:top w:val="single" w:sz="4" w:space="0" w:color="919188" w:themeColor="text1" w:themeTint="80"/>
        </w:tcBorders>
      </w:tcPr>
    </w:tblStylePr>
    <w:tblStylePr w:type="firstCol">
      <w:rPr>
        <w:b/>
        <w:bCs/>
      </w:rPr>
    </w:tblStylePr>
    <w:tblStylePr w:type="lastCol">
      <w:rPr>
        <w:b/>
        <w:bCs/>
      </w:rPr>
    </w:tblStylePr>
    <w:tblStylePr w:type="band1Vert">
      <w:tblPr/>
      <w:tcPr>
        <w:tcBorders>
          <w:left w:val="single" w:sz="4" w:space="0" w:color="919188" w:themeColor="text1" w:themeTint="80"/>
          <w:right w:val="single" w:sz="4" w:space="0" w:color="919188" w:themeColor="text1" w:themeTint="80"/>
        </w:tcBorders>
      </w:tcPr>
    </w:tblStylePr>
    <w:tblStylePr w:type="band2Vert">
      <w:tblPr/>
      <w:tcPr>
        <w:tcBorders>
          <w:left w:val="single" w:sz="4" w:space="0" w:color="919188" w:themeColor="text1" w:themeTint="80"/>
          <w:right w:val="single" w:sz="4" w:space="0" w:color="919188" w:themeColor="text1" w:themeTint="80"/>
        </w:tcBorders>
      </w:tcPr>
    </w:tblStylePr>
    <w:tblStylePr w:type="band1Horz">
      <w:tblPr/>
      <w:tcPr>
        <w:tcBorders>
          <w:top w:val="single" w:sz="4" w:space="0" w:color="919188" w:themeColor="text1" w:themeTint="80"/>
          <w:bottom w:val="single" w:sz="4" w:space="0" w:color="919188" w:themeColor="text1" w:themeTint="80"/>
        </w:tcBorders>
      </w:tcPr>
    </w:tblStylePr>
  </w:style>
  <w:style w:type="table" w:customStyle="1" w:styleId="BBBfootertable">
    <w:name w:val="BBB footer table"/>
    <w:basedOn w:val="TableNormal"/>
    <w:uiPriority w:val="99"/>
    <w:rsid w:val="00BC44D7"/>
    <w:pPr>
      <w:spacing w:after="0" w:line="240" w:lineRule="auto"/>
    </w:pPr>
    <w:rPr>
      <w:color w:val="142855" w:themeColor="text2"/>
      <w:sz w:val="24"/>
    </w:rPr>
    <w:tblPr>
      <w:tblBorders>
        <w:top w:val="single" w:sz="4" w:space="0" w:color="142855" w:themeColor="text2"/>
      </w:tblBorders>
      <w:tblCellMar>
        <w:top w:w="113" w:type="dxa"/>
        <w:left w:w="0" w:type="dxa"/>
        <w:right w:w="0" w:type="dxa"/>
      </w:tblCellMar>
    </w:tblPr>
    <w:tblStylePr w:type="firstCol">
      <w:rPr>
        <w:b/>
      </w:rPr>
    </w:tblStylePr>
  </w:style>
  <w:style w:type="paragraph" w:styleId="NoSpacing">
    <w:name w:val="No Spacing"/>
    <w:uiPriority w:val="1"/>
    <w:qFormat/>
    <w:rsid w:val="00176EA1"/>
    <w:pPr>
      <w:spacing w:after="0" w:line="240" w:lineRule="auto"/>
    </w:pPr>
    <w:rPr>
      <w:sz w:val="24"/>
    </w:rPr>
  </w:style>
  <w:style w:type="character" w:customStyle="1" w:styleId="Italic">
    <w:name w:val="Italic"/>
    <w:uiPriority w:val="1"/>
    <w:qFormat/>
    <w:rsid w:val="00877B1E"/>
    <w:rPr>
      <w:i/>
    </w:rPr>
  </w:style>
  <w:style w:type="paragraph" w:styleId="Signature">
    <w:name w:val="Signature"/>
    <w:basedOn w:val="Normal"/>
    <w:link w:val="SignatureChar"/>
    <w:uiPriority w:val="99"/>
    <w:unhideWhenUsed/>
    <w:rsid w:val="009E00AB"/>
    <w:pPr>
      <w:spacing w:after="0" w:line="240" w:lineRule="auto"/>
      <w:ind w:left="4252"/>
    </w:pPr>
  </w:style>
  <w:style w:type="character" w:customStyle="1" w:styleId="SignatureChar">
    <w:name w:val="Signature Char"/>
    <w:basedOn w:val="DefaultParagraphFont"/>
    <w:link w:val="Signature"/>
    <w:uiPriority w:val="99"/>
    <w:rsid w:val="009E00AB"/>
    <w:rPr>
      <w:sz w:val="24"/>
    </w:rPr>
  </w:style>
  <w:style w:type="paragraph" w:styleId="BlockText">
    <w:name w:val="Block Text"/>
    <w:basedOn w:val="Normal"/>
    <w:uiPriority w:val="99"/>
    <w:unhideWhenUsed/>
    <w:rsid w:val="006C48EF"/>
    <w:pPr>
      <w:tabs>
        <w:tab w:val="left" w:pos="284"/>
      </w:tabs>
      <w:spacing w:after="120"/>
    </w:pPr>
    <w:rPr>
      <w:rFonts w:eastAsiaTheme="minorEastAsia"/>
      <w:iCs/>
      <w:color w:val="142855" w:themeColor="text2"/>
    </w:rPr>
  </w:style>
  <w:style w:type="paragraph" w:customStyle="1" w:styleId="Companyinformation">
    <w:name w:val="Company information"/>
    <w:basedOn w:val="BlockText"/>
    <w:qFormat/>
    <w:rsid w:val="006A1A04"/>
    <w:pPr>
      <w:spacing w:before="360" w:after="0"/>
    </w:pPr>
    <w:rPr>
      <w:color w:val="555674"/>
    </w:rPr>
  </w:style>
  <w:style w:type="paragraph" w:styleId="ListParagraph">
    <w:name w:val="List Paragraph"/>
    <w:aliases w:val="Lettre d'introduction,Paragrafo elenco,List Paragraph1,1st level - Bullet List Paragraph,Medium Grid 1 - Accent 21,Normal bullet 2,Bullet list,Numbered List,Bullet (Square),Numbered Para 1,Dot pt,No Spacing1,List Paragraph Char Char Char"/>
    <w:basedOn w:val="Normal"/>
    <w:link w:val="ListParagraphChar"/>
    <w:uiPriority w:val="34"/>
    <w:qFormat/>
    <w:rsid w:val="004E5A6D"/>
    <w:pPr>
      <w:ind w:left="720"/>
      <w:contextualSpacing/>
    </w:pPr>
  </w:style>
  <w:style w:type="paragraph" w:styleId="FootnoteText">
    <w:name w:val="footnote text"/>
    <w:aliases w:val="fn,Char Char,Footnote Text Char Char,Footnote Text Char1 Char Char,Footnote Text Char Char Char Char,Footnote Text Char1 Char Char Char Char,Footnote Text Char Char Char Char Char Char,Fußnotentextf,stile 1,Voetnoottekst Maarten,DHFußn"/>
    <w:basedOn w:val="Normal"/>
    <w:link w:val="FootnoteTextChar"/>
    <w:unhideWhenUsed/>
    <w:qFormat/>
    <w:rsid w:val="009A445F"/>
    <w:pPr>
      <w:spacing w:after="0" w:line="240" w:lineRule="auto"/>
    </w:pPr>
    <w:rPr>
      <w:sz w:val="20"/>
      <w:szCs w:val="20"/>
    </w:rPr>
  </w:style>
  <w:style w:type="character" w:customStyle="1" w:styleId="FootnoteTextChar">
    <w:name w:val="Footnote Text Char"/>
    <w:aliases w:val="fn Char,Char Char Char,Footnote Text Char Char Char,Footnote Text Char1 Char Char Char,Footnote Text Char Char Char Char Char,Footnote Text Char1 Char Char Char Char Char,Footnote Text Char Char Char Char Char Char Char,stile 1 Char"/>
    <w:basedOn w:val="DefaultParagraphFont"/>
    <w:link w:val="FootnoteText"/>
    <w:rsid w:val="009A445F"/>
    <w:rPr>
      <w:sz w:val="20"/>
      <w:szCs w:val="20"/>
    </w:rPr>
  </w:style>
  <w:style w:type="character" w:styleId="FootnoteReference">
    <w:name w:val="footnote reference"/>
    <w:aliases w:val="Footnote symbol,Voetnootverwijzing,Times 10 Point,Exposant 3 Point,Footnote reference number,Ref,de nota al pie,note TESI,SUPERS,EN Footnote Reference,Footnote sign,stylish,Footnote Reference1,BVI fnr,fr,FR,Foo,ftref"/>
    <w:basedOn w:val="DefaultParagraphFont"/>
    <w:link w:val="FootnotesymbolCarZchn"/>
    <w:unhideWhenUsed/>
    <w:qFormat/>
    <w:rsid w:val="009A445F"/>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9A445F"/>
    <w:pPr>
      <w:spacing w:after="160" w:line="240" w:lineRule="exact"/>
      <w:jc w:val="both"/>
    </w:pPr>
    <w:rPr>
      <w:sz w:val="22"/>
      <w:vertAlign w:val="superscript"/>
    </w:rPr>
  </w:style>
  <w:style w:type="character" w:styleId="PlaceholderText">
    <w:name w:val="Placeholder Text"/>
    <w:basedOn w:val="DefaultParagraphFont"/>
    <w:uiPriority w:val="99"/>
    <w:semiHidden/>
    <w:rsid w:val="009400B9"/>
    <w:rPr>
      <w:color w:val="808080"/>
    </w:rPr>
  </w:style>
  <w:style w:type="character" w:styleId="CommentReference">
    <w:name w:val="annotation reference"/>
    <w:basedOn w:val="DefaultParagraphFont"/>
    <w:semiHidden/>
    <w:unhideWhenUsed/>
    <w:rsid w:val="00C3026F"/>
    <w:rPr>
      <w:sz w:val="16"/>
      <w:szCs w:val="16"/>
    </w:rPr>
  </w:style>
  <w:style w:type="paragraph" w:styleId="CommentText">
    <w:name w:val="annotation text"/>
    <w:basedOn w:val="Normal"/>
    <w:link w:val="CommentTextChar"/>
    <w:unhideWhenUsed/>
    <w:rsid w:val="00C3026F"/>
    <w:pPr>
      <w:spacing w:line="240" w:lineRule="auto"/>
    </w:pPr>
    <w:rPr>
      <w:sz w:val="20"/>
      <w:szCs w:val="20"/>
    </w:rPr>
  </w:style>
  <w:style w:type="character" w:customStyle="1" w:styleId="CommentTextChar">
    <w:name w:val="Comment Text Char"/>
    <w:basedOn w:val="DefaultParagraphFont"/>
    <w:link w:val="CommentText"/>
    <w:rsid w:val="00C3026F"/>
    <w:rPr>
      <w:sz w:val="20"/>
      <w:szCs w:val="20"/>
    </w:rPr>
  </w:style>
  <w:style w:type="paragraph" w:styleId="CommentSubject">
    <w:name w:val="annotation subject"/>
    <w:basedOn w:val="CommentText"/>
    <w:next w:val="CommentText"/>
    <w:link w:val="CommentSubjectChar"/>
    <w:uiPriority w:val="99"/>
    <w:semiHidden/>
    <w:unhideWhenUsed/>
    <w:rsid w:val="00C3026F"/>
    <w:rPr>
      <w:b/>
      <w:bCs/>
    </w:rPr>
  </w:style>
  <w:style w:type="character" w:customStyle="1" w:styleId="CommentSubjectChar">
    <w:name w:val="Comment Subject Char"/>
    <w:basedOn w:val="CommentTextChar"/>
    <w:link w:val="CommentSubject"/>
    <w:uiPriority w:val="99"/>
    <w:semiHidden/>
    <w:rsid w:val="00C3026F"/>
    <w:rPr>
      <w:b/>
      <w:bCs/>
      <w:sz w:val="20"/>
      <w:szCs w:val="20"/>
    </w:rPr>
  </w:style>
  <w:style w:type="paragraph" w:styleId="Revision">
    <w:name w:val="Revision"/>
    <w:hidden/>
    <w:uiPriority w:val="99"/>
    <w:semiHidden/>
    <w:rsid w:val="002746C1"/>
    <w:pPr>
      <w:spacing w:after="0" w:line="240" w:lineRule="auto"/>
    </w:pPr>
    <w:rPr>
      <w:sz w:val="24"/>
    </w:rPr>
  </w:style>
  <w:style w:type="character" w:customStyle="1" w:styleId="Heading6Char">
    <w:name w:val="Heading 6 Char"/>
    <w:basedOn w:val="DefaultParagraphFont"/>
    <w:link w:val="Heading6"/>
    <w:uiPriority w:val="99"/>
    <w:semiHidden/>
    <w:rsid w:val="00046F9E"/>
    <w:rPr>
      <w:rFonts w:asciiTheme="majorHAnsi" w:eastAsiaTheme="majorEastAsia" w:hAnsiTheme="majorHAnsi" w:cstheme="majorBidi"/>
      <w:i/>
      <w:iCs/>
      <w:color w:val="97000E" w:themeColor="accent1" w:themeShade="7F"/>
    </w:rPr>
  </w:style>
  <w:style w:type="character" w:customStyle="1" w:styleId="Heading7Char">
    <w:name w:val="Heading 7 Char"/>
    <w:basedOn w:val="DefaultParagraphFont"/>
    <w:link w:val="Heading7"/>
    <w:uiPriority w:val="99"/>
    <w:semiHidden/>
    <w:rsid w:val="00046F9E"/>
    <w:rPr>
      <w:rFonts w:asciiTheme="majorHAnsi" w:eastAsiaTheme="majorEastAsia" w:hAnsiTheme="majorHAnsi" w:cstheme="majorBidi"/>
      <w:i/>
      <w:iCs/>
      <w:color w:val="575752" w:themeColor="text1" w:themeTint="BF"/>
    </w:rPr>
  </w:style>
  <w:style w:type="character" w:customStyle="1" w:styleId="Heading8Char">
    <w:name w:val="Heading 8 Char"/>
    <w:basedOn w:val="DefaultParagraphFont"/>
    <w:link w:val="Heading8"/>
    <w:uiPriority w:val="99"/>
    <w:semiHidden/>
    <w:rsid w:val="00046F9E"/>
    <w:rPr>
      <w:rFonts w:asciiTheme="majorHAnsi" w:eastAsiaTheme="majorEastAsia" w:hAnsiTheme="majorHAnsi" w:cstheme="majorBidi"/>
      <w:color w:val="575752" w:themeColor="text1" w:themeTint="BF"/>
      <w:sz w:val="20"/>
      <w:szCs w:val="20"/>
    </w:rPr>
  </w:style>
  <w:style w:type="character" w:customStyle="1" w:styleId="Heading9Char">
    <w:name w:val="Heading 9 Char"/>
    <w:basedOn w:val="DefaultParagraphFont"/>
    <w:link w:val="Heading9"/>
    <w:uiPriority w:val="99"/>
    <w:semiHidden/>
    <w:rsid w:val="00046F9E"/>
    <w:rPr>
      <w:rFonts w:asciiTheme="majorHAnsi" w:eastAsiaTheme="majorEastAsia" w:hAnsiTheme="majorHAnsi" w:cstheme="majorBidi"/>
      <w:i/>
      <w:iCs/>
      <w:color w:val="575752" w:themeColor="text1" w:themeTint="BF"/>
      <w:sz w:val="20"/>
      <w:szCs w:val="20"/>
    </w:rPr>
  </w:style>
  <w:style w:type="character" w:customStyle="1" w:styleId="HeaderRepeat">
    <w:name w:val="HeaderRepeat"/>
    <w:basedOn w:val="DefaultParagraphFont"/>
    <w:uiPriority w:val="30"/>
    <w:qFormat/>
    <w:rsid w:val="00046F9E"/>
  </w:style>
  <w:style w:type="paragraph" w:customStyle="1" w:styleId="TableNote">
    <w:name w:val="Table Note"/>
    <w:basedOn w:val="Normal"/>
    <w:next w:val="Normal"/>
    <w:uiPriority w:val="35"/>
    <w:qFormat/>
    <w:rsid w:val="00046F9E"/>
    <w:pPr>
      <w:spacing w:after="60" w:line="240" w:lineRule="auto"/>
    </w:pPr>
    <w:rPr>
      <w:rFonts w:ascii="Calibri" w:hAnsi="Calibri"/>
      <w:sz w:val="16"/>
    </w:rPr>
  </w:style>
  <w:style w:type="paragraph" w:customStyle="1" w:styleId="TableSource">
    <w:name w:val="Table Source"/>
    <w:basedOn w:val="Normal"/>
    <w:next w:val="Normal"/>
    <w:uiPriority w:val="36"/>
    <w:qFormat/>
    <w:rsid w:val="00046F9E"/>
    <w:pPr>
      <w:spacing w:after="0" w:line="240" w:lineRule="auto"/>
    </w:pPr>
    <w:rPr>
      <w:rFonts w:ascii="Calibri" w:hAnsi="Calibri"/>
      <w:b/>
      <w:i/>
      <w:sz w:val="16"/>
    </w:rPr>
  </w:style>
  <w:style w:type="numbering" w:customStyle="1" w:styleId="NumblistNumb">
    <w:name w:val="Numblist Numb"/>
    <w:uiPriority w:val="99"/>
    <w:rsid w:val="00046F9E"/>
    <w:pPr>
      <w:numPr>
        <w:numId w:val="25"/>
      </w:numPr>
    </w:pPr>
  </w:style>
  <w:style w:type="paragraph" w:customStyle="1" w:styleId="Numblist2">
    <w:name w:val="Numblist 2"/>
    <w:basedOn w:val="Normal"/>
    <w:uiPriority w:val="9"/>
    <w:qFormat/>
    <w:rsid w:val="00046F9E"/>
    <w:pPr>
      <w:tabs>
        <w:tab w:val="num" w:pos="1134"/>
      </w:tabs>
      <w:spacing w:before="60" w:after="60" w:line="240" w:lineRule="auto"/>
      <w:ind w:left="1134" w:hanging="283"/>
      <w:jc w:val="both"/>
    </w:pPr>
    <w:rPr>
      <w:rFonts w:ascii="Calibri" w:hAnsi="Calibri"/>
      <w:sz w:val="22"/>
    </w:rPr>
  </w:style>
  <w:style w:type="numbering" w:customStyle="1" w:styleId="NumbListMinorBullet">
    <w:name w:val="NumbList Minor Bullet"/>
    <w:uiPriority w:val="99"/>
    <w:rsid w:val="00046F9E"/>
    <w:pPr>
      <w:numPr>
        <w:numId w:val="26"/>
      </w:numPr>
    </w:pPr>
  </w:style>
  <w:style w:type="paragraph" w:customStyle="1" w:styleId="TableTitle">
    <w:name w:val="Table Title"/>
    <w:basedOn w:val="Normal"/>
    <w:next w:val="Normal"/>
    <w:uiPriority w:val="31"/>
    <w:qFormat/>
    <w:rsid w:val="00046F9E"/>
    <w:pPr>
      <w:keepNext/>
      <w:keepLines/>
      <w:numPr>
        <w:numId w:val="32"/>
      </w:numPr>
      <w:spacing w:before="240" w:after="240" w:line="240" w:lineRule="auto"/>
    </w:pPr>
    <w:rPr>
      <w:rFonts w:ascii="Calibri" w:hAnsi="Calibri"/>
      <w:b/>
      <w:color w:val="06357A"/>
      <w:sz w:val="22"/>
    </w:rPr>
  </w:style>
  <w:style w:type="paragraph" w:customStyle="1" w:styleId="Numblist1">
    <w:name w:val="Numblist 1"/>
    <w:basedOn w:val="ListParagraph"/>
    <w:uiPriority w:val="9"/>
    <w:qFormat/>
    <w:rsid w:val="00046F9E"/>
    <w:pPr>
      <w:tabs>
        <w:tab w:val="num" w:pos="737"/>
      </w:tabs>
      <w:spacing w:before="60" w:after="60" w:line="240" w:lineRule="auto"/>
      <w:ind w:left="737" w:hanging="567"/>
      <w:contextualSpacing w:val="0"/>
      <w:jc w:val="both"/>
    </w:pPr>
    <w:rPr>
      <w:rFonts w:ascii="Calibri" w:hAnsi="Calibri"/>
      <w:sz w:val="22"/>
    </w:rPr>
  </w:style>
  <w:style w:type="paragraph" w:customStyle="1" w:styleId="Numblist3">
    <w:name w:val="Numblist 3"/>
    <w:basedOn w:val="Numblist2"/>
    <w:uiPriority w:val="9"/>
    <w:qFormat/>
    <w:rsid w:val="00046F9E"/>
    <w:pPr>
      <w:tabs>
        <w:tab w:val="clear" w:pos="1134"/>
        <w:tab w:val="num" w:pos="1531"/>
      </w:tabs>
      <w:ind w:left="1531" w:hanging="284"/>
    </w:pPr>
  </w:style>
  <w:style w:type="paragraph" w:customStyle="1" w:styleId="TableText0">
    <w:name w:val="Table Text"/>
    <w:basedOn w:val="Normal"/>
    <w:uiPriority w:val="34"/>
    <w:qFormat/>
    <w:rsid w:val="00046F9E"/>
    <w:pPr>
      <w:spacing w:after="0" w:line="240" w:lineRule="auto"/>
      <w:ind w:left="113"/>
    </w:pPr>
    <w:rPr>
      <w:rFonts w:ascii="Calibri" w:hAnsi="Calibri"/>
      <w:sz w:val="20"/>
    </w:rPr>
  </w:style>
  <w:style w:type="paragraph" w:customStyle="1" w:styleId="TableHeading">
    <w:name w:val="Table Heading"/>
    <w:basedOn w:val="TableText0"/>
    <w:uiPriority w:val="34"/>
    <w:qFormat/>
    <w:rsid w:val="00046F9E"/>
    <w:rPr>
      <w:b/>
      <w:color w:val="06357A"/>
    </w:rPr>
  </w:style>
  <w:style w:type="numbering" w:customStyle="1" w:styleId="NumbListTable">
    <w:name w:val="NumbListTable"/>
    <w:uiPriority w:val="99"/>
    <w:rsid w:val="00046F9E"/>
    <w:pPr>
      <w:numPr>
        <w:numId w:val="31"/>
      </w:numPr>
    </w:pPr>
  </w:style>
  <w:style w:type="paragraph" w:styleId="ListNumber5">
    <w:name w:val="List Number 5"/>
    <w:basedOn w:val="Normal"/>
    <w:uiPriority w:val="99"/>
    <w:semiHidden/>
    <w:unhideWhenUsed/>
    <w:rsid w:val="00046F9E"/>
    <w:pPr>
      <w:tabs>
        <w:tab w:val="num" w:pos="1492"/>
      </w:tabs>
      <w:spacing w:before="240" w:after="240" w:line="240" w:lineRule="auto"/>
      <w:ind w:left="1492" w:hanging="360"/>
      <w:contextualSpacing/>
      <w:jc w:val="both"/>
    </w:pPr>
    <w:rPr>
      <w:rFonts w:ascii="Calibri" w:hAnsi="Calibri"/>
      <w:sz w:val="22"/>
    </w:rPr>
  </w:style>
  <w:style w:type="numbering" w:customStyle="1" w:styleId="Style1Header">
    <w:name w:val="Style1Header"/>
    <w:uiPriority w:val="99"/>
    <w:rsid w:val="00046F9E"/>
    <w:pPr>
      <w:numPr>
        <w:numId w:val="33"/>
      </w:numPr>
    </w:pPr>
  </w:style>
  <w:style w:type="paragraph" w:customStyle="1" w:styleId="FooterFront">
    <w:name w:val="Footer Front"/>
    <w:basedOn w:val="Normal"/>
    <w:uiPriority w:val="99"/>
    <w:semiHidden/>
    <w:qFormat/>
    <w:rsid w:val="00046F9E"/>
    <w:pPr>
      <w:tabs>
        <w:tab w:val="right" w:pos="7560"/>
      </w:tabs>
      <w:spacing w:before="120" w:after="0" w:line="240" w:lineRule="auto"/>
    </w:pPr>
    <w:rPr>
      <w:rFonts w:ascii="Calibri" w:eastAsia="Times New Roman" w:hAnsi="Calibri" w:cs="Times New Roman"/>
      <w:color w:val="7F7F7F"/>
      <w:sz w:val="18"/>
      <w:szCs w:val="18"/>
    </w:rPr>
  </w:style>
  <w:style w:type="paragraph" w:customStyle="1" w:styleId="DocTitle">
    <w:name w:val="DocTitle"/>
    <w:basedOn w:val="Normal"/>
    <w:uiPriority w:val="51"/>
    <w:semiHidden/>
    <w:qFormat/>
    <w:rsid w:val="00046F9E"/>
    <w:pPr>
      <w:spacing w:before="360" w:after="240" w:line="240" w:lineRule="auto"/>
      <w:ind w:left="1701"/>
    </w:pPr>
    <w:rPr>
      <w:rFonts w:ascii="Calibri" w:hAnsi="Calibri" w:cs="Microsoft Sans Serif"/>
      <w:b/>
      <w:color w:val="06357A"/>
      <w:sz w:val="40"/>
    </w:rPr>
  </w:style>
  <w:style w:type="paragraph" w:customStyle="1" w:styleId="DocSubtitle">
    <w:name w:val="DocSubtitle"/>
    <w:basedOn w:val="Normal"/>
    <w:uiPriority w:val="51"/>
    <w:semiHidden/>
    <w:qFormat/>
    <w:rsid w:val="00046F9E"/>
    <w:pPr>
      <w:spacing w:after="240" w:line="240" w:lineRule="auto"/>
      <w:ind w:left="1701"/>
    </w:pPr>
    <w:rPr>
      <w:rFonts w:ascii="Calibri" w:hAnsi="Calibri" w:cs="Microsoft Sans Serif"/>
      <w:b/>
      <w:color w:val="808080"/>
      <w:sz w:val="32"/>
    </w:rPr>
  </w:style>
  <w:style w:type="paragraph" w:customStyle="1" w:styleId="DocMarking">
    <w:name w:val="DocMarking"/>
    <w:basedOn w:val="DocSubtitle"/>
    <w:next w:val="Normal"/>
    <w:uiPriority w:val="51"/>
    <w:semiHidden/>
    <w:qFormat/>
    <w:rsid w:val="00046F9E"/>
  </w:style>
  <w:style w:type="paragraph" w:customStyle="1" w:styleId="DocDate">
    <w:name w:val="DocDate"/>
    <w:basedOn w:val="Normal"/>
    <w:next w:val="Normal"/>
    <w:uiPriority w:val="51"/>
    <w:semiHidden/>
    <w:qFormat/>
    <w:rsid w:val="00046F9E"/>
    <w:pPr>
      <w:spacing w:after="240" w:line="240" w:lineRule="auto"/>
      <w:ind w:left="1701"/>
    </w:pPr>
    <w:rPr>
      <w:rFonts w:ascii="Calibri" w:hAnsi="Calibri"/>
      <w:color w:val="808080"/>
      <w:sz w:val="28"/>
    </w:rPr>
  </w:style>
  <w:style w:type="paragraph" w:customStyle="1" w:styleId="Heading1NoNumb">
    <w:name w:val="Heading 1 No Numb"/>
    <w:basedOn w:val="Heading1"/>
    <w:next w:val="Normal"/>
    <w:uiPriority w:val="13"/>
    <w:qFormat/>
    <w:rsid w:val="00046F9E"/>
    <w:pPr>
      <w:keepLines w:val="0"/>
      <w:spacing w:before="240" w:after="360" w:line="240" w:lineRule="auto"/>
    </w:pPr>
    <w:rPr>
      <w:rFonts w:ascii="Calibri" w:eastAsia="Times New Roman" w:hAnsi="Calibri" w:cs="Microsoft Sans Serif"/>
      <w:color w:val="06357A"/>
      <w:kern w:val="28"/>
      <w:sz w:val="32"/>
    </w:rPr>
  </w:style>
  <w:style w:type="paragraph" w:customStyle="1" w:styleId="Heading2NoNumb">
    <w:name w:val="Heading 2 No Numb"/>
    <w:basedOn w:val="Heading2"/>
    <w:next w:val="Normal"/>
    <w:uiPriority w:val="13"/>
    <w:qFormat/>
    <w:rsid w:val="00046F9E"/>
    <w:pPr>
      <w:pBdr>
        <w:top w:val="none" w:sz="0" w:space="0" w:color="auto"/>
      </w:pBdr>
      <w:spacing w:before="240" w:after="240" w:line="240" w:lineRule="auto"/>
    </w:pPr>
    <w:rPr>
      <w:rFonts w:ascii="Calibri" w:eastAsia="Times New Roman" w:hAnsi="Calibri" w:cs="Microsoft Sans Serif"/>
      <w:bCs/>
      <w:color w:val="06357A"/>
      <w:szCs w:val="28"/>
    </w:rPr>
  </w:style>
  <w:style w:type="paragraph" w:customStyle="1" w:styleId="Heading3NoNumb">
    <w:name w:val="Heading 3 No Numb"/>
    <w:basedOn w:val="Heading3"/>
    <w:next w:val="Normal"/>
    <w:uiPriority w:val="13"/>
    <w:qFormat/>
    <w:rsid w:val="00046F9E"/>
    <w:pPr>
      <w:keepLines w:val="0"/>
      <w:spacing w:before="240" w:after="240" w:line="240" w:lineRule="auto"/>
    </w:pPr>
    <w:rPr>
      <w:rFonts w:ascii="Calibri" w:eastAsia="Times New Roman" w:hAnsi="Calibri" w:cs="Microsoft Sans Serif"/>
      <w:color w:val="06357A"/>
      <w:sz w:val="24"/>
    </w:rPr>
  </w:style>
  <w:style w:type="paragraph" w:customStyle="1" w:styleId="LEExecSummHeading1">
    <w:name w:val="LE Exec Summ Heading 1"/>
    <w:basedOn w:val="Heading1NoNumb"/>
    <w:next w:val="Normal"/>
    <w:uiPriority w:val="12"/>
    <w:qFormat/>
    <w:rsid w:val="00046F9E"/>
    <w:pPr>
      <w:jc w:val="center"/>
    </w:pPr>
  </w:style>
  <w:style w:type="paragraph" w:customStyle="1" w:styleId="NormalNoSpace">
    <w:name w:val="NormalNoSpace"/>
    <w:basedOn w:val="Normal"/>
    <w:qFormat/>
    <w:rsid w:val="00046F9E"/>
    <w:pPr>
      <w:spacing w:after="0" w:line="240" w:lineRule="auto"/>
      <w:jc w:val="both"/>
    </w:pPr>
    <w:rPr>
      <w:rFonts w:ascii="Calibri" w:hAnsi="Calibri"/>
      <w:sz w:val="22"/>
    </w:rPr>
  </w:style>
  <w:style w:type="paragraph" w:customStyle="1" w:styleId="FigureTitle">
    <w:name w:val="Figure Title"/>
    <w:basedOn w:val="TableTitle"/>
    <w:next w:val="Normal"/>
    <w:uiPriority w:val="32"/>
    <w:qFormat/>
    <w:rsid w:val="00046F9E"/>
    <w:pPr>
      <w:numPr>
        <w:numId w:val="42"/>
      </w:numPr>
      <w:spacing w:before="60" w:after="60"/>
    </w:pPr>
  </w:style>
  <w:style w:type="paragraph" w:customStyle="1" w:styleId="BoxTitle">
    <w:name w:val="Box Title"/>
    <w:basedOn w:val="TableTitle"/>
    <w:next w:val="Normal"/>
    <w:uiPriority w:val="33"/>
    <w:qFormat/>
    <w:rsid w:val="00046F9E"/>
    <w:pPr>
      <w:numPr>
        <w:numId w:val="41"/>
      </w:numPr>
    </w:pPr>
  </w:style>
  <w:style w:type="paragraph" w:customStyle="1" w:styleId="SidebarText">
    <w:name w:val="Sidebar Text"/>
    <w:basedOn w:val="Normal"/>
    <w:uiPriority w:val="23"/>
    <w:qFormat/>
    <w:rsid w:val="00046F9E"/>
    <w:pPr>
      <w:spacing w:before="240" w:after="240" w:line="240" w:lineRule="auto"/>
      <w:jc w:val="both"/>
    </w:pPr>
    <w:rPr>
      <w:rFonts w:ascii="Calibri" w:hAnsi="Calibri"/>
      <w:sz w:val="22"/>
    </w:rPr>
  </w:style>
  <w:style w:type="paragraph" w:customStyle="1" w:styleId="SectionTitle">
    <w:name w:val="Section Title"/>
    <w:basedOn w:val="Normal"/>
    <w:next w:val="Heading1"/>
    <w:uiPriority w:val="17"/>
    <w:qFormat/>
    <w:rsid w:val="00046F9E"/>
    <w:pPr>
      <w:pageBreakBefore/>
      <w:framePr w:w="8845" w:h="14855" w:hRule="exact" w:wrap="around" w:vAnchor="page" w:hAnchor="text" w:y="1"/>
      <w:shd w:val="solid" w:color="FFFFFF" w:themeColor="background1" w:fill="auto"/>
      <w:spacing w:before="240" w:after="0" w:line="240" w:lineRule="auto"/>
      <w:jc w:val="right"/>
    </w:pPr>
    <w:rPr>
      <w:rFonts w:ascii="Calibri" w:hAnsi="Calibri" w:cs="Microsoft Sans Serif"/>
      <w:b/>
      <w:caps/>
      <w:color w:val="06357A"/>
      <w:position w:val="-822"/>
      <w:sz w:val="40"/>
    </w:rPr>
  </w:style>
  <w:style w:type="paragraph" w:customStyle="1" w:styleId="References">
    <w:name w:val="References"/>
    <w:basedOn w:val="Heading1NoNumb"/>
    <w:next w:val="Heading2NoNumb"/>
    <w:uiPriority w:val="99"/>
    <w:semiHidden/>
    <w:qFormat/>
    <w:rsid w:val="00046F9E"/>
  </w:style>
  <w:style w:type="paragraph" w:customStyle="1" w:styleId="AnnexHeading1">
    <w:name w:val="Annex Heading 1"/>
    <w:basedOn w:val="Heading1"/>
    <w:next w:val="Normal"/>
    <w:uiPriority w:val="19"/>
    <w:qFormat/>
    <w:rsid w:val="00046F9E"/>
    <w:pPr>
      <w:keepLines w:val="0"/>
      <w:numPr>
        <w:numId w:val="37"/>
      </w:numPr>
      <w:spacing w:before="240" w:after="360" w:line="240" w:lineRule="auto"/>
    </w:pPr>
    <w:rPr>
      <w:rFonts w:ascii="Calibri" w:eastAsia="Times New Roman" w:hAnsi="Calibri" w:cs="Microsoft Sans Serif"/>
      <w:color w:val="06357A"/>
      <w:kern w:val="28"/>
      <w:sz w:val="32"/>
    </w:rPr>
  </w:style>
  <w:style w:type="paragraph" w:customStyle="1" w:styleId="AnnexHeading2">
    <w:name w:val="Annex Heading 2"/>
    <w:basedOn w:val="Heading2"/>
    <w:next w:val="Normal"/>
    <w:uiPriority w:val="19"/>
    <w:qFormat/>
    <w:rsid w:val="00046F9E"/>
    <w:pPr>
      <w:numPr>
        <w:ilvl w:val="1"/>
        <w:numId w:val="37"/>
      </w:numPr>
      <w:pBdr>
        <w:top w:val="none" w:sz="0" w:space="0" w:color="auto"/>
      </w:pBdr>
      <w:spacing w:before="240" w:after="240" w:line="240" w:lineRule="auto"/>
    </w:pPr>
    <w:rPr>
      <w:rFonts w:ascii="Calibri" w:eastAsia="Times New Roman" w:hAnsi="Calibri" w:cs="Microsoft Sans Serif"/>
      <w:bCs/>
      <w:color w:val="06357A"/>
      <w:szCs w:val="28"/>
    </w:rPr>
  </w:style>
  <w:style w:type="paragraph" w:customStyle="1" w:styleId="AnnexHeading3">
    <w:name w:val="Annex Heading 3"/>
    <w:basedOn w:val="Heading3"/>
    <w:next w:val="Normal"/>
    <w:uiPriority w:val="19"/>
    <w:qFormat/>
    <w:rsid w:val="00046F9E"/>
    <w:pPr>
      <w:keepLines w:val="0"/>
      <w:numPr>
        <w:ilvl w:val="2"/>
        <w:numId w:val="37"/>
      </w:numPr>
      <w:spacing w:before="240" w:after="240" w:line="240" w:lineRule="auto"/>
    </w:pPr>
    <w:rPr>
      <w:rFonts w:ascii="Calibri" w:eastAsia="Times New Roman" w:hAnsi="Calibri" w:cs="Microsoft Sans Serif"/>
      <w:color w:val="06357A"/>
      <w:sz w:val="24"/>
    </w:rPr>
  </w:style>
  <w:style w:type="paragraph" w:customStyle="1" w:styleId="AnnexHeading4">
    <w:name w:val="Annex Heading 4"/>
    <w:basedOn w:val="Heading4"/>
    <w:next w:val="Normal"/>
    <w:uiPriority w:val="19"/>
    <w:qFormat/>
    <w:rsid w:val="00046F9E"/>
    <w:pPr>
      <w:spacing w:before="240" w:after="240" w:line="240" w:lineRule="auto"/>
    </w:pPr>
    <w:rPr>
      <w:rFonts w:ascii="Calibri" w:eastAsiaTheme="minorHAnsi" w:hAnsi="Calibri" w:cstheme="minorBidi"/>
      <w:b/>
      <w:iCs w:val="0"/>
      <w:color w:val="auto"/>
      <w:sz w:val="22"/>
      <w:szCs w:val="28"/>
    </w:rPr>
  </w:style>
  <w:style w:type="paragraph" w:customStyle="1" w:styleId="AddressBlock">
    <w:name w:val="Address Block"/>
    <w:basedOn w:val="Normal"/>
    <w:uiPriority w:val="99"/>
    <w:semiHidden/>
    <w:qFormat/>
    <w:rsid w:val="00046F9E"/>
    <w:pPr>
      <w:spacing w:after="0" w:line="240" w:lineRule="auto"/>
      <w:jc w:val="right"/>
    </w:pPr>
    <w:rPr>
      <w:rFonts w:ascii="Calibri" w:hAnsi="Calibri"/>
      <w:noProof/>
      <w:color w:val="808080"/>
      <w:sz w:val="22"/>
    </w:rPr>
  </w:style>
  <w:style w:type="paragraph" w:customStyle="1" w:styleId="FooterTitle">
    <w:name w:val="FooterTitle"/>
    <w:basedOn w:val="HeaderTOCPage"/>
    <w:uiPriority w:val="99"/>
    <w:semiHidden/>
    <w:qFormat/>
    <w:rsid w:val="00046F9E"/>
    <w:pPr>
      <w:spacing w:before="160" w:after="0"/>
      <w:jc w:val="left"/>
    </w:pPr>
    <w:rPr>
      <w:b/>
      <w:sz w:val="18"/>
    </w:rPr>
  </w:style>
  <w:style w:type="paragraph" w:customStyle="1" w:styleId="FooterPage">
    <w:name w:val="FooterPage"/>
    <w:basedOn w:val="Footer"/>
    <w:uiPriority w:val="99"/>
    <w:semiHidden/>
    <w:qFormat/>
    <w:rsid w:val="00046F9E"/>
    <w:pPr>
      <w:jc w:val="right"/>
    </w:pPr>
    <w:rPr>
      <w:rFonts w:ascii="Calibri" w:hAnsi="Calibri"/>
      <w:b/>
      <w:color w:val="06357A"/>
      <w:sz w:val="18"/>
    </w:rPr>
  </w:style>
  <w:style w:type="numbering" w:customStyle="1" w:styleId="ListStyleHeadings">
    <w:name w:val="ListStyleHeadings"/>
    <w:uiPriority w:val="99"/>
    <w:rsid w:val="00046F9E"/>
    <w:pPr>
      <w:numPr>
        <w:numId w:val="34"/>
      </w:numPr>
    </w:pPr>
  </w:style>
  <w:style w:type="numbering" w:customStyle="1" w:styleId="NumbListHeadings">
    <w:name w:val="NumbListHeadings"/>
    <w:uiPriority w:val="99"/>
    <w:rsid w:val="00046F9E"/>
    <w:pPr>
      <w:numPr>
        <w:numId w:val="35"/>
      </w:numPr>
    </w:pPr>
  </w:style>
  <w:style w:type="paragraph" w:styleId="BalloonText">
    <w:name w:val="Balloon Text"/>
    <w:basedOn w:val="Normal"/>
    <w:link w:val="BalloonTextChar"/>
    <w:uiPriority w:val="99"/>
    <w:semiHidden/>
    <w:rsid w:val="00046F9E"/>
    <w:pPr>
      <w:spacing w:before="240"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F9E"/>
    <w:rPr>
      <w:rFonts w:ascii="Tahoma" w:hAnsi="Tahoma" w:cs="Tahoma"/>
      <w:sz w:val="16"/>
      <w:szCs w:val="16"/>
    </w:rPr>
  </w:style>
  <w:style w:type="paragraph" w:customStyle="1" w:styleId="AfterTitleTableSpace">
    <w:name w:val="AfterTitleTableSpace"/>
    <w:basedOn w:val="Normal"/>
    <w:uiPriority w:val="51"/>
    <w:semiHidden/>
    <w:qFormat/>
    <w:rsid w:val="00080FB6"/>
    <w:pPr>
      <w:spacing w:before="240" w:after="240" w:line="240" w:lineRule="auto"/>
    </w:pPr>
    <w:rPr>
      <w:rFonts w:ascii="Calibri" w:hAnsi="Calibri" w:cs="Microsoft Sans Serif"/>
      <w:sz w:val="18"/>
    </w:rPr>
  </w:style>
  <w:style w:type="paragraph" w:customStyle="1" w:styleId="FooterBelowTable">
    <w:name w:val="FooterBelowTable"/>
    <w:basedOn w:val="FooterPage"/>
    <w:uiPriority w:val="99"/>
    <w:semiHidden/>
    <w:qFormat/>
    <w:rsid w:val="00046F9E"/>
    <w:rPr>
      <w:sz w:val="2"/>
    </w:rPr>
  </w:style>
  <w:style w:type="paragraph" w:customStyle="1" w:styleId="HeaderTOCTitle">
    <w:name w:val="HeaderTOCTitle"/>
    <w:basedOn w:val="Header"/>
    <w:uiPriority w:val="99"/>
    <w:semiHidden/>
    <w:qFormat/>
    <w:rsid w:val="00046F9E"/>
    <w:pPr>
      <w:spacing w:before="200"/>
    </w:pPr>
    <w:rPr>
      <w:rFonts w:ascii="Calibri" w:hAnsi="Calibri"/>
      <w:noProof/>
      <w:color w:val="06357A"/>
      <w:sz w:val="36"/>
      <w:szCs w:val="36"/>
    </w:rPr>
  </w:style>
  <w:style w:type="paragraph" w:customStyle="1" w:styleId="HeaderTOCPage">
    <w:name w:val="HeaderTOCPage"/>
    <w:basedOn w:val="Header"/>
    <w:uiPriority w:val="99"/>
    <w:semiHidden/>
    <w:qFormat/>
    <w:rsid w:val="00046F9E"/>
    <w:pPr>
      <w:spacing w:after="60"/>
      <w:jc w:val="right"/>
    </w:pPr>
    <w:rPr>
      <w:rFonts w:ascii="Calibri" w:hAnsi="Calibri"/>
      <w:b w:val="0"/>
      <w:noProof/>
      <w:color w:val="06357A"/>
      <w:sz w:val="20"/>
      <w:szCs w:val="20"/>
    </w:rPr>
  </w:style>
  <w:style w:type="paragraph" w:customStyle="1" w:styleId="HeaderTOCSpacer">
    <w:name w:val="HeaderTOCSpacer"/>
    <w:basedOn w:val="Header"/>
    <w:uiPriority w:val="99"/>
    <w:semiHidden/>
    <w:qFormat/>
    <w:rsid w:val="00046F9E"/>
    <w:pPr>
      <w:jc w:val="right"/>
    </w:pPr>
    <w:rPr>
      <w:rFonts w:ascii="Calibri" w:hAnsi="Calibri"/>
      <w:noProof/>
      <w:color w:val="06357A"/>
      <w:sz w:val="20"/>
    </w:rPr>
  </w:style>
  <w:style w:type="paragraph" w:customStyle="1" w:styleId="FooterTOCPage">
    <w:name w:val="FooterTOCPage"/>
    <w:basedOn w:val="FooterTitle"/>
    <w:uiPriority w:val="99"/>
    <w:semiHidden/>
    <w:rsid w:val="00046F9E"/>
    <w:pPr>
      <w:spacing w:after="60"/>
      <w:jc w:val="right"/>
    </w:pPr>
    <w:rPr>
      <w:b w:val="0"/>
      <w:sz w:val="20"/>
    </w:rPr>
  </w:style>
  <w:style w:type="paragraph" w:customStyle="1" w:styleId="FooterTitleEven">
    <w:name w:val="FooterTitleEven"/>
    <w:basedOn w:val="FooterTitle"/>
    <w:uiPriority w:val="99"/>
    <w:semiHidden/>
    <w:qFormat/>
    <w:rsid w:val="00046F9E"/>
    <w:pPr>
      <w:jc w:val="right"/>
    </w:pPr>
  </w:style>
  <w:style w:type="paragraph" w:customStyle="1" w:styleId="FooterEven">
    <w:name w:val="FooterEven"/>
    <w:basedOn w:val="Footer"/>
    <w:uiPriority w:val="99"/>
    <w:semiHidden/>
    <w:qFormat/>
    <w:rsid w:val="00046F9E"/>
    <w:pPr>
      <w:jc w:val="right"/>
    </w:pPr>
    <w:rPr>
      <w:rFonts w:ascii="Calibri" w:hAnsi="Calibri"/>
      <w:b/>
      <w:color w:val="595959"/>
      <w:sz w:val="18"/>
    </w:rPr>
  </w:style>
  <w:style w:type="paragraph" w:customStyle="1" w:styleId="FooterPageEven">
    <w:name w:val="FooterPageEven"/>
    <w:basedOn w:val="FooterPage"/>
    <w:uiPriority w:val="99"/>
    <w:semiHidden/>
    <w:qFormat/>
    <w:rsid w:val="00046F9E"/>
    <w:pPr>
      <w:jc w:val="left"/>
    </w:pPr>
  </w:style>
  <w:style w:type="paragraph" w:customStyle="1" w:styleId="HeaderEven">
    <w:name w:val="HeaderEven"/>
    <w:basedOn w:val="Header"/>
    <w:uiPriority w:val="99"/>
    <w:semiHidden/>
    <w:qFormat/>
    <w:rsid w:val="00046F9E"/>
    <w:pPr>
      <w:spacing w:after="120"/>
    </w:pPr>
    <w:rPr>
      <w:rFonts w:ascii="Calibri" w:hAnsi="Calibri"/>
      <w:noProof/>
      <w:color w:val="06357A"/>
      <w:sz w:val="20"/>
    </w:rPr>
  </w:style>
  <w:style w:type="numbering" w:customStyle="1" w:styleId="NumbListBullets">
    <w:name w:val="NumbList Bullets"/>
    <w:uiPriority w:val="99"/>
    <w:rsid w:val="00046F9E"/>
    <w:pPr>
      <w:numPr>
        <w:numId w:val="36"/>
      </w:numPr>
    </w:pPr>
  </w:style>
  <w:style w:type="numbering" w:customStyle="1" w:styleId="NumbListAnnex">
    <w:name w:val="NumbList Annex"/>
    <w:uiPriority w:val="99"/>
    <w:rsid w:val="00046F9E"/>
    <w:pPr>
      <w:numPr>
        <w:numId w:val="37"/>
      </w:numPr>
    </w:pPr>
  </w:style>
  <w:style w:type="paragraph" w:styleId="TOC4">
    <w:name w:val="toc 4"/>
    <w:basedOn w:val="Normal"/>
    <w:next w:val="Normal"/>
    <w:uiPriority w:val="39"/>
    <w:rsid w:val="00046F9E"/>
    <w:pPr>
      <w:tabs>
        <w:tab w:val="right" w:pos="8789"/>
      </w:tabs>
      <w:spacing w:after="60" w:line="240" w:lineRule="auto"/>
      <w:ind w:left="454" w:right="737"/>
    </w:pPr>
    <w:rPr>
      <w:rFonts w:ascii="Calibri" w:hAnsi="Calibri"/>
      <w:sz w:val="22"/>
    </w:rPr>
  </w:style>
  <w:style w:type="paragraph" w:customStyle="1" w:styleId="TableTextCentered">
    <w:name w:val="Table Text Centered"/>
    <w:basedOn w:val="TableText0"/>
    <w:uiPriority w:val="34"/>
    <w:qFormat/>
    <w:rsid w:val="00046F9E"/>
    <w:pPr>
      <w:jc w:val="center"/>
    </w:pPr>
  </w:style>
  <w:style w:type="paragraph" w:customStyle="1" w:styleId="Heading1NoNumbNoTOC">
    <w:name w:val="Heading 1 NoNumb NoTOC"/>
    <w:basedOn w:val="Heading1NoNumb"/>
    <w:uiPriority w:val="99"/>
    <w:semiHidden/>
    <w:qFormat/>
    <w:rsid w:val="00046F9E"/>
  </w:style>
  <w:style w:type="paragraph" w:customStyle="1" w:styleId="Heading2NoNumbNoTOC">
    <w:name w:val="Heading 2 NoNumb NoTOC"/>
    <w:basedOn w:val="Heading2NoNumb"/>
    <w:uiPriority w:val="99"/>
    <w:semiHidden/>
    <w:qFormat/>
    <w:rsid w:val="00046F9E"/>
  </w:style>
  <w:style w:type="paragraph" w:customStyle="1" w:styleId="Heading3NoNumbNoTOC">
    <w:name w:val="Heading 3 NoNumb NoTOC"/>
    <w:basedOn w:val="Heading3NoNumb"/>
    <w:uiPriority w:val="99"/>
    <w:semiHidden/>
    <w:qFormat/>
    <w:rsid w:val="00046F9E"/>
  </w:style>
  <w:style w:type="paragraph" w:customStyle="1" w:styleId="NormalIndent1">
    <w:name w:val="Normal Indent 1"/>
    <w:basedOn w:val="Normal"/>
    <w:uiPriority w:val="10"/>
    <w:qFormat/>
    <w:rsid w:val="00046F9E"/>
    <w:pPr>
      <w:spacing w:before="240" w:after="240" w:line="240" w:lineRule="auto"/>
      <w:ind w:left="737"/>
      <w:jc w:val="both"/>
    </w:pPr>
    <w:rPr>
      <w:rFonts w:ascii="Calibri" w:hAnsi="Calibri"/>
      <w:sz w:val="22"/>
    </w:rPr>
  </w:style>
  <w:style w:type="paragraph" w:customStyle="1" w:styleId="NormalIndent2">
    <w:name w:val="Normal Indent 2"/>
    <w:basedOn w:val="Normal"/>
    <w:uiPriority w:val="10"/>
    <w:qFormat/>
    <w:rsid w:val="00046F9E"/>
    <w:pPr>
      <w:spacing w:before="240" w:after="240" w:line="240" w:lineRule="auto"/>
      <w:ind w:left="1134"/>
      <w:jc w:val="both"/>
    </w:pPr>
    <w:rPr>
      <w:rFonts w:ascii="Calibri" w:hAnsi="Calibri"/>
      <w:sz w:val="22"/>
    </w:rPr>
  </w:style>
  <w:style w:type="paragraph" w:customStyle="1" w:styleId="NormalIndent3">
    <w:name w:val="Normal Indent 3"/>
    <w:basedOn w:val="NormalIndent2"/>
    <w:uiPriority w:val="10"/>
    <w:qFormat/>
    <w:rsid w:val="00046F9E"/>
    <w:pPr>
      <w:ind w:left="1531"/>
    </w:pPr>
  </w:style>
  <w:style w:type="paragraph" w:customStyle="1" w:styleId="QuoteBoxLeft">
    <w:name w:val="Quote Box Left"/>
    <w:basedOn w:val="QuoteBoxRight"/>
    <w:next w:val="Normal"/>
    <w:uiPriority w:val="21"/>
    <w:qFormat/>
    <w:rsid w:val="00046F9E"/>
    <w:pPr>
      <w:framePr w:wrap="around" w:xAlign="left"/>
    </w:pPr>
  </w:style>
  <w:style w:type="paragraph" w:customStyle="1" w:styleId="QuoteBoxRight">
    <w:name w:val="Quote Box Right"/>
    <w:basedOn w:val="Normal"/>
    <w:next w:val="Normal"/>
    <w:uiPriority w:val="21"/>
    <w:qFormat/>
    <w:rsid w:val="00046F9E"/>
    <w:pPr>
      <w:framePr w:w="3175" w:hSpace="567" w:wrap="around" w:vAnchor="text" w:hAnchor="margin" w:xAlign="right" w:y="1"/>
      <w:spacing w:before="240" w:after="240" w:line="240" w:lineRule="auto"/>
      <w:jc w:val="both"/>
    </w:pPr>
    <w:rPr>
      <w:rFonts w:ascii="Calibri" w:hAnsi="Calibri"/>
      <w:i/>
      <w:color w:val="06357A"/>
      <w:sz w:val="22"/>
    </w:rPr>
  </w:style>
  <w:style w:type="paragraph" w:customStyle="1" w:styleId="SideBar">
    <w:name w:val="SideBar"/>
    <w:basedOn w:val="Normal"/>
    <w:uiPriority w:val="21"/>
    <w:qFormat/>
    <w:rsid w:val="00046F9E"/>
    <w:pPr>
      <w:spacing w:before="240" w:after="240" w:line="240" w:lineRule="auto"/>
      <w:jc w:val="both"/>
    </w:pPr>
    <w:rPr>
      <w:rFonts w:ascii="Calibri" w:hAnsi="Calibri"/>
      <w:i/>
      <w:color w:val="06357A"/>
      <w:sz w:val="22"/>
    </w:rPr>
  </w:style>
  <w:style w:type="paragraph" w:customStyle="1" w:styleId="Box">
    <w:name w:val="Box"/>
    <w:basedOn w:val="Normal"/>
    <w:uiPriority w:val="34"/>
    <w:qFormat/>
    <w:rsid w:val="00046F9E"/>
    <w:pPr>
      <w:shd w:val="clear" w:color="auto" w:fill="D9D9D9"/>
      <w:spacing w:before="240" w:after="240" w:line="240" w:lineRule="auto"/>
      <w:jc w:val="both"/>
    </w:pPr>
    <w:rPr>
      <w:rFonts w:ascii="Calibri" w:hAnsi="Calibri"/>
      <w:sz w:val="22"/>
    </w:rPr>
  </w:style>
  <w:style w:type="table" w:customStyle="1" w:styleId="TableGrid1">
    <w:name w:val="Table Grid1"/>
    <w:basedOn w:val="TableNormal"/>
    <w:next w:val="TableGrid"/>
    <w:uiPriority w:val="59"/>
    <w:locked/>
    <w:rsid w:val="00046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Table1">
    <w:name w:val="NumbListTable1"/>
    <w:uiPriority w:val="99"/>
    <w:rsid w:val="00046F9E"/>
  </w:style>
  <w:style w:type="numbering" w:customStyle="1" w:styleId="NumblistFigure">
    <w:name w:val="Numblist Figure"/>
    <w:uiPriority w:val="99"/>
    <w:rsid w:val="00046F9E"/>
    <w:pPr>
      <w:numPr>
        <w:numId w:val="39"/>
      </w:numPr>
    </w:pPr>
  </w:style>
  <w:style w:type="numbering" w:customStyle="1" w:styleId="NumblistBox">
    <w:name w:val="Numblist Box"/>
    <w:uiPriority w:val="99"/>
    <w:rsid w:val="00046F9E"/>
    <w:pPr>
      <w:numPr>
        <w:numId w:val="40"/>
      </w:numPr>
    </w:pPr>
  </w:style>
  <w:style w:type="paragraph" w:styleId="Bibliography">
    <w:name w:val="Bibliography"/>
    <w:basedOn w:val="Normal"/>
    <w:next w:val="Normal"/>
    <w:uiPriority w:val="39"/>
    <w:semiHidden/>
    <w:unhideWhenUsed/>
    <w:rsid w:val="00046F9E"/>
    <w:pPr>
      <w:spacing w:before="240" w:after="240" w:line="240" w:lineRule="auto"/>
      <w:jc w:val="both"/>
    </w:pPr>
    <w:rPr>
      <w:rFonts w:ascii="Calibri" w:hAnsi="Calibri"/>
      <w:sz w:val="22"/>
    </w:rPr>
  </w:style>
  <w:style w:type="paragraph" w:styleId="BodyText">
    <w:name w:val="Body Text"/>
    <w:basedOn w:val="Normal"/>
    <w:link w:val="BodyTextChar"/>
    <w:uiPriority w:val="99"/>
    <w:semiHidden/>
    <w:unhideWhenUsed/>
    <w:rsid w:val="00046F9E"/>
    <w:pPr>
      <w:spacing w:before="240" w:after="120" w:line="240" w:lineRule="auto"/>
      <w:jc w:val="both"/>
    </w:pPr>
    <w:rPr>
      <w:rFonts w:ascii="Calibri" w:hAnsi="Calibri"/>
      <w:sz w:val="22"/>
    </w:rPr>
  </w:style>
  <w:style w:type="character" w:customStyle="1" w:styleId="BodyTextChar">
    <w:name w:val="Body Text Char"/>
    <w:basedOn w:val="DefaultParagraphFont"/>
    <w:link w:val="BodyText"/>
    <w:uiPriority w:val="99"/>
    <w:semiHidden/>
    <w:rsid w:val="00046F9E"/>
    <w:rPr>
      <w:rFonts w:ascii="Calibri" w:hAnsi="Calibri"/>
    </w:rPr>
  </w:style>
  <w:style w:type="paragraph" w:styleId="BodyText2">
    <w:name w:val="Body Text 2"/>
    <w:basedOn w:val="Normal"/>
    <w:link w:val="BodyText2Char"/>
    <w:uiPriority w:val="99"/>
    <w:semiHidden/>
    <w:unhideWhenUsed/>
    <w:rsid w:val="00046F9E"/>
    <w:pPr>
      <w:spacing w:before="240" w:after="120" w:line="480" w:lineRule="auto"/>
      <w:jc w:val="both"/>
    </w:pPr>
    <w:rPr>
      <w:rFonts w:ascii="Calibri" w:hAnsi="Calibri"/>
      <w:sz w:val="22"/>
    </w:rPr>
  </w:style>
  <w:style w:type="character" w:customStyle="1" w:styleId="BodyText2Char">
    <w:name w:val="Body Text 2 Char"/>
    <w:basedOn w:val="DefaultParagraphFont"/>
    <w:link w:val="BodyText2"/>
    <w:uiPriority w:val="99"/>
    <w:semiHidden/>
    <w:rsid w:val="00046F9E"/>
    <w:rPr>
      <w:rFonts w:ascii="Calibri" w:hAnsi="Calibri"/>
    </w:rPr>
  </w:style>
  <w:style w:type="paragraph" w:styleId="BodyText3">
    <w:name w:val="Body Text 3"/>
    <w:basedOn w:val="Normal"/>
    <w:link w:val="BodyText3Char"/>
    <w:uiPriority w:val="99"/>
    <w:semiHidden/>
    <w:unhideWhenUsed/>
    <w:rsid w:val="00046F9E"/>
    <w:pPr>
      <w:spacing w:before="240" w:after="120" w:line="240" w:lineRule="auto"/>
      <w:jc w:val="both"/>
    </w:pPr>
    <w:rPr>
      <w:rFonts w:ascii="Calibri" w:hAnsi="Calibri"/>
      <w:sz w:val="16"/>
      <w:szCs w:val="16"/>
    </w:rPr>
  </w:style>
  <w:style w:type="character" w:customStyle="1" w:styleId="BodyText3Char">
    <w:name w:val="Body Text 3 Char"/>
    <w:basedOn w:val="DefaultParagraphFont"/>
    <w:link w:val="BodyText3"/>
    <w:uiPriority w:val="99"/>
    <w:semiHidden/>
    <w:rsid w:val="00046F9E"/>
    <w:rPr>
      <w:rFonts w:ascii="Calibri" w:hAnsi="Calibri"/>
      <w:sz w:val="16"/>
      <w:szCs w:val="16"/>
    </w:rPr>
  </w:style>
  <w:style w:type="paragraph" w:styleId="BodyTextFirstIndent">
    <w:name w:val="Body Text First Indent"/>
    <w:basedOn w:val="BodyText"/>
    <w:link w:val="BodyTextFirstIndentChar"/>
    <w:uiPriority w:val="99"/>
    <w:semiHidden/>
    <w:rsid w:val="00046F9E"/>
    <w:pPr>
      <w:spacing w:after="200"/>
      <w:ind w:firstLine="360"/>
    </w:pPr>
  </w:style>
  <w:style w:type="character" w:customStyle="1" w:styleId="BodyTextFirstIndentChar">
    <w:name w:val="Body Text First Indent Char"/>
    <w:basedOn w:val="BodyTextChar"/>
    <w:link w:val="BodyTextFirstIndent"/>
    <w:uiPriority w:val="99"/>
    <w:semiHidden/>
    <w:rsid w:val="00046F9E"/>
    <w:rPr>
      <w:rFonts w:ascii="Calibri" w:hAnsi="Calibri"/>
    </w:rPr>
  </w:style>
  <w:style w:type="paragraph" w:styleId="BodyTextIndent">
    <w:name w:val="Body Text Indent"/>
    <w:basedOn w:val="Normal"/>
    <w:link w:val="BodyTextIndentChar"/>
    <w:uiPriority w:val="99"/>
    <w:semiHidden/>
    <w:unhideWhenUsed/>
    <w:rsid w:val="00046F9E"/>
    <w:pPr>
      <w:spacing w:before="240" w:after="120" w:line="240" w:lineRule="auto"/>
      <w:ind w:left="283"/>
      <w:jc w:val="both"/>
    </w:pPr>
    <w:rPr>
      <w:rFonts w:ascii="Calibri" w:hAnsi="Calibri"/>
      <w:sz w:val="22"/>
    </w:rPr>
  </w:style>
  <w:style w:type="character" w:customStyle="1" w:styleId="BodyTextIndentChar">
    <w:name w:val="Body Text Indent Char"/>
    <w:basedOn w:val="DefaultParagraphFont"/>
    <w:link w:val="BodyTextIndent"/>
    <w:uiPriority w:val="99"/>
    <w:semiHidden/>
    <w:rsid w:val="00046F9E"/>
    <w:rPr>
      <w:rFonts w:ascii="Calibri" w:hAnsi="Calibri"/>
    </w:rPr>
  </w:style>
  <w:style w:type="paragraph" w:styleId="BodyTextFirstIndent2">
    <w:name w:val="Body Text First Indent 2"/>
    <w:basedOn w:val="BodyTextIndent"/>
    <w:link w:val="BodyTextFirstIndent2Char"/>
    <w:uiPriority w:val="99"/>
    <w:semiHidden/>
    <w:unhideWhenUsed/>
    <w:rsid w:val="00046F9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46F9E"/>
    <w:rPr>
      <w:rFonts w:ascii="Calibri" w:hAnsi="Calibri"/>
    </w:rPr>
  </w:style>
  <w:style w:type="paragraph" w:styleId="BodyTextIndent2">
    <w:name w:val="Body Text Indent 2"/>
    <w:basedOn w:val="Normal"/>
    <w:link w:val="BodyTextIndent2Char"/>
    <w:uiPriority w:val="99"/>
    <w:semiHidden/>
    <w:unhideWhenUsed/>
    <w:rsid w:val="00046F9E"/>
    <w:pPr>
      <w:spacing w:before="240" w:after="120" w:line="480" w:lineRule="auto"/>
      <w:ind w:left="283"/>
      <w:jc w:val="both"/>
    </w:pPr>
    <w:rPr>
      <w:rFonts w:ascii="Calibri" w:hAnsi="Calibri"/>
      <w:sz w:val="22"/>
    </w:rPr>
  </w:style>
  <w:style w:type="character" w:customStyle="1" w:styleId="BodyTextIndent2Char">
    <w:name w:val="Body Text Indent 2 Char"/>
    <w:basedOn w:val="DefaultParagraphFont"/>
    <w:link w:val="BodyTextIndent2"/>
    <w:uiPriority w:val="99"/>
    <w:semiHidden/>
    <w:rsid w:val="00046F9E"/>
    <w:rPr>
      <w:rFonts w:ascii="Calibri" w:hAnsi="Calibri"/>
    </w:rPr>
  </w:style>
  <w:style w:type="paragraph" w:styleId="BodyTextIndent3">
    <w:name w:val="Body Text Indent 3"/>
    <w:basedOn w:val="Normal"/>
    <w:link w:val="BodyTextIndent3Char"/>
    <w:uiPriority w:val="99"/>
    <w:semiHidden/>
    <w:unhideWhenUsed/>
    <w:rsid w:val="00046F9E"/>
    <w:pPr>
      <w:spacing w:before="240" w:after="120" w:line="240" w:lineRule="auto"/>
      <w:ind w:left="283"/>
      <w:jc w:val="both"/>
    </w:pPr>
    <w:rPr>
      <w:rFonts w:ascii="Calibri" w:hAnsi="Calibri"/>
      <w:sz w:val="16"/>
      <w:szCs w:val="16"/>
    </w:rPr>
  </w:style>
  <w:style w:type="character" w:customStyle="1" w:styleId="BodyTextIndent3Char">
    <w:name w:val="Body Text Indent 3 Char"/>
    <w:basedOn w:val="DefaultParagraphFont"/>
    <w:link w:val="BodyTextIndent3"/>
    <w:uiPriority w:val="99"/>
    <w:semiHidden/>
    <w:rsid w:val="00046F9E"/>
    <w:rPr>
      <w:rFonts w:ascii="Calibri" w:hAnsi="Calibri"/>
      <w:sz w:val="16"/>
      <w:szCs w:val="16"/>
    </w:rPr>
  </w:style>
  <w:style w:type="paragraph" w:styleId="DocumentMap">
    <w:name w:val="Document Map"/>
    <w:basedOn w:val="Normal"/>
    <w:link w:val="DocumentMapChar"/>
    <w:uiPriority w:val="99"/>
    <w:semiHidden/>
    <w:unhideWhenUsed/>
    <w:rsid w:val="00046F9E"/>
    <w:pPr>
      <w:spacing w:before="240"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6F9E"/>
    <w:rPr>
      <w:rFonts w:ascii="Tahoma" w:hAnsi="Tahoma" w:cs="Tahoma"/>
      <w:sz w:val="16"/>
      <w:szCs w:val="16"/>
    </w:rPr>
  </w:style>
  <w:style w:type="paragraph" w:styleId="E-mailSignature">
    <w:name w:val="E-mail Signature"/>
    <w:basedOn w:val="Normal"/>
    <w:link w:val="E-mailSignatureChar"/>
    <w:uiPriority w:val="99"/>
    <w:semiHidden/>
    <w:unhideWhenUsed/>
    <w:rsid w:val="00046F9E"/>
    <w:pPr>
      <w:spacing w:before="240" w:after="0" w:line="240" w:lineRule="auto"/>
      <w:jc w:val="both"/>
    </w:pPr>
    <w:rPr>
      <w:rFonts w:ascii="Calibri" w:hAnsi="Calibri"/>
      <w:sz w:val="22"/>
    </w:rPr>
  </w:style>
  <w:style w:type="character" w:customStyle="1" w:styleId="E-mailSignatureChar">
    <w:name w:val="E-mail Signature Char"/>
    <w:basedOn w:val="DefaultParagraphFont"/>
    <w:link w:val="E-mailSignature"/>
    <w:uiPriority w:val="99"/>
    <w:semiHidden/>
    <w:rsid w:val="00046F9E"/>
    <w:rPr>
      <w:rFonts w:ascii="Calibri" w:hAnsi="Calibri"/>
    </w:rPr>
  </w:style>
  <w:style w:type="paragraph" w:styleId="EndnoteText">
    <w:name w:val="endnote text"/>
    <w:basedOn w:val="Normal"/>
    <w:link w:val="EndnoteTextChar"/>
    <w:uiPriority w:val="99"/>
    <w:semiHidden/>
    <w:unhideWhenUsed/>
    <w:rsid w:val="00046F9E"/>
    <w:pPr>
      <w:spacing w:before="240" w:after="0" w:line="240" w:lineRule="auto"/>
      <w:jc w:val="both"/>
    </w:pPr>
    <w:rPr>
      <w:rFonts w:ascii="Calibri" w:hAnsi="Calibri"/>
      <w:sz w:val="20"/>
      <w:szCs w:val="20"/>
    </w:rPr>
  </w:style>
  <w:style w:type="character" w:customStyle="1" w:styleId="EndnoteTextChar">
    <w:name w:val="Endnote Text Char"/>
    <w:basedOn w:val="DefaultParagraphFont"/>
    <w:link w:val="EndnoteText"/>
    <w:uiPriority w:val="99"/>
    <w:semiHidden/>
    <w:rsid w:val="00046F9E"/>
    <w:rPr>
      <w:rFonts w:ascii="Calibri" w:hAnsi="Calibri"/>
      <w:sz w:val="20"/>
      <w:szCs w:val="20"/>
    </w:rPr>
  </w:style>
  <w:style w:type="paragraph" w:styleId="EnvelopeAddress">
    <w:name w:val="envelope address"/>
    <w:basedOn w:val="Normal"/>
    <w:uiPriority w:val="99"/>
    <w:semiHidden/>
    <w:unhideWhenUsed/>
    <w:rsid w:val="00046F9E"/>
    <w:pPr>
      <w:framePr w:w="7920" w:h="1980" w:hRule="exact" w:hSpace="180" w:wrap="auto" w:hAnchor="page" w:xAlign="center" w:yAlign="bottom"/>
      <w:spacing w:before="240" w:after="0" w:line="240" w:lineRule="auto"/>
      <w:ind w:left="2880"/>
      <w:jc w:val="both"/>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46F9E"/>
    <w:pPr>
      <w:spacing w:before="240" w:after="0" w:line="240" w:lineRule="auto"/>
      <w:jc w:val="both"/>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46F9E"/>
    <w:pPr>
      <w:spacing w:before="240" w:after="0" w:line="240" w:lineRule="auto"/>
      <w:jc w:val="both"/>
    </w:pPr>
    <w:rPr>
      <w:rFonts w:ascii="Calibri" w:hAnsi="Calibri"/>
      <w:i/>
      <w:iCs/>
      <w:sz w:val="22"/>
    </w:rPr>
  </w:style>
  <w:style w:type="character" w:customStyle="1" w:styleId="HTMLAddressChar">
    <w:name w:val="HTML Address Char"/>
    <w:basedOn w:val="DefaultParagraphFont"/>
    <w:link w:val="HTMLAddress"/>
    <w:uiPriority w:val="99"/>
    <w:semiHidden/>
    <w:rsid w:val="00046F9E"/>
    <w:rPr>
      <w:rFonts w:ascii="Calibri" w:hAnsi="Calibri"/>
      <w:i/>
      <w:iCs/>
    </w:rPr>
  </w:style>
  <w:style w:type="paragraph" w:styleId="HTMLPreformatted">
    <w:name w:val="HTML Preformatted"/>
    <w:basedOn w:val="Normal"/>
    <w:link w:val="HTMLPreformattedChar"/>
    <w:uiPriority w:val="99"/>
    <w:semiHidden/>
    <w:unhideWhenUsed/>
    <w:rsid w:val="00046F9E"/>
    <w:pPr>
      <w:spacing w:before="240" w:after="0" w:line="240" w:lineRule="auto"/>
      <w:jc w:val="both"/>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6F9E"/>
    <w:rPr>
      <w:rFonts w:ascii="Consolas" w:hAnsi="Consolas"/>
      <w:sz w:val="20"/>
      <w:szCs w:val="20"/>
    </w:rPr>
  </w:style>
  <w:style w:type="paragraph" w:styleId="Index1">
    <w:name w:val="index 1"/>
    <w:basedOn w:val="Normal"/>
    <w:next w:val="Normal"/>
    <w:autoRedefine/>
    <w:uiPriority w:val="99"/>
    <w:semiHidden/>
    <w:unhideWhenUsed/>
    <w:rsid w:val="00046F9E"/>
    <w:pPr>
      <w:spacing w:before="240" w:after="0" w:line="240" w:lineRule="auto"/>
      <w:ind w:left="220" w:hanging="220"/>
      <w:jc w:val="both"/>
    </w:pPr>
    <w:rPr>
      <w:rFonts w:ascii="Calibri" w:hAnsi="Calibri"/>
      <w:sz w:val="22"/>
    </w:rPr>
  </w:style>
  <w:style w:type="paragraph" w:styleId="Index2">
    <w:name w:val="index 2"/>
    <w:basedOn w:val="Normal"/>
    <w:next w:val="Normal"/>
    <w:autoRedefine/>
    <w:uiPriority w:val="99"/>
    <w:semiHidden/>
    <w:unhideWhenUsed/>
    <w:rsid w:val="00046F9E"/>
    <w:pPr>
      <w:spacing w:before="240" w:after="0" w:line="240" w:lineRule="auto"/>
      <w:ind w:left="440" w:hanging="220"/>
      <w:jc w:val="both"/>
    </w:pPr>
    <w:rPr>
      <w:rFonts w:ascii="Calibri" w:hAnsi="Calibri"/>
      <w:sz w:val="22"/>
    </w:rPr>
  </w:style>
  <w:style w:type="paragraph" w:styleId="Index3">
    <w:name w:val="index 3"/>
    <w:basedOn w:val="Normal"/>
    <w:next w:val="Normal"/>
    <w:autoRedefine/>
    <w:uiPriority w:val="99"/>
    <w:semiHidden/>
    <w:unhideWhenUsed/>
    <w:rsid w:val="00046F9E"/>
    <w:pPr>
      <w:spacing w:before="240" w:after="0" w:line="240" w:lineRule="auto"/>
      <w:ind w:left="660" w:hanging="220"/>
      <w:jc w:val="both"/>
    </w:pPr>
    <w:rPr>
      <w:rFonts w:ascii="Calibri" w:hAnsi="Calibri"/>
      <w:sz w:val="22"/>
    </w:rPr>
  </w:style>
  <w:style w:type="paragraph" w:styleId="Index4">
    <w:name w:val="index 4"/>
    <w:basedOn w:val="Normal"/>
    <w:next w:val="Normal"/>
    <w:autoRedefine/>
    <w:uiPriority w:val="99"/>
    <w:semiHidden/>
    <w:unhideWhenUsed/>
    <w:rsid w:val="00046F9E"/>
    <w:pPr>
      <w:spacing w:before="240" w:after="0" w:line="240" w:lineRule="auto"/>
      <w:ind w:left="880" w:hanging="220"/>
      <w:jc w:val="both"/>
    </w:pPr>
    <w:rPr>
      <w:rFonts w:ascii="Calibri" w:hAnsi="Calibri"/>
      <w:sz w:val="22"/>
    </w:rPr>
  </w:style>
  <w:style w:type="paragraph" w:styleId="Index5">
    <w:name w:val="index 5"/>
    <w:basedOn w:val="Normal"/>
    <w:next w:val="Normal"/>
    <w:autoRedefine/>
    <w:uiPriority w:val="99"/>
    <w:semiHidden/>
    <w:unhideWhenUsed/>
    <w:rsid w:val="00046F9E"/>
    <w:pPr>
      <w:spacing w:before="240" w:after="0" w:line="240" w:lineRule="auto"/>
      <w:ind w:left="1100" w:hanging="220"/>
      <w:jc w:val="both"/>
    </w:pPr>
    <w:rPr>
      <w:rFonts w:ascii="Calibri" w:hAnsi="Calibri"/>
      <w:sz w:val="22"/>
    </w:rPr>
  </w:style>
  <w:style w:type="paragraph" w:styleId="Index6">
    <w:name w:val="index 6"/>
    <w:basedOn w:val="Normal"/>
    <w:next w:val="Normal"/>
    <w:autoRedefine/>
    <w:uiPriority w:val="99"/>
    <w:semiHidden/>
    <w:unhideWhenUsed/>
    <w:rsid w:val="00046F9E"/>
    <w:pPr>
      <w:spacing w:before="240" w:after="0" w:line="240" w:lineRule="auto"/>
      <w:ind w:left="1320" w:hanging="220"/>
      <w:jc w:val="both"/>
    </w:pPr>
    <w:rPr>
      <w:rFonts w:ascii="Calibri" w:hAnsi="Calibri"/>
      <w:sz w:val="22"/>
    </w:rPr>
  </w:style>
  <w:style w:type="paragraph" w:styleId="Index7">
    <w:name w:val="index 7"/>
    <w:basedOn w:val="Normal"/>
    <w:next w:val="Normal"/>
    <w:autoRedefine/>
    <w:uiPriority w:val="99"/>
    <w:semiHidden/>
    <w:unhideWhenUsed/>
    <w:rsid w:val="00046F9E"/>
    <w:pPr>
      <w:spacing w:before="240" w:after="0" w:line="240" w:lineRule="auto"/>
      <w:ind w:left="1540" w:hanging="220"/>
      <w:jc w:val="both"/>
    </w:pPr>
    <w:rPr>
      <w:rFonts w:ascii="Calibri" w:hAnsi="Calibri"/>
      <w:sz w:val="22"/>
    </w:rPr>
  </w:style>
  <w:style w:type="paragraph" w:styleId="Index8">
    <w:name w:val="index 8"/>
    <w:basedOn w:val="Normal"/>
    <w:next w:val="Normal"/>
    <w:autoRedefine/>
    <w:uiPriority w:val="99"/>
    <w:semiHidden/>
    <w:unhideWhenUsed/>
    <w:rsid w:val="00046F9E"/>
    <w:pPr>
      <w:spacing w:before="240" w:after="0" w:line="240" w:lineRule="auto"/>
      <w:ind w:left="1760" w:hanging="220"/>
      <w:jc w:val="both"/>
    </w:pPr>
    <w:rPr>
      <w:rFonts w:ascii="Calibri" w:hAnsi="Calibri"/>
      <w:sz w:val="22"/>
    </w:rPr>
  </w:style>
  <w:style w:type="paragraph" w:styleId="Index9">
    <w:name w:val="index 9"/>
    <w:basedOn w:val="Normal"/>
    <w:next w:val="Normal"/>
    <w:autoRedefine/>
    <w:uiPriority w:val="99"/>
    <w:semiHidden/>
    <w:unhideWhenUsed/>
    <w:rsid w:val="00046F9E"/>
    <w:pPr>
      <w:spacing w:before="240" w:after="0" w:line="240" w:lineRule="auto"/>
      <w:ind w:left="1980" w:hanging="220"/>
      <w:jc w:val="both"/>
    </w:pPr>
    <w:rPr>
      <w:rFonts w:ascii="Calibri" w:hAnsi="Calibri"/>
      <w:sz w:val="22"/>
    </w:rPr>
  </w:style>
  <w:style w:type="paragraph" w:styleId="IndexHeading">
    <w:name w:val="index heading"/>
    <w:basedOn w:val="Normal"/>
    <w:next w:val="Index1"/>
    <w:uiPriority w:val="99"/>
    <w:semiHidden/>
    <w:unhideWhenUsed/>
    <w:rsid w:val="00046F9E"/>
    <w:pPr>
      <w:spacing w:before="240" w:after="240" w:line="240" w:lineRule="auto"/>
      <w:jc w:val="both"/>
    </w:pPr>
    <w:rPr>
      <w:rFonts w:asciiTheme="majorHAnsi" w:eastAsiaTheme="majorEastAsia" w:hAnsiTheme="majorHAnsi" w:cstheme="majorBidi"/>
      <w:b/>
      <w:bCs/>
      <w:sz w:val="22"/>
    </w:rPr>
  </w:style>
  <w:style w:type="paragraph" w:styleId="IntenseQuote">
    <w:name w:val="Intense Quote"/>
    <w:basedOn w:val="Normal"/>
    <w:next w:val="Normal"/>
    <w:link w:val="IntenseQuoteChar"/>
    <w:uiPriority w:val="99"/>
    <w:qFormat/>
    <w:rsid w:val="00046F9E"/>
    <w:pPr>
      <w:pBdr>
        <w:bottom w:val="single" w:sz="4" w:space="4" w:color="FF3246" w:themeColor="accent1"/>
      </w:pBdr>
      <w:spacing w:before="200" w:after="280" w:line="240" w:lineRule="auto"/>
      <w:ind w:left="936" w:right="936"/>
      <w:jc w:val="both"/>
    </w:pPr>
    <w:rPr>
      <w:rFonts w:ascii="Calibri" w:hAnsi="Calibri"/>
      <w:b/>
      <w:bCs/>
      <w:i/>
      <w:iCs/>
      <w:color w:val="FF3246" w:themeColor="accent1"/>
      <w:sz w:val="22"/>
    </w:rPr>
  </w:style>
  <w:style w:type="character" w:customStyle="1" w:styleId="IntenseQuoteChar">
    <w:name w:val="Intense Quote Char"/>
    <w:basedOn w:val="DefaultParagraphFont"/>
    <w:link w:val="IntenseQuote"/>
    <w:uiPriority w:val="99"/>
    <w:rsid w:val="00046F9E"/>
    <w:rPr>
      <w:rFonts w:ascii="Calibri" w:hAnsi="Calibri"/>
      <w:b/>
      <w:bCs/>
      <w:i/>
      <w:iCs/>
      <w:color w:val="FF3246" w:themeColor="accent1"/>
    </w:rPr>
  </w:style>
  <w:style w:type="paragraph" w:styleId="List">
    <w:name w:val="List"/>
    <w:basedOn w:val="Normal"/>
    <w:uiPriority w:val="99"/>
    <w:semiHidden/>
    <w:unhideWhenUsed/>
    <w:rsid w:val="00046F9E"/>
    <w:pPr>
      <w:spacing w:before="240" w:after="240" w:line="240" w:lineRule="auto"/>
      <w:ind w:left="283" w:hanging="283"/>
      <w:contextualSpacing/>
      <w:jc w:val="both"/>
    </w:pPr>
    <w:rPr>
      <w:rFonts w:ascii="Calibri" w:hAnsi="Calibri"/>
      <w:sz w:val="22"/>
    </w:rPr>
  </w:style>
  <w:style w:type="paragraph" w:styleId="List2">
    <w:name w:val="List 2"/>
    <w:basedOn w:val="Normal"/>
    <w:uiPriority w:val="99"/>
    <w:semiHidden/>
    <w:unhideWhenUsed/>
    <w:rsid w:val="00046F9E"/>
    <w:pPr>
      <w:spacing w:before="240" w:after="240" w:line="240" w:lineRule="auto"/>
      <w:ind w:left="566" w:hanging="283"/>
      <w:contextualSpacing/>
      <w:jc w:val="both"/>
    </w:pPr>
    <w:rPr>
      <w:rFonts w:ascii="Calibri" w:hAnsi="Calibri"/>
      <w:sz w:val="22"/>
    </w:rPr>
  </w:style>
  <w:style w:type="paragraph" w:styleId="List3">
    <w:name w:val="List 3"/>
    <w:basedOn w:val="Normal"/>
    <w:uiPriority w:val="99"/>
    <w:semiHidden/>
    <w:unhideWhenUsed/>
    <w:rsid w:val="00046F9E"/>
    <w:pPr>
      <w:spacing w:before="240" w:after="240" w:line="240" w:lineRule="auto"/>
      <w:ind w:left="849" w:hanging="283"/>
      <w:contextualSpacing/>
      <w:jc w:val="both"/>
    </w:pPr>
    <w:rPr>
      <w:rFonts w:ascii="Calibri" w:hAnsi="Calibri"/>
      <w:sz w:val="22"/>
    </w:rPr>
  </w:style>
  <w:style w:type="paragraph" w:styleId="List4">
    <w:name w:val="List 4"/>
    <w:basedOn w:val="Normal"/>
    <w:uiPriority w:val="99"/>
    <w:semiHidden/>
    <w:rsid w:val="00046F9E"/>
    <w:pPr>
      <w:spacing w:before="240" w:after="240" w:line="240" w:lineRule="auto"/>
      <w:ind w:left="1132" w:hanging="283"/>
      <w:contextualSpacing/>
      <w:jc w:val="both"/>
    </w:pPr>
    <w:rPr>
      <w:rFonts w:ascii="Calibri" w:hAnsi="Calibri"/>
      <w:sz w:val="22"/>
    </w:rPr>
  </w:style>
  <w:style w:type="paragraph" w:styleId="List5">
    <w:name w:val="List 5"/>
    <w:basedOn w:val="Normal"/>
    <w:uiPriority w:val="99"/>
    <w:semiHidden/>
    <w:rsid w:val="00046F9E"/>
    <w:pPr>
      <w:spacing w:before="240" w:after="240" w:line="240" w:lineRule="auto"/>
      <w:ind w:left="1415" w:hanging="283"/>
      <w:contextualSpacing/>
      <w:jc w:val="both"/>
    </w:pPr>
    <w:rPr>
      <w:rFonts w:ascii="Calibri" w:hAnsi="Calibri"/>
      <w:sz w:val="22"/>
    </w:rPr>
  </w:style>
  <w:style w:type="paragraph" w:styleId="ListContinue">
    <w:name w:val="List Continue"/>
    <w:basedOn w:val="Normal"/>
    <w:uiPriority w:val="99"/>
    <w:semiHidden/>
    <w:unhideWhenUsed/>
    <w:rsid w:val="00046F9E"/>
    <w:pPr>
      <w:spacing w:before="240" w:after="120" w:line="240" w:lineRule="auto"/>
      <w:ind w:left="283"/>
      <w:contextualSpacing/>
      <w:jc w:val="both"/>
    </w:pPr>
    <w:rPr>
      <w:rFonts w:ascii="Calibri" w:hAnsi="Calibri"/>
      <w:sz w:val="22"/>
    </w:rPr>
  </w:style>
  <w:style w:type="paragraph" w:styleId="ListContinue2">
    <w:name w:val="List Continue 2"/>
    <w:basedOn w:val="Normal"/>
    <w:uiPriority w:val="99"/>
    <w:semiHidden/>
    <w:unhideWhenUsed/>
    <w:rsid w:val="00046F9E"/>
    <w:pPr>
      <w:spacing w:before="240" w:after="120" w:line="240" w:lineRule="auto"/>
      <w:ind w:left="566"/>
      <w:contextualSpacing/>
      <w:jc w:val="both"/>
    </w:pPr>
    <w:rPr>
      <w:rFonts w:ascii="Calibri" w:hAnsi="Calibri"/>
      <w:sz w:val="22"/>
    </w:rPr>
  </w:style>
  <w:style w:type="paragraph" w:styleId="ListContinue3">
    <w:name w:val="List Continue 3"/>
    <w:basedOn w:val="Normal"/>
    <w:uiPriority w:val="99"/>
    <w:semiHidden/>
    <w:unhideWhenUsed/>
    <w:rsid w:val="00046F9E"/>
    <w:pPr>
      <w:spacing w:before="240" w:after="120" w:line="240" w:lineRule="auto"/>
      <w:ind w:left="849"/>
      <w:contextualSpacing/>
      <w:jc w:val="both"/>
    </w:pPr>
    <w:rPr>
      <w:rFonts w:ascii="Calibri" w:hAnsi="Calibri"/>
      <w:sz w:val="22"/>
    </w:rPr>
  </w:style>
  <w:style w:type="paragraph" w:styleId="ListContinue4">
    <w:name w:val="List Continue 4"/>
    <w:basedOn w:val="Normal"/>
    <w:uiPriority w:val="99"/>
    <w:semiHidden/>
    <w:unhideWhenUsed/>
    <w:rsid w:val="00046F9E"/>
    <w:pPr>
      <w:spacing w:before="240" w:after="120" w:line="240" w:lineRule="auto"/>
      <w:ind w:left="1132"/>
      <w:contextualSpacing/>
      <w:jc w:val="both"/>
    </w:pPr>
    <w:rPr>
      <w:rFonts w:ascii="Calibri" w:hAnsi="Calibri"/>
      <w:sz w:val="22"/>
    </w:rPr>
  </w:style>
  <w:style w:type="paragraph" w:styleId="ListContinue5">
    <w:name w:val="List Continue 5"/>
    <w:basedOn w:val="Normal"/>
    <w:uiPriority w:val="99"/>
    <w:semiHidden/>
    <w:unhideWhenUsed/>
    <w:rsid w:val="00046F9E"/>
    <w:pPr>
      <w:spacing w:before="240" w:after="120" w:line="240" w:lineRule="auto"/>
      <w:ind w:left="1415"/>
      <w:contextualSpacing/>
      <w:jc w:val="both"/>
    </w:pPr>
    <w:rPr>
      <w:rFonts w:ascii="Calibri" w:hAnsi="Calibri"/>
      <w:sz w:val="22"/>
    </w:rPr>
  </w:style>
  <w:style w:type="paragraph" w:styleId="ListNumber2">
    <w:name w:val="List Number 2"/>
    <w:basedOn w:val="Normal"/>
    <w:uiPriority w:val="99"/>
    <w:semiHidden/>
    <w:unhideWhenUsed/>
    <w:rsid w:val="00046F9E"/>
    <w:pPr>
      <w:tabs>
        <w:tab w:val="num" w:pos="643"/>
      </w:tabs>
      <w:spacing w:before="240" w:after="240" w:line="240" w:lineRule="auto"/>
      <w:ind w:left="643" w:hanging="360"/>
      <w:contextualSpacing/>
      <w:jc w:val="both"/>
    </w:pPr>
    <w:rPr>
      <w:rFonts w:ascii="Calibri" w:hAnsi="Calibri"/>
      <w:sz w:val="22"/>
    </w:rPr>
  </w:style>
  <w:style w:type="paragraph" w:styleId="ListNumber3">
    <w:name w:val="List Number 3"/>
    <w:basedOn w:val="Normal"/>
    <w:uiPriority w:val="99"/>
    <w:semiHidden/>
    <w:unhideWhenUsed/>
    <w:rsid w:val="00046F9E"/>
    <w:pPr>
      <w:tabs>
        <w:tab w:val="num" w:pos="926"/>
      </w:tabs>
      <w:spacing w:before="240" w:after="240" w:line="240" w:lineRule="auto"/>
      <w:ind w:left="926" w:hanging="360"/>
      <w:contextualSpacing/>
      <w:jc w:val="both"/>
    </w:pPr>
    <w:rPr>
      <w:rFonts w:ascii="Calibri" w:hAnsi="Calibri"/>
      <w:sz w:val="22"/>
    </w:rPr>
  </w:style>
  <w:style w:type="paragraph" w:styleId="ListNumber4">
    <w:name w:val="List Number 4"/>
    <w:basedOn w:val="Normal"/>
    <w:uiPriority w:val="99"/>
    <w:semiHidden/>
    <w:unhideWhenUsed/>
    <w:rsid w:val="00046F9E"/>
    <w:pPr>
      <w:tabs>
        <w:tab w:val="num" w:pos="1209"/>
      </w:tabs>
      <w:spacing w:before="240" w:after="240" w:line="240" w:lineRule="auto"/>
      <w:ind w:left="1209" w:hanging="360"/>
      <w:contextualSpacing/>
      <w:jc w:val="both"/>
    </w:pPr>
    <w:rPr>
      <w:rFonts w:ascii="Calibri" w:hAnsi="Calibri"/>
      <w:sz w:val="22"/>
    </w:rPr>
  </w:style>
  <w:style w:type="paragraph" w:styleId="MacroText">
    <w:name w:val="macro"/>
    <w:link w:val="MacroTextChar"/>
    <w:uiPriority w:val="99"/>
    <w:semiHidden/>
    <w:unhideWhenUsed/>
    <w:rsid w:val="00046F9E"/>
    <w:pPr>
      <w:tabs>
        <w:tab w:val="left" w:pos="480"/>
        <w:tab w:val="left" w:pos="960"/>
        <w:tab w:val="left" w:pos="1440"/>
        <w:tab w:val="left" w:pos="1920"/>
        <w:tab w:val="left" w:pos="2400"/>
        <w:tab w:val="left" w:pos="2880"/>
        <w:tab w:val="left" w:pos="3360"/>
        <w:tab w:val="left" w:pos="3840"/>
        <w:tab w:val="left" w:pos="4320"/>
      </w:tabs>
      <w:spacing w:after="0" w:line="276" w:lineRule="auto"/>
      <w:jc w:val="both"/>
    </w:pPr>
    <w:rPr>
      <w:rFonts w:ascii="Consolas" w:hAnsi="Consolas"/>
      <w:sz w:val="20"/>
      <w:szCs w:val="20"/>
    </w:rPr>
  </w:style>
  <w:style w:type="character" w:customStyle="1" w:styleId="MacroTextChar">
    <w:name w:val="Macro Text Char"/>
    <w:basedOn w:val="DefaultParagraphFont"/>
    <w:link w:val="MacroText"/>
    <w:uiPriority w:val="99"/>
    <w:semiHidden/>
    <w:rsid w:val="00046F9E"/>
    <w:rPr>
      <w:rFonts w:ascii="Consolas" w:hAnsi="Consolas"/>
      <w:sz w:val="20"/>
      <w:szCs w:val="20"/>
    </w:rPr>
  </w:style>
  <w:style w:type="paragraph" w:styleId="MessageHeader">
    <w:name w:val="Message Header"/>
    <w:basedOn w:val="Normal"/>
    <w:link w:val="MessageHeaderChar"/>
    <w:uiPriority w:val="99"/>
    <w:semiHidden/>
    <w:unhideWhenUsed/>
    <w:rsid w:val="00046F9E"/>
    <w:pPr>
      <w:pBdr>
        <w:top w:val="single" w:sz="6" w:space="1" w:color="auto"/>
        <w:left w:val="single" w:sz="6" w:space="1" w:color="auto"/>
        <w:bottom w:val="single" w:sz="6" w:space="1" w:color="auto"/>
        <w:right w:val="single" w:sz="6" w:space="1" w:color="auto"/>
      </w:pBdr>
      <w:shd w:val="pct20" w:color="auto" w:fill="auto"/>
      <w:spacing w:before="240" w:after="0" w:line="240" w:lineRule="auto"/>
      <w:ind w:left="1134" w:hanging="1134"/>
      <w:jc w:val="both"/>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46F9E"/>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46F9E"/>
    <w:pPr>
      <w:spacing w:before="240" w:after="240" w:line="240" w:lineRule="auto"/>
      <w:jc w:val="both"/>
    </w:pPr>
    <w:rPr>
      <w:rFonts w:ascii="Times New Roman" w:hAnsi="Times New Roman" w:cs="Times New Roman"/>
      <w:szCs w:val="24"/>
    </w:rPr>
  </w:style>
  <w:style w:type="paragraph" w:styleId="NormalIndent">
    <w:name w:val="Normal Indent"/>
    <w:basedOn w:val="Normal"/>
    <w:uiPriority w:val="99"/>
    <w:semiHidden/>
    <w:unhideWhenUsed/>
    <w:rsid w:val="00046F9E"/>
    <w:pPr>
      <w:spacing w:before="240" w:after="240" w:line="240" w:lineRule="auto"/>
      <w:ind w:left="720"/>
      <w:jc w:val="both"/>
    </w:pPr>
    <w:rPr>
      <w:rFonts w:ascii="Calibri" w:hAnsi="Calibri"/>
      <w:sz w:val="22"/>
    </w:rPr>
  </w:style>
  <w:style w:type="paragraph" w:styleId="NoteHeading">
    <w:name w:val="Note Heading"/>
    <w:basedOn w:val="Normal"/>
    <w:next w:val="Normal"/>
    <w:link w:val="NoteHeadingChar"/>
    <w:uiPriority w:val="99"/>
    <w:semiHidden/>
    <w:unhideWhenUsed/>
    <w:rsid w:val="00046F9E"/>
    <w:pPr>
      <w:spacing w:before="240" w:after="0" w:line="240" w:lineRule="auto"/>
      <w:jc w:val="both"/>
    </w:pPr>
    <w:rPr>
      <w:rFonts w:ascii="Calibri" w:hAnsi="Calibri"/>
      <w:sz w:val="22"/>
    </w:rPr>
  </w:style>
  <w:style w:type="character" w:customStyle="1" w:styleId="NoteHeadingChar">
    <w:name w:val="Note Heading Char"/>
    <w:basedOn w:val="DefaultParagraphFont"/>
    <w:link w:val="NoteHeading"/>
    <w:uiPriority w:val="99"/>
    <w:semiHidden/>
    <w:rsid w:val="00046F9E"/>
    <w:rPr>
      <w:rFonts w:ascii="Calibri" w:hAnsi="Calibri"/>
    </w:rPr>
  </w:style>
  <w:style w:type="paragraph" w:styleId="PlainText">
    <w:name w:val="Plain Text"/>
    <w:basedOn w:val="Normal"/>
    <w:link w:val="PlainTextChar"/>
    <w:uiPriority w:val="99"/>
    <w:semiHidden/>
    <w:unhideWhenUsed/>
    <w:rsid w:val="00046F9E"/>
    <w:pPr>
      <w:spacing w:before="240" w:after="0" w:line="240" w:lineRule="auto"/>
      <w:jc w:val="both"/>
    </w:pPr>
    <w:rPr>
      <w:rFonts w:ascii="Consolas" w:hAnsi="Consolas"/>
      <w:sz w:val="21"/>
      <w:szCs w:val="21"/>
    </w:rPr>
  </w:style>
  <w:style w:type="character" w:customStyle="1" w:styleId="PlainTextChar">
    <w:name w:val="Plain Text Char"/>
    <w:basedOn w:val="DefaultParagraphFont"/>
    <w:link w:val="PlainText"/>
    <w:uiPriority w:val="99"/>
    <w:semiHidden/>
    <w:rsid w:val="00046F9E"/>
    <w:rPr>
      <w:rFonts w:ascii="Consolas" w:hAnsi="Consolas"/>
      <w:sz w:val="21"/>
      <w:szCs w:val="21"/>
    </w:rPr>
  </w:style>
  <w:style w:type="paragraph" w:styleId="Salutation">
    <w:name w:val="Salutation"/>
    <w:basedOn w:val="Normal"/>
    <w:next w:val="Normal"/>
    <w:link w:val="SalutationChar"/>
    <w:uiPriority w:val="99"/>
    <w:semiHidden/>
    <w:rsid w:val="00046F9E"/>
    <w:pPr>
      <w:spacing w:before="240" w:after="240" w:line="240" w:lineRule="auto"/>
      <w:jc w:val="both"/>
    </w:pPr>
    <w:rPr>
      <w:rFonts w:ascii="Calibri" w:hAnsi="Calibri"/>
      <w:sz w:val="22"/>
    </w:rPr>
  </w:style>
  <w:style w:type="character" w:customStyle="1" w:styleId="SalutationChar">
    <w:name w:val="Salutation Char"/>
    <w:basedOn w:val="DefaultParagraphFont"/>
    <w:link w:val="Salutation"/>
    <w:uiPriority w:val="99"/>
    <w:semiHidden/>
    <w:rsid w:val="00046F9E"/>
    <w:rPr>
      <w:rFonts w:ascii="Calibri" w:hAnsi="Calibri"/>
    </w:rPr>
  </w:style>
  <w:style w:type="paragraph" w:styleId="TableofAuthorities">
    <w:name w:val="table of authorities"/>
    <w:basedOn w:val="Normal"/>
    <w:next w:val="Normal"/>
    <w:uiPriority w:val="99"/>
    <w:semiHidden/>
    <w:unhideWhenUsed/>
    <w:rsid w:val="00046F9E"/>
    <w:pPr>
      <w:spacing w:before="240" w:after="0" w:line="240" w:lineRule="auto"/>
      <w:ind w:left="220" w:hanging="220"/>
    </w:pPr>
    <w:rPr>
      <w:rFonts w:ascii="Calibri" w:hAnsi="Calibri"/>
      <w:sz w:val="22"/>
    </w:rPr>
  </w:style>
  <w:style w:type="paragraph" w:styleId="TableofFigures">
    <w:name w:val="table of figures"/>
    <w:basedOn w:val="Normal"/>
    <w:next w:val="Normal"/>
    <w:uiPriority w:val="99"/>
    <w:semiHidden/>
    <w:unhideWhenUsed/>
    <w:rsid w:val="00046F9E"/>
    <w:pPr>
      <w:spacing w:before="240" w:after="0" w:line="240" w:lineRule="auto"/>
    </w:pPr>
    <w:rPr>
      <w:rFonts w:ascii="Calibri" w:hAnsi="Calibri"/>
      <w:sz w:val="22"/>
    </w:rPr>
  </w:style>
  <w:style w:type="paragraph" w:styleId="TOAHeading">
    <w:name w:val="toa heading"/>
    <w:basedOn w:val="Normal"/>
    <w:next w:val="Normal"/>
    <w:uiPriority w:val="99"/>
    <w:semiHidden/>
    <w:unhideWhenUsed/>
    <w:rsid w:val="00046F9E"/>
    <w:pPr>
      <w:spacing w:before="120" w:after="240" w:line="240" w:lineRule="auto"/>
    </w:pPr>
    <w:rPr>
      <w:rFonts w:asciiTheme="majorHAnsi" w:eastAsiaTheme="majorEastAsia" w:hAnsiTheme="majorHAnsi" w:cstheme="majorBidi"/>
      <w:b/>
      <w:bCs/>
      <w:szCs w:val="24"/>
    </w:rPr>
  </w:style>
  <w:style w:type="paragraph" w:styleId="TOC5">
    <w:name w:val="toc 5"/>
    <w:basedOn w:val="Normal"/>
    <w:next w:val="Normal"/>
    <w:uiPriority w:val="39"/>
    <w:unhideWhenUsed/>
    <w:rsid w:val="00046F9E"/>
    <w:pPr>
      <w:tabs>
        <w:tab w:val="right" w:pos="8789"/>
      </w:tabs>
      <w:spacing w:after="60" w:line="240" w:lineRule="auto"/>
      <w:ind w:left="1078" w:right="737" w:hanging="624"/>
    </w:pPr>
    <w:rPr>
      <w:rFonts w:ascii="Calibri" w:hAnsi="Calibri"/>
      <w:sz w:val="22"/>
    </w:rPr>
  </w:style>
  <w:style w:type="paragraph" w:styleId="TOC6">
    <w:name w:val="toc 6"/>
    <w:basedOn w:val="Normal"/>
    <w:next w:val="Normal"/>
    <w:uiPriority w:val="39"/>
    <w:unhideWhenUsed/>
    <w:rsid w:val="00046F9E"/>
    <w:pPr>
      <w:tabs>
        <w:tab w:val="right" w:pos="8789"/>
      </w:tabs>
      <w:spacing w:before="160" w:after="60" w:line="240" w:lineRule="auto"/>
      <w:ind w:left="964" w:right="737" w:hanging="964"/>
    </w:pPr>
    <w:rPr>
      <w:rFonts w:ascii="Calibri" w:hAnsi="Calibri"/>
      <w:color w:val="06357A"/>
    </w:rPr>
  </w:style>
  <w:style w:type="paragraph" w:styleId="TOC7">
    <w:name w:val="toc 7"/>
    <w:basedOn w:val="Normal"/>
    <w:next w:val="Normal"/>
    <w:uiPriority w:val="39"/>
    <w:unhideWhenUsed/>
    <w:rsid w:val="00046F9E"/>
    <w:pPr>
      <w:tabs>
        <w:tab w:val="right" w:pos="8789"/>
      </w:tabs>
      <w:spacing w:after="60" w:line="240" w:lineRule="auto"/>
      <w:ind w:left="1078" w:right="737" w:hanging="624"/>
    </w:pPr>
    <w:rPr>
      <w:rFonts w:ascii="Calibri" w:hAnsi="Calibri"/>
      <w:sz w:val="22"/>
    </w:rPr>
  </w:style>
  <w:style w:type="paragraph" w:styleId="TOC8">
    <w:name w:val="toc 8"/>
    <w:basedOn w:val="Normal"/>
    <w:next w:val="Normal"/>
    <w:uiPriority w:val="39"/>
    <w:unhideWhenUsed/>
    <w:rsid w:val="00046F9E"/>
    <w:pPr>
      <w:tabs>
        <w:tab w:val="right" w:pos="8789"/>
      </w:tabs>
      <w:spacing w:before="160" w:after="60" w:line="240" w:lineRule="auto"/>
      <w:ind w:left="1134" w:right="737" w:hanging="1134"/>
    </w:pPr>
    <w:rPr>
      <w:rFonts w:ascii="Calibri" w:hAnsi="Calibri"/>
      <w:sz w:val="22"/>
    </w:rPr>
  </w:style>
  <w:style w:type="paragraph" w:styleId="TOC9">
    <w:name w:val="toc 9"/>
    <w:basedOn w:val="Normal"/>
    <w:next w:val="Normal"/>
    <w:autoRedefine/>
    <w:uiPriority w:val="39"/>
    <w:unhideWhenUsed/>
    <w:rsid w:val="00046F9E"/>
    <w:pPr>
      <w:spacing w:before="240" w:after="100" w:line="240" w:lineRule="auto"/>
      <w:ind w:left="1760"/>
    </w:pPr>
    <w:rPr>
      <w:rFonts w:ascii="Calibri" w:hAnsi="Calibri"/>
      <w:sz w:val="22"/>
    </w:rPr>
  </w:style>
  <w:style w:type="paragraph" w:customStyle="1" w:styleId="Authors">
    <w:name w:val="Authors"/>
    <w:basedOn w:val="Normal"/>
    <w:uiPriority w:val="11"/>
    <w:qFormat/>
    <w:rsid w:val="00046F9E"/>
    <w:pPr>
      <w:spacing w:before="240" w:after="240" w:line="240" w:lineRule="auto"/>
    </w:pPr>
    <w:rPr>
      <w:rFonts w:ascii="Calibri" w:hAnsi="Calibri"/>
      <w:noProof/>
      <w:sz w:val="22"/>
    </w:rPr>
  </w:style>
  <w:style w:type="paragraph" w:customStyle="1" w:styleId="PlaceholderText0">
    <w:name w:val="PlaceholderText"/>
    <w:basedOn w:val="NormalNoSpace"/>
    <w:uiPriority w:val="99"/>
    <w:semiHidden/>
    <w:qFormat/>
    <w:rsid w:val="00046F9E"/>
    <w:pPr>
      <w:keepNext/>
      <w:keepLines/>
    </w:pPr>
  </w:style>
  <w:style w:type="paragraph" w:customStyle="1" w:styleId="HeaderSpace">
    <w:name w:val="HeaderSpace"/>
    <w:basedOn w:val="NormalNoSpace"/>
    <w:uiPriority w:val="99"/>
    <w:semiHidden/>
    <w:qFormat/>
    <w:rsid w:val="00046F9E"/>
    <w:rPr>
      <w:sz w:val="2"/>
    </w:rPr>
  </w:style>
  <w:style w:type="table" w:customStyle="1" w:styleId="GridTable6Colorful1">
    <w:name w:val="Grid Table 6 Colorful1"/>
    <w:basedOn w:val="TableNormal"/>
    <w:uiPriority w:val="51"/>
    <w:rsid w:val="00046F9E"/>
    <w:pPr>
      <w:spacing w:after="0" w:line="240" w:lineRule="auto"/>
    </w:pPr>
    <w:rPr>
      <w:color w:val="1D1D1B" w:themeColor="text1"/>
    </w:rPr>
    <w:tblPr>
      <w:tblStyleRowBandSize w:val="1"/>
      <w:tblStyleColBandSize w:val="1"/>
      <w:tblBorders>
        <w:top w:val="single" w:sz="4" w:space="0" w:color="7A7A72" w:themeColor="text1" w:themeTint="99"/>
        <w:left w:val="single" w:sz="4" w:space="0" w:color="7A7A72" w:themeColor="text1" w:themeTint="99"/>
        <w:bottom w:val="single" w:sz="4" w:space="0" w:color="7A7A72" w:themeColor="text1" w:themeTint="99"/>
        <w:right w:val="single" w:sz="4" w:space="0" w:color="7A7A72" w:themeColor="text1" w:themeTint="99"/>
        <w:insideH w:val="single" w:sz="4" w:space="0" w:color="7A7A72" w:themeColor="text1" w:themeTint="99"/>
        <w:insideV w:val="single" w:sz="4" w:space="0" w:color="7A7A72" w:themeColor="text1" w:themeTint="99"/>
      </w:tblBorders>
    </w:tblPr>
    <w:tblStylePr w:type="firstRow">
      <w:rPr>
        <w:b/>
        <w:bCs/>
      </w:rPr>
      <w:tblPr/>
      <w:tcPr>
        <w:tcBorders>
          <w:bottom w:val="single" w:sz="12" w:space="0" w:color="7A7A72" w:themeColor="text1" w:themeTint="99"/>
        </w:tcBorders>
      </w:tcPr>
    </w:tblStylePr>
    <w:tblStylePr w:type="lastRow">
      <w:rPr>
        <w:b/>
        <w:bCs/>
      </w:rPr>
      <w:tblPr/>
      <w:tcPr>
        <w:tcBorders>
          <w:top w:val="double" w:sz="4" w:space="0" w:color="7A7A72" w:themeColor="text1" w:themeTint="99"/>
        </w:tcBorders>
      </w:tc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numbering" w:customStyle="1" w:styleId="JayeshNavinShahEasterEgg">
    <w:name w:val="JayeshNavinShahEasterEgg"/>
    <w:uiPriority w:val="99"/>
    <w:rsid w:val="00046F9E"/>
    <w:pPr>
      <w:numPr>
        <w:numId w:val="43"/>
      </w:numPr>
    </w:pPr>
  </w:style>
  <w:style w:type="character" w:styleId="Mention">
    <w:name w:val="Mention"/>
    <w:basedOn w:val="DefaultParagraphFont"/>
    <w:uiPriority w:val="99"/>
    <w:unhideWhenUsed/>
    <w:rsid w:val="00046F9E"/>
    <w:rPr>
      <w:color w:val="2B579A"/>
      <w:shd w:val="clear" w:color="auto" w:fill="E1DFDD"/>
    </w:rPr>
  </w:style>
  <w:style w:type="character" w:styleId="FollowedHyperlink">
    <w:name w:val="FollowedHyperlink"/>
    <w:basedOn w:val="DefaultParagraphFont"/>
    <w:uiPriority w:val="99"/>
    <w:semiHidden/>
    <w:unhideWhenUsed/>
    <w:rsid w:val="00046F9E"/>
    <w:rPr>
      <w:color w:val="142855" w:themeColor="followedHyperlink"/>
      <w:u w:val="single"/>
    </w:rPr>
  </w:style>
  <w:style w:type="numbering" w:customStyle="1" w:styleId="NumblistBox0">
    <w:name w:val="NumblistBox"/>
    <w:uiPriority w:val="99"/>
    <w:rsid w:val="00046F9E"/>
    <w:pPr>
      <w:numPr>
        <w:numId w:val="44"/>
      </w:numPr>
    </w:pPr>
  </w:style>
  <w:style w:type="numbering" w:customStyle="1" w:styleId="JayeshNavinShahEasterEgg2">
    <w:name w:val="JayeshNavinShahEasterEgg2"/>
    <w:basedOn w:val="NoList"/>
    <w:uiPriority w:val="99"/>
    <w:rsid w:val="00046F9E"/>
    <w:pPr>
      <w:numPr>
        <w:numId w:val="45"/>
      </w:numPr>
    </w:pPr>
  </w:style>
  <w:style w:type="paragraph" w:customStyle="1" w:styleId="01BMainHeadingNumberedTOC">
    <w:name w:val="01B Main Heading Numbered (TOC)"/>
    <w:basedOn w:val="Heading1"/>
    <w:next w:val="Normal"/>
    <w:qFormat/>
    <w:rsid w:val="00046F9E"/>
    <w:pPr>
      <w:keepLines w:val="0"/>
      <w:pageBreakBefore/>
      <w:numPr>
        <w:numId w:val="46"/>
      </w:numPr>
      <w:spacing w:after="120" w:line="240" w:lineRule="auto"/>
    </w:pPr>
    <w:rPr>
      <w:rFonts w:ascii="Arial Black" w:eastAsia="Times New Roman" w:hAnsi="Arial Black" w:cs="Arial"/>
      <w:color w:val="FFFFFF" w:themeColor="background2"/>
      <w:sz w:val="48"/>
      <w:szCs w:val="48"/>
      <w:lang w:eastAsia="en-GB"/>
    </w:rPr>
  </w:style>
  <w:style w:type="paragraph" w:customStyle="1" w:styleId="07BImageCaptionNumbered">
    <w:name w:val="07B Image Caption Numbered"/>
    <w:basedOn w:val="Normal"/>
    <w:next w:val="Normal"/>
    <w:qFormat/>
    <w:rsid w:val="00046F9E"/>
    <w:pPr>
      <w:keepNext/>
      <w:keepLines/>
      <w:numPr>
        <w:ilvl w:val="3"/>
        <w:numId w:val="46"/>
      </w:numPr>
      <w:spacing w:before="240" w:after="120" w:line="240" w:lineRule="auto"/>
      <w:ind w:right="2268"/>
      <w:outlineLvl w:val="2"/>
    </w:pPr>
    <w:rPr>
      <w:rFonts w:ascii="Arial" w:eastAsia="Times New Roman" w:hAnsi="Arial" w:cs="Arial"/>
      <w:b/>
      <w:color w:val="1D1D1B" w:themeColor="text1"/>
      <w:sz w:val="22"/>
      <w:szCs w:val="20"/>
      <w:lang w:eastAsia="en-GB"/>
    </w:rPr>
  </w:style>
  <w:style w:type="paragraph" w:customStyle="1" w:styleId="07DTableCaptionNumbered">
    <w:name w:val="07D Table Caption Numbered"/>
    <w:basedOn w:val="Normal"/>
    <w:next w:val="Normal"/>
    <w:link w:val="07DTableCaptionNumberedChar"/>
    <w:qFormat/>
    <w:rsid w:val="00046F9E"/>
    <w:pPr>
      <w:keepNext/>
      <w:keepLines/>
      <w:numPr>
        <w:ilvl w:val="4"/>
        <w:numId w:val="46"/>
      </w:numPr>
      <w:spacing w:before="240" w:after="120" w:line="240" w:lineRule="auto"/>
      <w:ind w:right="2268"/>
      <w:outlineLvl w:val="2"/>
    </w:pPr>
    <w:rPr>
      <w:rFonts w:ascii="Arial" w:eastAsia="Times New Roman" w:hAnsi="Arial" w:cs="Arial"/>
      <w:b/>
      <w:color w:val="1D1D1B" w:themeColor="text1"/>
      <w:sz w:val="22"/>
      <w:szCs w:val="20"/>
      <w:lang w:eastAsia="en-GB"/>
    </w:rPr>
  </w:style>
  <w:style w:type="character" w:customStyle="1" w:styleId="07DTableCaptionNumberedChar">
    <w:name w:val="07D Table Caption Numbered Char"/>
    <w:basedOn w:val="DefaultParagraphFont"/>
    <w:link w:val="07DTableCaptionNumbered"/>
    <w:rsid w:val="00046F9E"/>
    <w:rPr>
      <w:rFonts w:ascii="Arial" w:eastAsia="Times New Roman" w:hAnsi="Arial" w:cs="Arial"/>
      <w:b/>
      <w:color w:val="1D1D1B" w:themeColor="text1"/>
      <w:szCs w:val="20"/>
      <w:lang w:eastAsia="en-GB"/>
    </w:rPr>
  </w:style>
  <w:style w:type="paragraph" w:customStyle="1" w:styleId="02BSubheadingNumbered1stlevelTOC">
    <w:name w:val="02B Subheading Numbered (1st level) (TOC)"/>
    <w:basedOn w:val="Normal"/>
    <w:next w:val="Normal"/>
    <w:qFormat/>
    <w:rsid w:val="00046F9E"/>
    <w:pPr>
      <w:keepNext/>
      <w:keepLines/>
      <w:numPr>
        <w:ilvl w:val="1"/>
        <w:numId w:val="46"/>
      </w:numPr>
      <w:spacing w:before="240" w:after="120" w:line="240" w:lineRule="auto"/>
      <w:outlineLvl w:val="1"/>
    </w:pPr>
    <w:rPr>
      <w:rFonts w:ascii="Arial" w:eastAsia="Times New Roman" w:hAnsi="Arial" w:cs="Arial"/>
      <w:b/>
      <w:color w:val="FFFFFF" w:themeColor="background2"/>
      <w:szCs w:val="20"/>
      <w:lang w:eastAsia="en-GB"/>
    </w:rPr>
  </w:style>
  <w:style w:type="paragraph" w:customStyle="1" w:styleId="03BSubheadingNumbered2ndlevelNON-TOC">
    <w:name w:val="03B Subheading Numbered (2nd level) (NON-TOC)"/>
    <w:basedOn w:val="Normal"/>
    <w:next w:val="Normal"/>
    <w:qFormat/>
    <w:rsid w:val="00046F9E"/>
    <w:pPr>
      <w:keepNext/>
      <w:keepLines/>
      <w:numPr>
        <w:ilvl w:val="2"/>
        <w:numId w:val="46"/>
      </w:numPr>
      <w:spacing w:before="240" w:after="120" w:line="240" w:lineRule="auto"/>
      <w:outlineLvl w:val="2"/>
    </w:pPr>
    <w:rPr>
      <w:rFonts w:ascii="Arial" w:eastAsia="Times New Roman" w:hAnsi="Arial" w:cs="Arial"/>
      <w:color w:val="0F1D3F" w:themeColor="text2" w:themeShade="BF"/>
      <w:sz w:val="22"/>
      <w:szCs w:val="20"/>
      <w:lang w:eastAsia="en-GB"/>
    </w:rPr>
  </w:style>
  <w:style w:type="paragraph" w:customStyle="1" w:styleId="05BBullets2ndlevel">
    <w:name w:val="05B Bullets (2nd level)"/>
    <w:basedOn w:val="Normal"/>
    <w:link w:val="05BBullets2ndlevelChar"/>
    <w:qFormat/>
    <w:rsid w:val="00046F9E"/>
    <w:pPr>
      <w:spacing w:before="120" w:after="240" w:line="288" w:lineRule="auto"/>
      <w:ind w:left="851" w:hanging="284"/>
    </w:pPr>
    <w:rPr>
      <w:rFonts w:ascii="Arial" w:eastAsia="Times New Roman" w:hAnsi="Arial" w:cs="Arial"/>
      <w:color w:val="1D1D1B" w:themeColor="text1"/>
      <w:sz w:val="22"/>
      <w:szCs w:val="20"/>
      <w:lang w:eastAsia="en-GB"/>
    </w:rPr>
  </w:style>
  <w:style w:type="paragraph" w:customStyle="1" w:styleId="06ANumberedList1stlevel">
    <w:name w:val="06A Numbered List (1st level)"/>
    <w:basedOn w:val="Normal"/>
    <w:qFormat/>
    <w:rsid w:val="00046F9E"/>
    <w:pPr>
      <w:spacing w:before="120" w:after="240" w:line="288" w:lineRule="auto"/>
      <w:ind w:left="567" w:hanging="283"/>
    </w:pPr>
    <w:rPr>
      <w:rFonts w:ascii="Arial" w:eastAsia="Times New Roman" w:hAnsi="Arial" w:cs="Arial"/>
      <w:color w:val="1D1D1B" w:themeColor="text1"/>
      <w:sz w:val="22"/>
      <w:szCs w:val="20"/>
      <w:lang w:eastAsia="en-GB"/>
    </w:rPr>
  </w:style>
  <w:style w:type="paragraph" w:customStyle="1" w:styleId="06BNumberedList2ndlevel">
    <w:name w:val="06B Numbered List (2nd level)"/>
    <w:basedOn w:val="Normal"/>
    <w:qFormat/>
    <w:rsid w:val="00046F9E"/>
    <w:pPr>
      <w:spacing w:before="120" w:after="240" w:line="288" w:lineRule="auto"/>
      <w:ind w:left="851" w:hanging="284"/>
    </w:pPr>
    <w:rPr>
      <w:rFonts w:ascii="Arial" w:eastAsia="Times New Roman" w:hAnsi="Arial" w:cs="Arial"/>
      <w:color w:val="1D1D1B" w:themeColor="text1"/>
      <w:sz w:val="22"/>
      <w:szCs w:val="20"/>
      <w:lang w:eastAsia="en-GB"/>
    </w:rPr>
  </w:style>
  <w:style w:type="paragraph" w:customStyle="1" w:styleId="05CBulletswithoutspacing1stlevel">
    <w:name w:val="05C Bullets without spacing (1st level)"/>
    <w:basedOn w:val="Normal"/>
    <w:qFormat/>
    <w:rsid w:val="00046F9E"/>
    <w:pPr>
      <w:spacing w:before="120" w:after="240" w:line="288" w:lineRule="auto"/>
      <w:ind w:left="567" w:hanging="283"/>
      <w:contextualSpacing/>
    </w:pPr>
    <w:rPr>
      <w:rFonts w:ascii="Arial" w:eastAsia="Times New Roman" w:hAnsi="Arial" w:cs="Arial"/>
      <w:color w:val="1D1D1B" w:themeColor="text1"/>
      <w:sz w:val="22"/>
      <w:szCs w:val="20"/>
      <w:lang w:eastAsia="en-GB"/>
    </w:rPr>
  </w:style>
  <w:style w:type="paragraph" w:customStyle="1" w:styleId="06CNumberedListwithoutspacing1stlevel">
    <w:name w:val="06C Numbered List without spacing (1st level)"/>
    <w:basedOn w:val="06ANumberedList1stlevel"/>
    <w:qFormat/>
    <w:rsid w:val="00046F9E"/>
    <w:pPr>
      <w:contextualSpacing/>
    </w:pPr>
  </w:style>
  <w:style w:type="paragraph" w:customStyle="1" w:styleId="05ABullets1stlevel">
    <w:name w:val="05A Bullets (1st level)"/>
    <w:basedOn w:val="Normal"/>
    <w:link w:val="05ABullets1stlevelChar"/>
    <w:qFormat/>
    <w:rsid w:val="00046F9E"/>
    <w:pPr>
      <w:tabs>
        <w:tab w:val="num" w:pos="360"/>
        <w:tab w:val="num" w:pos="1077"/>
      </w:tabs>
    </w:pPr>
    <w:rPr>
      <w:rFonts w:ascii="Segoe UI Light" w:eastAsia="Times New Roman" w:hAnsi="Segoe UI Light" w:cs="Arial"/>
      <w:color w:val="1D1D1B" w:themeColor="text1"/>
      <w:szCs w:val="20"/>
      <w:lang w:eastAsia="en-GB"/>
    </w:rPr>
  </w:style>
  <w:style w:type="paragraph" w:customStyle="1" w:styleId="04ABodyText">
    <w:name w:val="04A Body Text"/>
    <w:basedOn w:val="Normal"/>
    <w:link w:val="04ABodyTextChar"/>
    <w:qFormat/>
    <w:rsid w:val="00046F9E"/>
    <w:pPr>
      <w:spacing w:before="240" w:after="240" w:line="288" w:lineRule="auto"/>
    </w:pPr>
    <w:rPr>
      <w:rFonts w:ascii="Segoe UI Light" w:eastAsia="Times New Roman" w:hAnsi="Segoe UI Light" w:cs="Arial"/>
      <w:color w:val="1D1D1B" w:themeColor="text1"/>
      <w:sz w:val="20"/>
      <w:szCs w:val="20"/>
      <w:lang w:eastAsia="en-GB"/>
    </w:rPr>
  </w:style>
  <w:style w:type="character" w:customStyle="1" w:styleId="04ABodyTextChar">
    <w:name w:val="04A Body Text Char"/>
    <w:basedOn w:val="DefaultParagraphFont"/>
    <w:link w:val="04ABodyText"/>
    <w:uiPriority w:val="99"/>
    <w:qFormat/>
    <w:rsid w:val="00046F9E"/>
    <w:rPr>
      <w:rFonts w:ascii="Segoe UI Light" w:eastAsia="Times New Roman" w:hAnsi="Segoe UI Light" w:cs="Arial"/>
      <w:color w:val="1D1D1B" w:themeColor="text1"/>
      <w:sz w:val="20"/>
      <w:szCs w:val="20"/>
      <w:lang w:eastAsia="en-GB"/>
    </w:rPr>
  </w:style>
  <w:style w:type="character" w:customStyle="1" w:styleId="ListParagraphChar">
    <w:name w:val="List Paragraph Char"/>
    <w:aliases w:val="Lettre d'introduction Char,Paragrafo elenco Char,List Paragraph1 Char,1st level - Bullet List Paragraph Char,Medium Grid 1 - Accent 21 Char,Normal bullet 2 Char,Bullet list Char,Numbered List Char,Bullet (Square) Char,Dot pt Char"/>
    <w:basedOn w:val="DefaultParagraphFont"/>
    <w:link w:val="ListParagraph"/>
    <w:uiPriority w:val="34"/>
    <w:qFormat/>
    <w:locked/>
    <w:rsid w:val="00046F9E"/>
    <w:rPr>
      <w:sz w:val="24"/>
    </w:rPr>
  </w:style>
  <w:style w:type="character" w:customStyle="1" w:styleId="QuestionNumberChar1">
    <w:name w:val="Question Number Char1"/>
    <w:basedOn w:val="DefaultParagraphFont"/>
    <w:link w:val="QuestionNumber"/>
    <w:uiPriority w:val="99"/>
    <w:locked/>
    <w:rsid w:val="00046F9E"/>
    <w:rPr>
      <w:rFonts w:ascii="Arial" w:eastAsia="Times New Roman" w:hAnsi="Arial" w:cs="Arial"/>
    </w:rPr>
  </w:style>
  <w:style w:type="paragraph" w:customStyle="1" w:styleId="QuestionNumber">
    <w:name w:val="Question Number"/>
    <w:next w:val="Normal"/>
    <w:link w:val="QuestionNumberChar1"/>
    <w:uiPriority w:val="99"/>
    <w:rsid w:val="00046F9E"/>
    <w:pPr>
      <w:spacing w:after="0" w:line="240" w:lineRule="auto"/>
      <w:jc w:val="both"/>
    </w:pPr>
    <w:rPr>
      <w:rFonts w:ascii="Arial" w:eastAsia="Times New Roman" w:hAnsi="Arial" w:cs="Arial"/>
    </w:rPr>
  </w:style>
  <w:style w:type="paragraph" w:customStyle="1" w:styleId="InstuctBeforeQuest">
    <w:name w:val="Instuct Before Quest"/>
    <w:next w:val="Normal"/>
    <w:uiPriority w:val="99"/>
    <w:rsid w:val="00046F9E"/>
    <w:pPr>
      <w:spacing w:after="0" w:line="240" w:lineRule="auto"/>
      <w:ind w:left="720"/>
    </w:pPr>
    <w:rPr>
      <w:rFonts w:ascii="Arial" w:eastAsia="Times New Roman" w:hAnsi="Arial" w:cs="Times New Roman"/>
      <w:b/>
      <w:szCs w:val="20"/>
      <w:lang w:eastAsia="en-GB"/>
    </w:rPr>
  </w:style>
  <w:style w:type="paragraph" w:customStyle="1" w:styleId="QuestionText">
    <w:name w:val="Question Text"/>
    <w:basedOn w:val="Normal"/>
    <w:uiPriority w:val="99"/>
    <w:rsid w:val="00046F9E"/>
    <w:pPr>
      <w:numPr>
        <w:ilvl w:val="1"/>
        <w:numId w:val="47"/>
      </w:numPr>
      <w:tabs>
        <w:tab w:val="left" w:pos="879"/>
      </w:tabs>
      <w:spacing w:after="260" w:line="260" w:lineRule="exact"/>
      <w:outlineLvl w:val="1"/>
    </w:pPr>
    <w:rPr>
      <w:rFonts w:ascii="Arial" w:eastAsia="Calibri" w:hAnsi="Arial" w:cs="Times New Roman"/>
      <w:b/>
      <w:color w:val="131313"/>
      <w:sz w:val="20"/>
      <w:szCs w:val="20"/>
      <w:lang w:eastAsia="en-GB"/>
    </w:rPr>
  </w:style>
  <w:style w:type="paragraph" w:customStyle="1" w:styleId="responsecodes">
    <w:name w:val="response codes"/>
    <w:basedOn w:val="Normal"/>
    <w:uiPriority w:val="99"/>
    <w:rsid w:val="00046F9E"/>
    <w:pPr>
      <w:tabs>
        <w:tab w:val="left" w:pos="720"/>
        <w:tab w:val="left" w:leader="dot" w:pos="6237"/>
      </w:tabs>
      <w:spacing w:after="0" w:line="240" w:lineRule="auto"/>
      <w:ind w:left="720"/>
    </w:pPr>
    <w:rPr>
      <w:rFonts w:ascii="Arial" w:eastAsia="Times New Roman" w:hAnsi="Arial" w:cs="Arial"/>
      <w:bCs/>
      <w:sz w:val="22"/>
    </w:rPr>
  </w:style>
  <w:style w:type="paragraph" w:customStyle="1" w:styleId="GrandTitre">
    <w:name w:val="Grand Titre"/>
    <w:uiPriority w:val="99"/>
    <w:rsid w:val="00046F9E"/>
    <w:pPr>
      <w:keepNext/>
      <w:spacing w:after="0" w:line="240" w:lineRule="auto"/>
      <w:ind w:right="1987"/>
      <w:jc w:val="both"/>
    </w:pPr>
    <w:rPr>
      <w:rFonts w:ascii="Tms Rmn" w:eastAsia="Times New Roman" w:hAnsi="Tms Rmn" w:cs="Times New Roman"/>
      <w:sz w:val="20"/>
      <w:szCs w:val="20"/>
      <w:lang w:val="en-US"/>
    </w:rPr>
  </w:style>
  <w:style w:type="character" w:styleId="Strong">
    <w:name w:val="Strong"/>
    <w:basedOn w:val="DefaultParagraphFont"/>
    <w:uiPriority w:val="99"/>
    <w:qFormat/>
    <w:rsid w:val="00046F9E"/>
    <w:rPr>
      <w:rFonts w:ascii="Times New Roman" w:hAnsi="Times New Roman" w:cs="Times New Roman" w:hint="default"/>
      <w:b/>
      <w:bCs/>
    </w:rPr>
  </w:style>
  <w:style w:type="paragraph" w:customStyle="1" w:styleId="msonormal0">
    <w:name w:val="msonormal"/>
    <w:basedOn w:val="Normal"/>
    <w:uiPriority w:val="99"/>
    <w:semiHidden/>
    <w:rsid w:val="00046F9E"/>
    <w:pPr>
      <w:spacing w:before="100" w:beforeAutospacing="1" w:after="100" w:afterAutospacing="1" w:line="240" w:lineRule="auto"/>
    </w:pPr>
    <w:rPr>
      <w:rFonts w:ascii="Arial" w:eastAsia="Times New Roman" w:hAnsi="Arial" w:cs="Times New Roman"/>
      <w:szCs w:val="24"/>
      <w:lang w:val="en-US"/>
    </w:rPr>
  </w:style>
  <w:style w:type="paragraph" w:customStyle="1" w:styleId="Level1bullet">
    <w:name w:val="Level 1 bullet"/>
    <w:basedOn w:val="Normal"/>
    <w:uiPriority w:val="99"/>
    <w:semiHidden/>
    <w:rsid w:val="00046F9E"/>
    <w:pPr>
      <w:numPr>
        <w:numId w:val="49"/>
      </w:numPr>
      <w:tabs>
        <w:tab w:val="left" w:pos="709"/>
      </w:tabs>
      <w:spacing w:after="0" w:line="260" w:lineRule="exact"/>
    </w:pPr>
    <w:rPr>
      <w:rFonts w:ascii="Arial" w:eastAsia="Calibri" w:hAnsi="Arial" w:cs="Times New Roman"/>
      <w:b/>
      <w:color w:val="131313"/>
      <w:sz w:val="20"/>
      <w:szCs w:val="20"/>
      <w:lang w:eastAsia="en-GB"/>
    </w:rPr>
  </w:style>
  <w:style w:type="paragraph" w:customStyle="1" w:styleId="Table1Black">
    <w:name w:val="Table 1 Black"/>
    <w:basedOn w:val="Normal"/>
    <w:uiPriority w:val="99"/>
    <w:semiHidden/>
    <w:rsid w:val="00046F9E"/>
    <w:pPr>
      <w:tabs>
        <w:tab w:val="left" w:pos="879"/>
      </w:tabs>
      <w:spacing w:after="260" w:line="260" w:lineRule="exact"/>
    </w:pPr>
    <w:rPr>
      <w:rFonts w:ascii="Arial" w:eastAsia="Calibri" w:hAnsi="Arial" w:cs="Times New Roman"/>
      <w:color w:val="131313"/>
      <w:sz w:val="20"/>
      <w:szCs w:val="20"/>
      <w:lang w:eastAsia="en-GB"/>
    </w:rPr>
  </w:style>
  <w:style w:type="paragraph" w:customStyle="1" w:styleId="QuestionRouting">
    <w:name w:val="Question Routing"/>
    <w:basedOn w:val="QuestionText"/>
    <w:next w:val="QuestionText"/>
    <w:uiPriority w:val="99"/>
    <w:semiHidden/>
    <w:rsid w:val="00046F9E"/>
    <w:pPr>
      <w:numPr>
        <w:ilvl w:val="0"/>
        <w:numId w:val="0"/>
      </w:numPr>
      <w:tabs>
        <w:tab w:val="clear" w:pos="879"/>
      </w:tabs>
      <w:spacing w:after="0"/>
      <w:ind w:left="539"/>
    </w:pPr>
    <w:rPr>
      <w:b w:val="0"/>
      <w:caps/>
    </w:rPr>
  </w:style>
  <w:style w:type="paragraph" w:customStyle="1" w:styleId="Pull-outboxText">
    <w:name w:val="Pull-out box Text"/>
    <w:basedOn w:val="Normal"/>
    <w:uiPriority w:val="99"/>
    <w:semiHidden/>
    <w:rsid w:val="00046F9E"/>
    <w:pPr>
      <w:keepNext/>
      <w:keepLines/>
      <w:tabs>
        <w:tab w:val="left" w:pos="539"/>
        <w:tab w:val="left" w:pos="709"/>
        <w:tab w:val="left" w:pos="879"/>
      </w:tabs>
      <w:spacing w:after="0" w:line="260" w:lineRule="exact"/>
      <w:ind w:left="170"/>
    </w:pPr>
    <w:rPr>
      <w:rFonts w:ascii="Arial" w:eastAsia="Calibri" w:hAnsi="Arial" w:cs="Times New Roman"/>
      <w:color w:val="131313"/>
      <w:sz w:val="20"/>
      <w:szCs w:val="20"/>
      <w:lang w:eastAsia="en-GB"/>
    </w:rPr>
  </w:style>
  <w:style w:type="paragraph" w:customStyle="1" w:styleId="Pull-outlevel1">
    <w:name w:val="Pull-out level 1"/>
    <w:basedOn w:val="Level1bullet"/>
    <w:uiPriority w:val="99"/>
    <w:semiHidden/>
    <w:rsid w:val="00046F9E"/>
    <w:pPr>
      <w:keepNext/>
      <w:keepLines/>
      <w:ind w:left="170" w:firstLine="136"/>
    </w:pPr>
    <w:rPr>
      <w:rFonts w:ascii="Arial Bold" w:hAnsi="Arial Bold"/>
    </w:rPr>
  </w:style>
  <w:style w:type="paragraph" w:customStyle="1" w:styleId="Pull-outboxhead">
    <w:name w:val="Pull-out box head"/>
    <w:basedOn w:val="Pull-outboxText"/>
    <w:next w:val="Pull-outlevel1"/>
    <w:uiPriority w:val="99"/>
    <w:semiHidden/>
    <w:rsid w:val="00046F9E"/>
    <w:pPr>
      <w:tabs>
        <w:tab w:val="left" w:pos="8604"/>
      </w:tabs>
    </w:pPr>
    <w:rPr>
      <w:caps/>
      <w:color w:val="357C2A"/>
    </w:rPr>
  </w:style>
  <w:style w:type="paragraph" w:customStyle="1" w:styleId="QuestionSectHead">
    <w:name w:val="Question Sect Head"/>
    <w:basedOn w:val="Normal"/>
    <w:next w:val="QuestionText"/>
    <w:uiPriority w:val="99"/>
    <w:semiHidden/>
    <w:rsid w:val="00046F9E"/>
    <w:pPr>
      <w:tabs>
        <w:tab w:val="num" w:pos="539"/>
        <w:tab w:val="left" w:pos="879"/>
      </w:tabs>
      <w:spacing w:after="360" w:line="360" w:lineRule="exact"/>
      <w:ind w:left="539" w:hanging="539"/>
    </w:pPr>
    <w:rPr>
      <w:rFonts w:ascii="Arial" w:eastAsia="Calibri" w:hAnsi="Arial" w:cs="Times New Roman"/>
      <w:color w:val="131313"/>
      <w:sz w:val="36"/>
      <w:szCs w:val="20"/>
      <w:lang w:eastAsia="en-GB"/>
    </w:rPr>
  </w:style>
  <w:style w:type="paragraph" w:customStyle="1" w:styleId="QuestionFulloutRead">
    <w:name w:val="Question Fullout Read"/>
    <w:basedOn w:val="Normal"/>
    <w:next w:val="QuestionText"/>
    <w:uiPriority w:val="99"/>
    <w:semiHidden/>
    <w:rsid w:val="00046F9E"/>
    <w:pPr>
      <w:tabs>
        <w:tab w:val="left" w:pos="879"/>
      </w:tabs>
      <w:spacing w:after="0" w:line="260" w:lineRule="exact"/>
      <w:ind w:left="539" w:hanging="539"/>
    </w:pPr>
    <w:rPr>
      <w:rFonts w:ascii="Arial" w:eastAsia="Calibri" w:hAnsi="Arial" w:cs="Times New Roman"/>
      <w:caps/>
      <w:color w:val="131313"/>
      <w:sz w:val="20"/>
      <w:szCs w:val="20"/>
      <w:lang w:eastAsia="en-GB"/>
    </w:rPr>
  </w:style>
  <w:style w:type="paragraph" w:customStyle="1" w:styleId="Qtable1to10Horiz">
    <w:name w:val="Qtable1to10Horiz"/>
    <w:basedOn w:val="Table1Black"/>
    <w:uiPriority w:val="99"/>
    <w:semiHidden/>
    <w:rsid w:val="00046F9E"/>
    <w:pPr>
      <w:numPr>
        <w:ilvl w:val="5"/>
        <w:numId w:val="48"/>
      </w:numPr>
      <w:spacing w:after="0"/>
      <w:jc w:val="center"/>
    </w:pPr>
  </w:style>
  <w:style w:type="paragraph" w:customStyle="1" w:styleId="QuestionTextSub">
    <w:name w:val="QuestionTextSub"/>
    <w:basedOn w:val="QuestionText"/>
    <w:uiPriority w:val="99"/>
    <w:semiHidden/>
    <w:rsid w:val="00046F9E"/>
    <w:pPr>
      <w:numPr>
        <w:ilvl w:val="2"/>
        <w:numId w:val="48"/>
      </w:numPr>
      <w:tabs>
        <w:tab w:val="num" w:pos="539"/>
      </w:tabs>
    </w:pPr>
  </w:style>
  <w:style w:type="paragraph" w:customStyle="1" w:styleId="QTableFO">
    <w:name w:val="QTableFO"/>
    <w:basedOn w:val="Table1Black"/>
    <w:uiPriority w:val="99"/>
    <w:semiHidden/>
    <w:rsid w:val="00046F9E"/>
    <w:pPr>
      <w:numPr>
        <w:ilvl w:val="3"/>
        <w:numId w:val="48"/>
      </w:numPr>
      <w:jc w:val="center"/>
    </w:pPr>
  </w:style>
  <w:style w:type="paragraph" w:customStyle="1" w:styleId="QTblabc">
    <w:name w:val="QTblabc"/>
    <w:basedOn w:val="Table1Black"/>
    <w:uiPriority w:val="99"/>
    <w:semiHidden/>
    <w:rsid w:val="00046F9E"/>
    <w:pPr>
      <w:numPr>
        <w:ilvl w:val="4"/>
        <w:numId w:val="48"/>
      </w:numPr>
    </w:pPr>
    <w:rPr>
      <w:position w:val="-6"/>
    </w:rPr>
  </w:style>
  <w:style w:type="paragraph" w:customStyle="1" w:styleId="QuestionDer">
    <w:name w:val="QuestionDer"/>
    <w:basedOn w:val="QuestionText"/>
    <w:next w:val="Table1Black"/>
    <w:uiPriority w:val="99"/>
    <w:semiHidden/>
    <w:rsid w:val="00046F9E"/>
    <w:pPr>
      <w:keepNext/>
      <w:keepLines/>
      <w:numPr>
        <w:ilvl w:val="6"/>
        <w:numId w:val="48"/>
      </w:numPr>
      <w:tabs>
        <w:tab w:val="num" w:pos="720"/>
      </w:tabs>
      <w:spacing w:before="130" w:after="130"/>
      <w:outlineLvl w:val="6"/>
    </w:pPr>
  </w:style>
  <w:style w:type="paragraph" w:customStyle="1" w:styleId="QuestionDerABC">
    <w:name w:val="QuestionDerABC"/>
    <w:basedOn w:val="QuestionDer"/>
    <w:next w:val="Table1Black"/>
    <w:uiPriority w:val="99"/>
    <w:rsid w:val="00046F9E"/>
    <w:pPr>
      <w:numPr>
        <w:ilvl w:val="0"/>
        <w:numId w:val="0"/>
      </w:numPr>
      <w:tabs>
        <w:tab w:val="num" w:pos="1080"/>
      </w:tabs>
    </w:pPr>
  </w:style>
  <w:style w:type="paragraph" w:customStyle="1" w:styleId="Instrafterquest">
    <w:name w:val="Instr after quest"/>
    <w:basedOn w:val="Normal"/>
    <w:next w:val="Normal"/>
    <w:uiPriority w:val="99"/>
    <w:semiHidden/>
    <w:rsid w:val="00046F9E"/>
    <w:pPr>
      <w:tabs>
        <w:tab w:val="left" w:pos="720"/>
        <w:tab w:val="left" w:pos="4230"/>
        <w:tab w:val="right" w:leader="dot" w:pos="9720"/>
      </w:tabs>
      <w:spacing w:after="0" w:line="240" w:lineRule="auto"/>
      <w:ind w:left="720"/>
    </w:pPr>
    <w:rPr>
      <w:rFonts w:ascii="Arial" w:eastAsia="Times New Roman" w:hAnsi="Arial" w:cs="Times New Roman"/>
      <w:caps/>
      <w:sz w:val="20"/>
      <w:szCs w:val="20"/>
    </w:rPr>
  </w:style>
  <w:style w:type="paragraph" w:customStyle="1" w:styleId="codes">
    <w:name w:val="codes"/>
    <w:basedOn w:val="Normal"/>
    <w:uiPriority w:val="99"/>
    <w:semiHidden/>
    <w:rsid w:val="00046F9E"/>
    <w:pPr>
      <w:tabs>
        <w:tab w:val="right" w:leader="dot" w:pos="3510"/>
        <w:tab w:val="left" w:pos="4230"/>
      </w:tabs>
      <w:spacing w:after="0" w:line="240" w:lineRule="auto"/>
      <w:jc w:val="center"/>
    </w:pPr>
    <w:rPr>
      <w:rFonts w:ascii="Arial" w:eastAsia="Times New Roman" w:hAnsi="Arial" w:cs="Times New Roman"/>
      <w:sz w:val="20"/>
      <w:szCs w:val="20"/>
    </w:rPr>
  </w:style>
  <w:style w:type="paragraph" w:customStyle="1" w:styleId="NormalArial">
    <w:name w:val="Normal Arial"/>
    <w:uiPriority w:val="99"/>
    <w:semiHidden/>
    <w:rsid w:val="00046F9E"/>
    <w:pPr>
      <w:tabs>
        <w:tab w:val="left" w:pos="-720"/>
        <w:tab w:val="left" w:pos="0"/>
        <w:tab w:val="left" w:pos="720"/>
      </w:tabs>
      <w:suppressAutoHyphens/>
      <w:spacing w:after="0" w:line="240" w:lineRule="auto"/>
      <w:jc w:val="both"/>
    </w:pPr>
    <w:rPr>
      <w:rFonts w:ascii="Arial" w:eastAsia="Times New Roman" w:hAnsi="Arial" w:cs="Times New Roman"/>
      <w:szCs w:val="20"/>
    </w:rPr>
  </w:style>
  <w:style w:type="paragraph" w:customStyle="1" w:styleId="text">
    <w:name w:val="text"/>
    <w:uiPriority w:val="99"/>
    <w:semiHidden/>
    <w:rsid w:val="00046F9E"/>
    <w:pPr>
      <w:widowControl w:val="0"/>
      <w:spacing w:after="0" w:line="240" w:lineRule="auto"/>
    </w:pPr>
    <w:rPr>
      <w:rFonts w:ascii="Arial" w:eastAsia="Times New Roman" w:hAnsi="Arial" w:cs="Arial"/>
      <w:sz w:val="24"/>
      <w:szCs w:val="24"/>
    </w:rPr>
  </w:style>
  <w:style w:type="paragraph" w:customStyle="1" w:styleId="quest1">
    <w:name w:val="quest 1"/>
    <w:basedOn w:val="Normal"/>
    <w:uiPriority w:val="99"/>
    <w:semiHidden/>
    <w:rsid w:val="00046F9E"/>
    <w:pPr>
      <w:numPr>
        <w:numId w:val="50"/>
      </w:numPr>
      <w:spacing w:after="0" w:line="240" w:lineRule="auto"/>
      <w:jc w:val="both"/>
    </w:pPr>
    <w:rPr>
      <w:rFonts w:ascii="Arial" w:eastAsia="Times New Roman" w:hAnsi="Arial" w:cs="Arial"/>
      <w:sz w:val="22"/>
      <w:lang w:eastAsia="en-GB"/>
    </w:rPr>
  </w:style>
  <w:style w:type="paragraph" w:customStyle="1" w:styleId="berschrift4-kursiv">
    <w:name w:val="Überschrift4-kursiv"/>
    <w:basedOn w:val="Normal"/>
    <w:uiPriority w:val="99"/>
    <w:semiHidden/>
    <w:rsid w:val="00046F9E"/>
    <w:pPr>
      <w:tabs>
        <w:tab w:val="left" w:pos="425"/>
        <w:tab w:val="left" w:pos="567"/>
        <w:tab w:val="left" w:pos="709"/>
        <w:tab w:val="left" w:pos="851"/>
      </w:tabs>
      <w:spacing w:after="0" w:line="240" w:lineRule="auto"/>
      <w:jc w:val="both"/>
    </w:pPr>
    <w:rPr>
      <w:rFonts w:ascii="Arial" w:eastAsia="Times New Roman" w:hAnsi="Arial" w:cs="Times New Roman"/>
      <w:b/>
      <w:i/>
      <w:szCs w:val="20"/>
      <w:lang w:eastAsia="de-DE"/>
    </w:rPr>
  </w:style>
  <w:style w:type="paragraph" w:customStyle="1" w:styleId="QUEST">
    <w:name w:val="QUEST"/>
    <w:uiPriority w:val="99"/>
    <w:semiHidden/>
    <w:rsid w:val="00046F9E"/>
    <w:pPr>
      <w:widowControl w:val="0"/>
      <w:numPr>
        <w:numId w:val="51"/>
      </w:numPr>
      <w:spacing w:after="0" w:line="240" w:lineRule="auto"/>
    </w:pPr>
    <w:rPr>
      <w:rFonts w:ascii="Arial" w:eastAsia="Times New Roman" w:hAnsi="Arial" w:cs="Arial"/>
      <w:color w:val="000000"/>
      <w:sz w:val="24"/>
      <w:szCs w:val="24"/>
    </w:rPr>
  </w:style>
  <w:style w:type="paragraph" w:customStyle="1" w:styleId="ParaNumber">
    <w:name w:val="Para Number"/>
    <w:basedOn w:val="NormalIndent"/>
    <w:uiPriority w:val="99"/>
    <w:semiHidden/>
    <w:rsid w:val="00046F9E"/>
    <w:pPr>
      <w:keepLines/>
      <w:numPr>
        <w:numId w:val="52"/>
      </w:numPr>
      <w:spacing w:before="0"/>
    </w:pPr>
    <w:rPr>
      <w:rFonts w:ascii="Arial" w:eastAsia="SimSun" w:hAnsi="Arial" w:cs="Times New Roman"/>
      <w:sz w:val="20"/>
      <w:szCs w:val="20"/>
      <w:lang w:eastAsia="en-GB"/>
    </w:rPr>
  </w:style>
  <w:style w:type="paragraph" w:customStyle="1" w:styleId="DfESOutNumbered">
    <w:name w:val="DfESOutNumbered"/>
    <w:basedOn w:val="Normal"/>
    <w:uiPriority w:val="99"/>
    <w:semiHidden/>
    <w:rsid w:val="00046F9E"/>
    <w:pPr>
      <w:widowControl w:val="0"/>
      <w:numPr>
        <w:numId w:val="53"/>
      </w:numPr>
      <w:overflowPunct w:val="0"/>
      <w:autoSpaceDE w:val="0"/>
      <w:autoSpaceDN w:val="0"/>
      <w:adjustRightInd w:val="0"/>
      <w:spacing w:after="240" w:line="240" w:lineRule="auto"/>
    </w:pPr>
    <w:rPr>
      <w:rFonts w:ascii="Arial" w:eastAsia="Times New Roman" w:hAnsi="Arial" w:cs="Times New Roman"/>
      <w:szCs w:val="20"/>
    </w:rPr>
  </w:style>
  <w:style w:type="paragraph" w:customStyle="1" w:styleId="COLBREAK">
    <w:name w:val="COLBREAK"/>
    <w:basedOn w:val="Normal"/>
    <w:uiPriority w:val="99"/>
    <w:semiHidden/>
    <w:rsid w:val="00046F9E"/>
    <w:pPr>
      <w:spacing w:after="0" w:line="240" w:lineRule="auto"/>
    </w:pPr>
    <w:rPr>
      <w:rFonts w:ascii="Arial" w:eastAsia="Times New Roman" w:hAnsi="Arial" w:cs="Arial"/>
      <w:color w:val="FFFFFF"/>
      <w:sz w:val="4"/>
      <w:szCs w:val="4"/>
      <w:lang w:eastAsia="ja-JP"/>
    </w:rPr>
  </w:style>
  <w:style w:type="paragraph" w:customStyle="1" w:styleId="QSTART">
    <w:name w:val="QSTART"/>
    <w:basedOn w:val="Normal"/>
    <w:uiPriority w:val="99"/>
    <w:semiHidden/>
    <w:rsid w:val="00046F9E"/>
    <w:pPr>
      <w:keepNext/>
      <w:keepLines/>
      <w:pBdr>
        <w:bottom w:val="single" w:sz="24" w:space="1" w:color="808080"/>
      </w:pBdr>
      <w:spacing w:after="120" w:line="240" w:lineRule="auto"/>
    </w:pPr>
    <w:rPr>
      <w:rFonts w:ascii="Arial" w:eastAsia="Times New Roman" w:hAnsi="Arial" w:cs="Arial"/>
      <w:sz w:val="20"/>
      <w:szCs w:val="20"/>
      <w:lang w:eastAsia="ja-JP"/>
    </w:rPr>
  </w:style>
  <w:style w:type="paragraph" w:customStyle="1" w:styleId="qtext">
    <w:name w:val="qtext"/>
    <w:basedOn w:val="Normal"/>
    <w:uiPriority w:val="99"/>
    <w:semiHidden/>
    <w:rsid w:val="00046F9E"/>
    <w:pPr>
      <w:keepNext/>
      <w:keepLines/>
      <w:tabs>
        <w:tab w:val="left" w:pos="720"/>
      </w:tabs>
      <w:spacing w:after="0" w:line="240" w:lineRule="auto"/>
      <w:ind w:left="720" w:hanging="720"/>
    </w:pPr>
    <w:rPr>
      <w:rFonts w:ascii="Arial" w:eastAsia="Times New Roman" w:hAnsi="Arial" w:cs="Arial"/>
      <w:sz w:val="20"/>
      <w:szCs w:val="20"/>
      <w:lang w:eastAsia="ja-JP"/>
    </w:rPr>
  </w:style>
  <w:style w:type="paragraph" w:customStyle="1" w:styleId="col">
    <w:name w:val="col"/>
    <w:basedOn w:val="Normal"/>
    <w:uiPriority w:val="99"/>
    <w:semiHidden/>
    <w:rsid w:val="00046F9E"/>
    <w:pPr>
      <w:keepNext/>
      <w:keepLines/>
      <w:tabs>
        <w:tab w:val="center" w:pos="8640"/>
        <w:tab w:val="left" w:pos="9360"/>
      </w:tabs>
      <w:spacing w:after="0" w:line="240" w:lineRule="auto"/>
    </w:pPr>
    <w:rPr>
      <w:rFonts w:ascii="Arial" w:eastAsia="Times New Roman" w:hAnsi="Arial" w:cs="Arial"/>
      <w:sz w:val="16"/>
      <w:szCs w:val="16"/>
      <w:lang w:eastAsia="ja-JP"/>
    </w:rPr>
  </w:style>
  <w:style w:type="paragraph" w:customStyle="1" w:styleId="resptext">
    <w:name w:val="resptext"/>
    <w:basedOn w:val="Normal"/>
    <w:uiPriority w:val="99"/>
    <w:rsid w:val="00046F9E"/>
    <w:pPr>
      <w:keepNext/>
      <w:keepLines/>
      <w:tabs>
        <w:tab w:val="center" w:leader="dot" w:pos="8640"/>
        <w:tab w:val="left" w:pos="8789"/>
        <w:tab w:val="left" w:pos="9072"/>
      </w:tabs>
      <w:spacing w:after="0" w:line="240" w:lineRule="auto"/>
      <w:ind w:left="720"/>
    </w:pPr>
    <w:rPr>
      <w:rFonts w:ascii="Arial" w:eastAsia="Times New Roman" w:hAnsi="Arial" w:cs="Arial"/>
      <w:sz w:val="20"/>
      <w:szCs w:val="20"/>
      <w:lang w:eastAsia="ja-JP"/>
    </w:rPr>
  </w:style>
  <w:style w:type="paragraph" w:customStyle="1" w:styleId="respos">
    <w:name w:val="respos"/>
    <w:basedOn w:val="resptext"/>
    <w:uiPriority w:val="99"/>
    <w:semiHidden/>
    <w:rsid w:val="00046F9E"/>
  </w:style>
  <w:style w:type="paragraph" w:customStyle="1" w:styleId="colother">
    <w:name w:val="colother"/>
    <w:basedOn w:val="col"/>
    <w:uiPriority w:val="99"/>
    <w:semiHidden/>
    <w:rsid w:val="00046F9E"/>
  </w:style>
  <w:style w:type="paragraph" w:customStyle="1" w:styleId="respnumtext">
    <w:name w:val="respnumtext"/>
    <w:basedOn w:val="resptext"/>
    <w:uiPriority w:val="99"/>
    <w:semiHidden/>
    <w:rsid w:val="00046F9E"/>
    <w:pPr>
      <w:tabs>
        <w:tab w:val="center" w:leader="underscore" w:pos="8640"/>
      </w:tabs>
    </w:pPr>
  </w:style>
  <w:style w:type="paragraph" w:customStyle="1" w:styleId="QEND">
    <w:name w:val="QEND"/>
    <w:basedOn w:val="COLBREAK"/>
    <w:uiPriority w:val="99"/>
    <w:semiHidden/>
    <w:rsid w:val="00046F9E"/>
  </w:style>
  <w:style w:type="paragraph" w:customStyle="1" w:styleId="qtextc">
    <w:name w:val="qtextc"/>
    <w:basedOn w:val="qtext"/>
    <w:uiPriority w:val="99"/>
    <w:semiHidden/>
    <w:rsid w:val="00046F9E"/>
  </w:style>
  <w:style w:type="paragraph" w:customStyle="1" w:styleId="btext">
    <w:name w:val="btext"/>
    <w:basedOn w:val="qtext"/>
    <w:uiPriority w:val="99"/>
    <w:semiHidden/>
    <w:rsid w:val="00046F9E"/>
    <w:pPr>
      <w:spacing w:before="120"/>
    </w:pPr>
  </w:style>
  <w:style w:type="paragraph" w:customStyle="1" w:styleId="tabhead">
    <w:name w:val="tabhead"/>
    <w:basedOn w:val="Normal"/>
    <w:uiPriority w:val="99"/>
    <w:semiHidden/>
    <w:rsid w:val="00046F9E"/>
    <w:pPr>
      <w:keepNext/>
      <w:keepLines/>
      <w:spacing w:before="120" w:after="120" w:line="240" w:lineRule="auto"/>
      <w:jc w:val="center"/>
    </w:pPr>
    <w:rPr>
      <w:rFonts w:ascii="Arial" w:eastAsia="Times New Roman" w:hAnsi="Arial" w:cs="Arial"/>
      <w:b/>
      <w:bCs/>
      <w:sz w:val="20"/>
      <w:szCs w:val="20"/>
      <w:lang w:eastAsia="ja-JP"/>
    </w:rPr>
  </w:style>
  <w:style w:type="paragraph" w:customStyle="1" w:styleId="tabbody">
    <w:name w:val="tabbody"/>
    <w:basedOn w:val="Normal"/>
    <w:uiPriority w:val="99"/>
    <w:semiHidden/>
    <w:rsid w:val="00046F9E"/>
    <w:pPr>
      <w:keepNext/>
      <w:keepLines/>
      <w:spacing w:after="0" w:line="240" w:lineRule="auto"/>
      <w:jc w:val="center"/>
    </w:pPr>
    <w:rPr>
      <w:rFonts w:ascii="Arial" w:eastAsia="Times New Roman" w:hAnsi="Arial" w:cs="Arial"/>
      <w:sz w:val="20"/>
      <w:szCs w:val="20"/>
      <w:lang w:eastAsia="ja-JP"/>
    </w:rPr>
  </w:style>
  <w:style w:type="paragraph" w:customStyle="1" w:styleId="tabside">
    <w:name w:val="tabside"/>
    <w:basedOn w:val="Normal"/>
    <w:uiPriority w:val="99"/>
    <w:semiHidden/>
    <w:rsid w:val="00046F9E"/>
    <w:pPr>
      <w:keepNext/>
      <w:keepLines/>
      <w:spacing w:after="0" w:line="240" w:lineRule="auto"/>
    </w:pPr>
    <w:rPr>
      <w:rFonts w:ascii="Arial" w:eastAsia="Times New Roman" w:hAnsi="Arial" w:cs="Arial"/>
      <w:sz w:val="20"/>
      <w:szCs w:val="20"/>
      <w:lang w:eastAsia="ja-JP"/>
    </w:rPr>
  </w:style>
  <w:style w:type="paragraph" w:customStyle="1" w:styleId="tabhead1">
    <w:name w:val="tabhead1"/>
    <w:basedOn w:val="tabhead"/>
    <w:uiPriority w:val="99"/>
    <w:semiHidden/>
    <w:rsid w:val="00046F9E"/>
    <w:pPr>
      <w:pBdr>
        <w:bottom w:val="single" w:sz="6" w:space="2" w:color="auto"/>
      </w:pBdr>
    </w:pPr>
  </w:style>
  <w:style w:type="paragraph" w:customStyle="1" w:styleId="questionnumber0">
    <w:name w:val="questionnumber"/>
    <w:basedOn w:val="Normal"/>
    <w:uiPriority w:val="99"/>
    <w:semiHidden/>
    <w:rsid w:val="00046F9E"/>
    <w:pPr>
      <w:spacing w:before="100" w:beforeAutospacing="1" w:after="100" w:afterAutospacing="1" w:line="240" w:lineRule="auto"/>
    </w:pPr>
    <w:rPr>
      <w:rFonts w:ascii="Arial" w:eastAsia="Times New Roman" w:hAnsi="Arial" w:cs="Times New Roman"/>
      <w:szCs w:val="24"/>
      <w:lang w:val="en-US"/>
    </w:rPr>
  </w:style>
  <w:style w:type="character" w:customStyle="1" w:styleId="QuestiontextChar">
    <w:name w:val="Question text Char"/>
    <w:basedOn w:val="DefaultParagraphFont"/>
    <w:link w:val="Questiontext0"/>
    <w:uiPriority w:val="99"/>
    <w:semiHidden/>
    <w:locked/>
    <w:rsid w:val="00046F9E"/>
    <w:rPr>
      <w:rFonts w:ascii="Arial" w:eastAsia="Times New Roman" w:hAnsi="Arial" w:cs="Arial"/>
      <w:b/>
      <w:sz w:val="24"/>
      <w:szCs w:val="24"/>
      <w:lang w:eastAsia="fr-FR"/>
    </w:rPr>
  </w:style>
  <w:style w:type="paragraph" w:customStyle="1" w:styleId="Questiontext0">
    <w:name w:val="Question text"/>
    <w:basedOn w:val="Normal"/>
    <w:link w:val="QuestiontextChar"/>
    <w:uiPriority w:val="99"/>
    <w:semiHidden/>
    <w:rsid w:val="00046F9E"/>
    <w:pPr>
      <w:tabs>
        <w:tab w:val="left" w:pos="1134"/>
      </w:tabs>
      <w:spacing w:after="120" w:line="240" w:lineRule="auto"/>
    </w:pPr>
    <w:rPr>
      <w:rFonts w:ascii="Arial" w:eastAsia="Times New Roman" w:hAnsi="Arial" w:cs="Arial"/>
      <w:b/>
      <w:szCs w:val="24"/>
      <w:lang w:eastAsia="fr-FR"/>
    </w:rPr>
  </w:style>
  <w:style w:type="character" w:customStyle="1" w:styleId="INSTRUCTIONChar">
    <w:name w:val="INSTRUCTION Char"/>
    <w:basedOn w:val="DefaultParagraphFont"/>
    <w:link w:val="INSTRUCTION"/>
    <w:uiPriority w:val="99"/>
    <w:semiHidden/>
    <w:locked/>
    <w:rsid w:val="00046F9E"/>
    <w:rPr>
      <w:rFonts w:ascii="Arial" w:eastAsia="Times New Roman" w:hAnsi="Arial" w:cs="Arial"/>
      <w:b/>
      <w:color w:val="FF0000"/>
      <w:sz w:val="24"/>
      <w:szCs w:val="24"/>
      <w:lang w:eastAsia="fr-FR"/>
    </w:rPr>
  </w:style>
  <w:style w:type="paragraph" w:customStyle="1" w:styleId="INSTRUCTION">
    <w:name w:val="INSTRUCTION"/>
    <w:basedOn w:val="Normal"/>
    <w:link w:val="INSTRUCTIONChar"/>
    <w:uiPriority w:val="99"/>
    <w:semiHidden/>
    <w:rsid w:val="00046F9E"/>
    <w:pPr>
      <w:spacing w:after="0" w:line="240" w:lineRule="auto"/>
    </w:pPr>
    <w:rPr>
      <w:rFonts w:ascii="Arial" w:eastAsia="Times New Roman" w:hAnsi="Arial" w:cs="Arial"/>
      <w:b/>
      <w:color w:val="FF0000"/>
      <w:szCs w:val="24"/>
      <w:lang w:eastAsia="fr-FR"/>
    </w:rPr>
  </w:style>
  <w:style w:type="paragraph" w:customStyle="1" w:styleId="Default">
    <w:name w:val="Default"/>
    <w:uiPriority w:val="99"/>
    <w:semiHidden/>
    <w:rsid w:val="00046F9E"/>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Question">
    <w:name w:val="Question"/>
    <w:basedOn w:val="Normal"/>
    <w:next w:val="Normal"/>
    <w:uiPriority w:val="99"/>
    <w:rsid w:val="00046F9E"/>
    <w:pPr>
      <w:spacing w:after="0" w:line="240" w:lineRule="auto"/>
    </w:pPr>
    <w:rPr>
      <w:rFonts w:ascii="Arial" w:eastAsia="Times New Roman" w:hAnsi="Arial" w:cs="Times New Roman"/>
      <w:b/>
      <w:sz w:val="20"/>
      <w:szCs w:val="20"/>
      <w:lang w:eastAsia="en-GB"/>
    </w:rPr>
  </w:style>
  <w:style w:type="paragraph" w:customStyle="1" w:styleId="StyleRightLinespacingMultiple09li">
    <w:name w:val="Style Right Line spacing:  Multiple 0.9 li"/>
    <w:basedOn w:val="Normal"/>
    <w:uiPriority w:val="99"/>
    <w:semiHidden/>
    <w:rsid w:val="00046F9E"/>
    <w:pPr>
      <w:spacing w:before="20" w:after="60" w:line="216" w:lineRule="auto"/>
      <w:jc w:val="right"/>
    </w:pPr>
    <w:rPr>
      <w:rFonts w:ascii="Arial" w:hAnsi="Arial" w:cs="Arial"/>
      <w:sz w:val="22"/>
    </w:rPr>
  </w:style>
  <w:style w:type="paragraph" w:customStyle="1" w:styleId="col1R">
    <w:name w:val="col 1(R)"/>
    <w:basedOn w:val="Normal"/>
    <w:uiPriority w:val="99"/>
    <w:semiHidden/>
    <w:rsid w:val="00046F9E"/>
    <w:pPr>
      <w:spacing w:after="0" w:line="240" w:lineRule="auto"/>
    </w:pPr>
    <w:rPr>
      <w:rFonts w:ascii="Dutch Roman 11pt" w:hAnsi="Dutch Roman 11pt" w:cs="Calibri"/>
      <w:sz w:val="22"/>
      <w:lang w:eastAsia="en-GB"/>
    </w:rPr>
  </w:style>
  <w:style w:type="paragraph" w:customStyle="1" w:styleId="Tabletextcentred">
    <w:name w:val="Table text centred"/>
    <w:basedOn w:val="Tabletext"/>
    <w:uiPriority w:val="99"/>
    <w:semiHidden/>
    <w:qFormat/>
    <w:rsid w:val="00046F9E"/>
    <w:pPr>
      <w:spacing w:before="60" w:after="60" w:line="240" w:lineRule="auto"/>
      <w:jc w:val="center"/>
    </w:pPr>
    <w:rPr>
      <w:rFonts w:ascii="Arial" w:hAnsi="Arial"/>
      <w:color w:val="auto"/>
      <w:sz w:val="22"/>
    </w:rPr>
  </w:style>
  <w:style w:type="character" w:styleId="PageNumber">
    <w:name w:val="page number"/>
    <w:basedOn w:val="DefaultParagraphFont"/>
    <w:uiPriority w:val="99"/>
    <w:semiHidden/>
    <w:unhideWhenUsed/>
    <w:rsid w:val="00046F9E"/>
    <w:rPr>
      <w:rFonts w:ascii="Times New Roman" w:hAnsi="Times New Roman" w:cs="Times New Roman" w:hint="default"/>
    </w:rPr>
  </w:style>
  <w:style w:type="character" w:styleId="EndnoteReference">
    <w:name w:val="endnote reference"/>
    <w:basedOn w:val="DefaultParagraphFont"/>
    <w:uiPriority w:val="99"/>
    <w:semiHidden/>
    <w:unhideWhenUsed/>
    <w:rsid w:val="00046F9E"/>
    <w:rPr>
      <w:vertAlign w:val="superscript"/>
    </w:rPr>
  </w:style>
  <w:style w:type="character" w:customStyle="1" w:styleId="QuestionRoutingInline">
    <w:name w:val="Question Routing Inline"/>
    <w:uiPriority w:val="99"/>
    <w:rsid w:val="00046F9E"/>
    <w:rPr>
      <w:rFonts w:ascii="Arial" w:hAnsi="Arial" w:cs="Arial" w:hint="default"/>
      <w:caps/>
    </w:rPr>
  </w:style>
  <w:style w:type="character" w:customStyle="1" w:styleId="st1">
    <w:name w:val="st1"/>
    <w:basedOn w:val="DefaultParagraphFont"/>
    <w:uiPriority w:val="99"/>
    <w:rsid w:val="00046F9E"/>
    <w:rPr>
      <w:rFonts w:ascii="Times New Roman" w:hAnsi="Times New Roman" w:cs="Times New Roman" w:hint="default"/>
    </w:rPr>
  </w:style>
  <w:style w:type="character" w:customStyle="1" w:styleId="HeaderChar1">
    <w:name w:val="Header Char1"/>
    <w:basedOn w:val="DefaultParagraphFont"/>
    <w:uiPriority w:val="99"/>
    <w:locked/>
    <w:rsid w:val="00046F9E"/>
    <w:rPr>
      <w:rFonts w:ascii="Arial" w:eastAsiaTheme="minorHAnsi" w:hAnsi="Arial" w:cs="Arial" w:hint="default"/>
      <w:sz w:val="24"/>
      <w:szCs w:val="24"/>
    </w:rPr>
  </w:style>
  <w:style w:type="character" w:customStyle="1" w:styleId="xtext1">
    <w:name w:val="xtext1"/>
    <w:rsid w:val="00046F9E"/>
    <w:rPr>
      <w:rFonts w:ascii="Arial" w:hAnsi="Arial" w:cs="Arial" w:hint="default"/>
      <w:color w:val="000000"/>
      <w:sz w:val="21"/>
      <w:szCs w:val="21"/>
    </w:rPr>
  </w:style>
  <w:style w:type="character" w:customStyle="1" w:styleId="UnresolvedMention1">
    <w:name w:val="Unresolved Mention1"/>
    <w:basedOn w:val="DefaultParagraphFont"/>
    <w:uiPriority w:val="99"/>
    <w:semiHidden/>
    <w:rsid w:val="00046F9E"/>
    <w:rPr>
      <w:color w:val="808080"/>
      <w:shd w:val="clear" w:color="auto" w:fill="E6E6E6"/>
    </w:rPr>
  </w:style>
  <w:style w:type="paragraph" w:customStyle="1" w:styleId="Routing">
    <w:name w:val="Routing"/>
    <w:basedOn w:val="Normal"/>
    <w:link w:val="RoutingChar"/>
    <w:qFormat/>
    <w:rsid w:val="00046F9E"/>
    <w:pPr>
      <w:spacing w:after="0" w:line="240" w:lineRule="auto"/>
    </w:pPr>
    <w:rPr>
      <w:rFonts w:ascii="Segoe UI" w:eastAsia="Quattrocento Sans" w:hAnsi="Segoe UI" w:cs="Quattrocento Sans"/>
      <w:i/>
      <w:color w:val="0054BA" w:themeColor="accent2"/>
      <w:sz w:val="20"/>
      <w:szCs w:val="20"/>
      <w:lang w:eastAsia="en-GB"/>
    </w:rPr>
  </w:style>
  <w:style w:type="character" w:customStyle="1" w:styleId="RoutingChar">
    <w:name w:val="Routing Char"/>
    <w:basedOn w:val="DefaultParagraphFont"/>
    <w:link w:val="Routing"/>
    <w:rsid w:val="00046F9E"/>
    <w:rPr>
      <w:rFonts w:ascii="Segoe UI" w:eastAsia="Quattrocento Sans" w:hAnsi="Segoe UI" w:cs="Quattrocento Sans"/>
      <w:i/>
      <w:color w:val="0054BA" w:themeColor="accent2"/>
      <w:sz w:val="20"/>
      <w:szCs w:val="20"/>
      <w:lang w:eastAsia="en-GB"/>
    </w:rPr>
  </w:style>
  <w:style w:type="character" w:customStyle="1" w:styleId="05BBullets2ndlevelChar">
    <w:name w:val="05B Bullets (2nd level) Char"/>
    <w:basedOn w:val="DefaultParagraphFont"/>
    <w:link w:val="05BBullets2ndlevel"/>
    <w:locked/>
    <w:rsid w:val="00046F9E"/>
    <w:rPr>
      <w:rFonts w:ascii="Arial" w:eastAsia="Times New Roman" w:hAnsi="Arial" w:cs="Arial"/>
      <w:color w:val="1D1D1B" w:themeColor="text1"/>
      <w:szCs w:val="20"/>
      <w:lang w:eastAsia="en-GB"/>
    </w:rPr>
  </w:style>
  <w:style w:type="character" w:customStyle="1" w:styleId="05ABullets1stlevelChar">
    <w:name w:val="05A Bullets (1st level) Char"/>
    <w:basedOn w:val="04ABodyTextChar"/>
    <w:link w:val="05ABullets1stlevel"/>
    <w:uiPriority w:val="99"/>
    <w:rsid w:val="00046F9E"/>
    <w:rPr>
      <w:rFonts w:ascii="Segoe UI Light" w:eastAsia="Times New Roman" w:hAnsi="Segoe UI Light" w:cs="Arial"/>
      <w:color w:val="1D1D1B" w:themeColor="text1"/>
      <w:sz w:val="24"/>
      <w:szCs w:val="20"/>
      <w:lang w:eastAsia="en-GB"/>
    </w:rPr>
  </w:style>
  <w:style w:type="paragraph" w:customStyle="1" w:styleId="norm">
    <w:name w:val="norm"/>
    <w:basedOn w:val="Normal"/>
    <w:uiPriority w:val="99"/>
    <w:rsid w:val="00046F9E"/>
    <w:pPr>
      <w:tabs>
        <w:tab w:val="left" w:pos="851"/>
        <w:tab w:val="right" w:pos="9356"/>
      </w:tabs>
      <w:spacing w:before="60" w:after="60" w:line="360" w:lineRule="atLeast"/>
      <w:jc w:val="both"/>
    </w:pPr>
    <w:rPr>
      <w:rFonts w:ascii="Times New Roman" w:eastAsia="Times New Roman" w:hAnsi="Times New Roman" w:cs="Times New Roman"/>
      <w:sz w:val="22"/>
      <w:szCs w:val="20"/>
      <w:lang w:eastAsia="en-GB"/>
    </w:rPr>
  </w:style>
  <w:style w:type="paragraph" w:customStyle="1" w:styleId="MinorBullet1">
    <w:name w:val="Minor Bullet 1"/>
    <w:basedOn w:val="Normal"/>
    <w:uiPriority w:val="8"/>
    <w:semiHidden/>
    <w:qFormat/>
    <w:rsid w:val="00B2786E"/>
    <w:pPr>
      <w:tabs>
        <w:tab w:val="num" w:pos="360"/>
        <w:tab w:val="num" w:pos="794"/>
      </w:tabs>
      <w:spacing w:before="60" w:after="60" w:line="240" w:lineRule="auto"/>
      <w:ind w:left="794" w:hanging="363"/>
      <w:jc w:val="both"/>
    </w:pPr>
    <w:rPr>
      <w:rFonts w:ascii="Calibri" w:eastAsia="Calibri" w:hAnsi="Calibri" w:cs="Arial"/>
      <w:sz w:val="22"/>
    </w:rPr>
  </w:style>
  <w:style w:type="paragraph" w:customStyle="1" w:styleId="MinorBullet2">
    <w:name w:val="Minor Bullet 2"/>
    <w:basedOn w:val="Normal"/>
    <w:uiPriority w:val="8"/>
    <w:semiHidden/>
    <w:qFormat/>
    <w:rsid w:val="00B2786E"/>
    <w:pPr>
      <w:tabs>
        <w:tab w:val="num" w:pos="360"/>
        <w:tab w:val="num" w:pos="1157"/>
      </w:tabs>
      <w:spacing w:before="60" w:after="60" w:line="240" w:lineRule="auto"/>
      <w:ind w:left="1157" w:hanging="363"/>
      <w:jc w:val="both"/>
    </w:pPr>
    <w:rPr>
      <w:rFonts w:ascii="Calibri" w:eastAsia="Calibri" w:hAnsi="Calibri" w:cs="Arial"/>
      <w:sz w:val="22"/>
    </w:rPr>
  </w:style>
  <w:style w:type="paragraph" w:customStyle="1" w:styleId="MinorBullet3">
    <w:name w:val="Minor Bullet 3"/>
    <w:basedOn w:val="Normal"/>
    <w:uiPriority w:val="8"/>
    <w:semiHidden/>
    <w:qFormat/>
    <w:rsid w:val="00B2786E"/>
    <w:pPr>
      <w:tabs>
        <w:tab w:val="num" w:pos="360"/>
        <w:tab w:val="num" w:pos="1520"/>
      </w:tabs>
      <w:spacing w:before="60" w:after="60" w:line="240" w:lineRule="auto"/>
      <w:ind w:left="1520" w:hanging="363"/>
      <w:jc w:val="both"/>
    </w:pPr>
    <w:rPr>
      <w:rFonts w:ascii="Calibri" w:eastAsia="Calibri" w:hAnsi="Calibri" w:cs="Arial"/>
      <w:sz w:val="22"/>
    </w:rPr>
  </w:style>
  <w:style w:type="character" w:customStyle="1" w:styleId="cf01">
    <w:name w:val="cf01"/>
    <w:basedOn w:val="DefaultParagraphFont"/>
    <w:rsid w:val="0085077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4221">
      <w:bodyDiv w:val="1"/>
      <w:marLeft w:val="0"/>
      <w:marRight w:val="0"/>
      <w:marTop w:val="0"/>
      <w:marBottom w:val="0"/>
      <w:divBdr>
        <w:top w:val="none" w:sz="0" w:space="0" w:color="auto"/>
        <w:left w:val="none" w:sz="0" w:space="0" w:color="auto"/>
        <w:bottom w:val="none" w:sz="0" w:space="0" w:color="auto"/>
        <w:right w:val="none" w:sz="0" w:space="0" w:color="auto"/>
      </w:divBdr>
    </w:div>
    <w:div w:id="174003328">
      <w:bodyDiv w:val="1"/>
      <w:marLeft w:val="0"/>
      <w:marRight w:val="0"/>
      <w:marTop w:val="0"/>
      <w:marBottom w:val="0"/>
      <w:divBdr>
        <w:top w:val="none" w:sz="0" w:space="0" w:color="auto"/>
        <w:left w:val="none" w:sz="0" w:space="0" w:color="auto"/>
        <w:bottom w:val="none" w:sz="0" w:space="0" w:color="auto"/>
        <w:right w:val="none" w:sz="0" w:space="0" w:color="auto"/>
      </w:divBdr>
    </w:div>
    <w:div w:id="249236938">
      <w:bodyDiv w:val="1"/>
      <w:marLeft w:val="0"/>
      <w:marRight w:val="0"/>
      <w:marTop w:val="0"/>
      <w:marBottom w:val="0"/>
      <w:divBdr>
        <w:top w:val="none" w:sz="0" w:space="0" w:color="auto"/>
        <w:left w:val="none" w:sz="0" w:space="0" w:color="auto"/>
        <w:bottom w:val="none" w:sz="0" w:space="0" w:color="auto"/>
        <w:right w:val="none" w:sz="0" w:space="0" w:color="auto"/>
      </w:divBdr>
    </w:div>
    <w:div w:id="310713720">
      <w:bodyDiv w:val="1"/>
      <w:marLeft w:val="0"/>
      <w:marRight w:val="0"/>
      <w:marTop w:val="0"/>
      <w:marBottom w:val="0"/>
      <w:divBdr>
        <w:top w:val="none" w:sz="0" w:space="0" w:color="auto"/>
        <w:left w:val="none" w:sz="0" w:space="0" w:color="auto"/>
        <w:bottom w:val="none" w:sz="0" w:space="0" w:color="auto"/>
        <w:right w:val="none" w:sz="0" w:space="0" w:color="auto"/>
      </w:divBdr>
    </w:div>
    <w:div w:id="318656711">
      <w:bodyDiv w:val="1"/>
      <w:marLeft w:val="0"/>
      <w:marRight w:val="0"/>
      <w:marTop w:val="0"/>
      <w:marBottom w:val="0"/>
      <w:divBdr>
        <w:top w:val="none" w:sz="0" w:space="0" w:color="auto"/>
        <w:left w:val="none" w:sz="0" w:space="0" w:color="auto"/>
        <w:bottom w:val="none" w:sz="0" w:space="0" w:color="auto"/>
        <w:right w:val="none" w:sz="0" w:space="0" w:color="auto"/>
      </w:divBdr>
    </w:div>
    <w:div w:id="364985293">
      <w:bodyDiv w:val="1"/>
      <w:marLeft w:val="0"/>
      <w:marRight w:val="0"/>
      <w:marTop w:val="0"/>
      <w:marBottom w:val="0"/>
      <w:divBdr>
        <w:top w:val="none" w:sz="0" w:space="0" w:color="auto"/>
        <w:left w:val="none" w:sz="0" w:space="0" w:color="auto"/>
        <w:bottom w:val="none" w:sz="0" w:space="0" w:color="auto"/>
        <w:right w:val="none" w:sz="0" w:space="0" w:color="auto"/>
      </w:divBdr>
    </w:div>
    <w:div w:id="369958784">
      <w:bodyDiv w:val="1"/>
      <w:marLeft w:val="0"/>
      <w:marRight w:val="0"/>
      <w:marTop w:val="0"/>
      <w:marBottom w:val="0"/>
      <w:divBdr>
        <w:top w:val="none" w:sz="0" w:space="0" w:color="auto"/>
        <w:left w:val="none" w:sz="0" w:space="0" w:color="auto"/>
        <w:bottom w:val="none" w:sz="0" w:space="0" w:color="auto"/>
        <w:right w:val="none" w:sz="0" w:space="0" w:color="auto"/>
      </w:divBdr>
    </w:div>
    <w:div w:id="450830769">
      <w:bodyDiv w:val="1"/>
      <w:marLeft w:val="0"/>
      <w:marRight w:val="0"/>
      <w:marTop w:val="0"/>
      <w:marBottom w:val="0"/>
      <w:divBdr>
        <w:top w:val="none" w:sz="0" w:space="0" w:color="auto"/>
        <w:left w:val="none" w:sz="0" w:space="0" w:color="auto"/>
        <w:bottom w:val="none" w:sz="0" w:space="0" w:color="auto"/>
        <w:right w:val="none" w:sz="0" w:space="0" w:color="auto"/>
      </w:divBdr>
    </w:div>
    <w:div w:id="451287151">
      <w:bodyDiv w:val="1"/>
      <w:marLeft w:val="0"/>
      <w:marRight w:val="0"/>
      <w:marTop w:val="0"/>
      <w:marBottom w:val="0"/>
      <w:divBdr>
        <w:top w:val="none" w:sz="0" w:space="0" w:color="auto"/>
        <w:left w:val="none" w:sz="0" w:space="0" w:color="auto"/>
        <w:bottom w:val="none" w:sz="0" w:space="0" w:color="auto"/>
        <w:right w:val="none" w:sz="0" w:space="0" w:color="auto"/>
      </w:divBdr>
    </w:div>
    <w:div w:id="481120966">
      <w:bodyDiv w:val="1"/>
      <w:marLeft w:val="0"/>
      <w:marRight w:val="0"/>
      <w:marTop w:val="0"/>
      <w:marBottom w:val="0"/>
      <w:divBdr>
        <w:top w:val="none" w:sz="0" w:space="0" w:color="auto"/>
        <w:left w:val="none" w:sz="0" w:space="0" w:color="auto"/>
        <w:bottom w:val="none" w:sz="0" w:space="0" w:color="auto"/>
        <w:right w:val="none" w:sz="0" w:space="0" w:color="auto"/>
      </w:divBdr>
    </w:div>
    <w:div w:id="567686434">
      <w:bodyDiv w:val="1"/>
      <w:marLeft w:val="0"/>
      <w:marRight w:val="0"/>
      <w:marTop w:val="0"/>
      <w:marBottom w:val="0"/>
      <w:divBdr>
        <w:top w:val="none" w:sz="0" w:space="0" w:color="auto"/>
        <w:left w:val="none" w:sz="0" w:space="0" w:color="auto"/>
        <w:bottom w:val="none" w:sz="0" w:space="0" w:color="auto"/>
        <w:right w:val="none" w:sz="0" w:space="0" w:color="auto"/>
      </w:divBdr>
    </w:div>
    <w:div w:id="590091675">
      <w:bodyDiv w:val="1"/>
      <w:marLeft w:val="0"/>
      <w:marRight w:val="0"/>
      <w:marTop w:val="0"/>
      <w:marBottom w:val="0"/>
      <w:divBdr>
        <w:top w:val="none" w:sz="0" w:space="0" w:color="auto"/>
        <w:left w:val="none" w:sz="0" w:space="0" w:color="auto"/>
        <w:bottom w:val="none" w:sz="0" w:space="0" w:color="auto"/>
        <w:right w:val="none" w:sz="0" w:space="0" w:color="auto"/>
      </w:divBdr>
    </w:div>
    <w:div w:id="640767416">
      <w:bodyDiv w:val="1"/>
      <w:marLeft w:val="0"/>
      <w:marRight w:val="0"/>
      <w:marTop w:val="0"/>
      <w:marBottom w:val="0"/>
      <w:divBdr>
        <w:top w:val="none" w:sz="0" w:space="0" w:color="auto"/>
        <w:left w:val="none" w:sz="0" w:space="0" w:color="auto"/>
        <w:bottom w:val="none" w:sz="0" w:space="0" w:color="auto"/>
        <w:right w:val="none" w:sz="0" w:space="0" w:color="auto"/>
      </w:divBdr>
    </w:div>
    <w:div w:id="701201236">
      <w:bodyDiv w:val="1"/>
      <w:marLeft w:val="0"/>
      <w:marRight w:val="0"/>
      <w:marTop w:val="0"/>
      <w:marBottom w:val="0"/>
      <w:divBdr>
        <w:top w:val="none" w:sz="0" w:space="0" w:color="auto"/>
        <w:left w:val="none" w:sz="0" w:space="0" w:color="auto"/>
        <w:bottom w:val="none" w:sz="0" w:space="0" w:color="auto"/>
        <w:right w:val="none" w:sz="0" w:space="0" w:color="auto"/>
      </w:divBdr>
    </w:div>
    <w:div w:id="763919604">
      <w:bodyDiv w:val="1"/>
      <w:marLeft w:val="0"/>
      <w:marRight w:val="0"/>
      <w:marTop w:val="0"/>
      <w:marBottom w:val="0"/>
      <w:divBdr>
        <w:top w:val="none" w:sz="0" w:space="0" w:color="auto"/>
        <w:left w:val="none" w:sz="0" w:space="0" w:color="auto"/>
        <w:bottom w:val="none" w:sz="0" w:space="0" w:color="auto"/>
        <w:right w:val="none" w:sz="0" w:space="0" w:color="auto"/>
      </w:divBdr>
    </w:div>
    <w:div w:id="802045404">
      <w:bodyDiv w:val="1"/>
      <w:marLeft w:val="0"/>
      <w:marRight w:val="0"/>
      <w:marTop w:val="0"/>
      <w:marBottom w:val="0"/>
      <w:divBdr>
        <w:top w:val="none" w:sz="0" w:space="0" w:color="auto"/>
        <w:left w:val="none" w:sz="0" w:space="0" w:color="auto"/>
        <w:bottom w:val="none" w:sz="0" w:space="0" w:color="auto"/>
        <w:right w:val="none" w:sz="0" w:space="0" w:color="auto"/>
      </w:divBdr>
    </w:div>
    <w:div w:id="824663709">
      <w:bodyDiv w:val="1"/>
      <w:marLeft w:val="0"/>
      <w:marRight w:val="0"/>
      <w:marTop w:val="0"/>
      <w:marBottom w:val="0"/>
      <w:divBdr>
        <w:top w:val="none" w:sz="0" w:space="0" w:color="auto"/>
        <w:left w:val="none" w:sz="0" w:space="0" w:color="auto"/>
        <w:bottom w:val="none" w:sz="0" w:space="0" w:color="auto"/>
        <w:right w:val="none" w:sz="0" w:space="0" w:color="auto"/>
      </w:divBdr>
    </w:div>
    <w:div w:id="843665046">
      <w:bodyDiv w:val="1"/>
      <w:marLeft w:val="0"/>
      <w:marRight w:val="0"/>
      <w:marTop w:val="0"/>
      <w:marBottom w:val="0"/>
      <w:divBdr>
        <w:top w:val="none" w:sz="0" w:space="0" w:color="auto"/>
        <w:left w:val="none" w:sz="0" w:space="0" w:color="auto"/>
        <w:bottom w:val="none" w:sz="0" w:space="0" w:color="auto"/>
        <w:right w:val="none" w:sz="0" w:space="0" w:color="auto"/>
      </w:divBdr>
    </w:div>
    <w:div w:id="892698262">
      <w:bodyDiv w:val="1"/>
      <w:marLeft w:val="0"/>
      <w:marRight w:val="0"/>
      <w:marTop w:val="0"/>
      <w:marBottom w:val="0"/>
      <w:divBdr>
        <w:top w:val="none" w:sz="0" w:space="0" w:color="auto"/>
        <w:left w:val="none" w:sz="0" w:space="0" w:color="auto"/>
        <w:bottom w:val="none" w:sz="0" w:space="0" w:color="auto"/>
        <w:right w:val="none" w:sz="0" w:space="0" w:color="auto"/>
      </w:divBdr>
    </w:div>
    <w:div w:id="930940261">
      <w:bodyDiv w:val="1"/>
      <w:marLeft w:val="0"/>
      <w:marRight w:val="0"/>
      <w:marTop w:val="0"/>
      <w:marBottom w:val="0"/>
      <w:divBdr>
        <w:top w:val="none" w:sz="0" w:space="0" w:color="auto"/>
        <w:left w:val="none" w:sz="0" w:space="0" w:color="auto"/>
        <w:bottom w:val="none" w:sz="0" w:space="0" w:color="auto"/>
        <w:right w:val="none" w:sz="0" w:space="0" w:color="auto"/>
      </w:divBdr>
    </w:div>
    <w:div w:id="1023047464">
      <w:bodyDiv w:val="1"/>
      <w:marLeft w:val="0"/>
      <w:marRight w:val="0"/>
      <w:marTop w:val="0"/>
      <w:marBottom w:val="0"/>
      <w:divBdr>
        <w:top w:val="none" w:sz="0" w:space="0" w:color="auto"/>
        <w:left w:val="none" w:sz="0" w:space="0" w:color="auto"/>
        <w:bottom w:val="none" w:sz="0" w:space="0" w:color="auto"/>
        <w:right w:val="none" w:sz="0" w:space="0" w:color="auto"/>
      </w:divBdr>
    </w:div>
    <w:div w:id="1117791477">
      <w:bodyDiv w:val="1"/>
      <w:marLeft w:val="0"/>
      <w:marRight w:val="0"/>
      <w:marTop w:val="0"/>
      <w:marBottom w:val="0"/>
      <w:divBdr>
        <w:top w:val="none" w:sz="0" w:space="0" w:color="auto"/>
        <w:left w:val="none" w:sz="0" w:space="0" w:color="auto"/>
        <w:bottom w:val="none" w:sz="0" w:space="0" w:color="auto"/>
        <w:right w:val="none" w:sz="0" w:space="0" w:color="auto"/>
      </w:divBdr>
    </w:div>
    <w:div w:id="1149637784">
      <w:bodyDiv w:val="1"/>
      <w:marLeft w:val="0"/>
      <w:marRight w:val="0"/>
      <w:marTop w:val="0"/>
      <w:marBottom w:val="0"/>
      <w:divBdr>
        <w:top w:val="none" w:sz="0" w:space="0" w:color="auto"/>
        <w:left w:val="none" w:sz="0" w:space="0" w:color="auto"/>
        <w:bottom w:val="none" w:sz="0" w:space="0" w:color="auto"/>
        <w:right w:val="none" w:sz="0" w:space="0" w:color="auto"/>
      </w:divBdr>
    </w:div>
    <w:div w:id="1159344744">
      <w:bodyDiv w:val="1"/>
      <w:marLeft w:val="0"/>
      <w:marRight w:val="0"/>
      <w:marTop w:val="0"/>
      <w:marBottom w:val="0"/>
      <w:divBdr>
        <w:top w:val="none" w:sz="0" w:space="0" w:color="auto"/>
        <w:left w:val="none" w:sz="0" w:space="0" w:color="auto"/>
        <w:bottom w:val="none" w:sz="0" w:space="0" w:color="auto"/>
        <w:right w:val="none" w:sz="0" w:space="0" w:color="auto"/>
      </w:divBdr>
    </w:div>
    <w:div w:id="1161505963">
      <w:bodyDiv w:val="1"/>
      <w:marLeft w:val="0"/>
      <w:marRight w:val="0"/>
      <w:marTop w:val="0"/>
      <w:marBottom w:val="0"/>
      <w:divBdr>
        <w:top w:val="none" w:sz="0" w:space="0" w:color="auto"/>
        <w:left w:val="none" w:sz="0" w:space="0" w:color="auto"/>
        <w:bottom w:val="none" w:sz="0" w:space="0" w:color="auto"/>
        <w:right w:val="none" w:sz="0" w:space="0" w:color="auto"/>
      </w:divBdr>
    </w:div>
    <w:div w:id="1211915222">
      <w:bodyDiv w:val="1"/>
      <w:marLeft w:val="0"/>
      <w:marRight w:val="0"/>
      <w:marTop w:val="0"/>
      <w:marBottom w:val="0"/>
      <w:divBdr>
        <w:top w:val="none" w:sz="0" w:space="0" w:color="auto"/>
        <w:left w:val="none" w:sz="0" w:space="0" w:color="auto"/>
        <w:bottom w:val="none" w:sz="0" w:space="0" w:color="auto"/>
        <w:right w:val="none" w:sz="0" w:space="0" w:color="auto"/>
      </w:divBdr>
    </w:div>
    <w:div w:id="1239444283">
      <w:bodyDiv w:val="1"/>
      <w:marLeft w:val="0"/>
      <w:marRight w:val="0"/>
      <w:marTop w:val="0"/>
      <w:marBottom w:val="0"/>
      <w:divBdr>
        <w:top w:val="none" w:sz="0" w:space="0" w:color="auto"/>
        <w:left w:val="none" w:sz="0" w:space="0" w:color="auto"/>
        <w:bottom w:val="none" w:sz="0" w:space="0" w:color="auto"/>
        <w:right w:val="none" w:sz="0" w:space="0" w:color="auto"/>
      </w:divBdr>
    </w:div>
    <w:div w:id="1269704330">
      <w:bodyDiv w:val="1"/>
      <w:marLeft w:val="0"/>
      <w:marRight w:val="0"/>
      <w:marTop w:val="0"/>
      <w:marBottom w:val="0"/>
      <w:divBdr>
        <w:top w:val="none" w:sz="0" w:space="0" w:color="auto"/>
        <w:left w:val="none" w:sz="0" w:space="0" w:color="auto"/>
        <w:bottom w:val="none" w:sz="0" w:space="0" w:color="auto"/>
        <w:right w:val="none" w:sz="0" w:space="0" w:color="auto"/>
      </w:divBdr>
    </w:div>
    <w:div w:id="1343312146">
      <w:bodyDiv w:val="1"/>
      <w:marLeft w:val="0"/>
      <w:marRight w:val="0"/>
      <w:marTop w:val="0"/>
      <w:marBottom w:val="0"/>
      <w:divBdr>
        <w:top w:val="none" w:sz="0" w:space="0" w:color="auto"/>
        <w:left w:val="none" w:sz="0" w:space="0" w:color="auto"/>
        <w:bottom w:val="none" w:sz="0" w:space="0" w:color="auto"/>
        <w:right w:val="none" w:sz="0" w:space="0" w:color="auto"/>
      </w:divBdr>
    </w:div>
    <w:div w:id="1364596783">
      <w:bodyDiv w:val="1"/>
      <w:marLeft w:val="0"/>
      <w:marRight w:val="0"/>
      <w:marTop w:val="0"/>
      <w:marBottom w:val="0"/>
      <w:divBdr>
        <w:top w:val="none" w:sz="0" w:space="0" w:color="auto"/>
        <w:left w:val="none" w:sz="0" w:space="0" w:color="auto"/>
        <w:bottom w:val="none" w:sz="0" w:space="0" w:color="auto"/>
        <w:right w:val="none" w:sz="0" w:space="0" w:color="auto"/>
      </w:divBdr>
    </w:div>
    <w:div w:id="1377512932">
      <w:bodyDiv w:val="1"/>
      <w:marLeft w:val="0"/>
      <w:marRight w:val="0"/>
      <w:marTop w:val="0"/>
      <w:marBottom w:val="0"/>
      <w:divBdr>
        <w:top w:val="none" w:sz="0" w:space="0" w:color="auto"/>
        <w:left w:val="none" w:sz="0" w:space="0" w:color="auto"/>
        <w:bottom w:val="none" w:sz="0" w:space="0" w:color="auto"/>
        <w:right w:val="none" w:sz="0" w:space="0" w:color="auto"/>
      </w:divBdr>
    </w:div>
    <w:div w:id="1383361304">
      <w:bodyDiv w:val="1"/>
      <w:marLeft w:val="0"/>
      <w:marRight w:val="0"/>
      <w:marTop w:val="0"/>
      <w:marBottom w:val="0"/>
      <w:divBdr>
        <w:top w:val="none" w:sz="0" w:space="0" w:color="auto"/>
        <w:left w:val="none" w:sz="0" w:space="0" w:color="auto"/>
        <w:bottom w:val="none" w:sz="0" w:space="0" w:color="auto"/>
        <w:right w:val="none" w:sz="0" w:space="0" w:color="auto"/>
      </w:divBdr>
    </w:div>
    <w:div w:id="1401177097">
      <w:bodyDiv w:val="1"/>
      <w:marLeft w:val="0"/>
      <w:marRight w:val="0"/>
      <w:marTop w:val="0"/>
      <w:marBottom w:val="0"/>
      <w:divBdr>
        <w:top w:val="none" w:sz="0" w:space="0" w:color="auto"/>
        <w:left w:val="none" w:sz="0" w:space="0" w:color="auto"/>
        <w:bottom w:val="none" w:sz="0" w:space="0" w:color="auto"/>
        <w:right w:val="none" w:sz="0" w:space="0" w:color="auto"/>
      </w:divBdr>
    </w:div>
    <w:div w:id="1416970665">
      <w:bodyDiv w:val="1"/>
      <w:marLeft w:val="0"/>
      <w:marRight w:val="0"/>
      <w:marTop w:val="0"/>
      <w:marBottom w:val="0"/>
      <w:divBdr>
        <w:top w:val="none" w:sz="0" w:space="0" w:color="auto"/>
        <w:left w:val="none" w:sz="0" w:space="0" w:color="auto"/>
        <w:bottom w:val="none" w:sz="0" w:space="0" w:color="auto"/>
        <w:right w:val="none" w:sz="0" w:space="0" w:color="auto"/>
      </w:divBdr>
    </w:div>
    <w:div w:id="1487432569">
      <w:bodyDiv w:val="1"/>
      <w:marLeft w:val="0"/>
      <w:marRight w:val="0"/>
      <w:marTop w:val="0"/>
      <w:marBottom w:val="0"/>
      <w:divBdr>
        <w:top w:val="none" w:sz="0" w:space="0" w:color="auto"/>
        <w:left w:val="none" w:sz="0" w:space="0" w:color="auto"/>
        <w:bottom w:val="none" w:sz="0" w:space="0" w:color="auto"/>
        <w:right w:val="none" w:sz="0" w:space="0" w:color="auto"/>
      </w:divBdr>
    </w:div>
    <w:div w:id="1489051811">
      <w:bodyDiv w:val="1"/>
      <w:marLeft w:val="0"/>
      <w:marRight w:val="0"/>
      <w:marTop w:val="0"/>
      <w:marBottom w:val="0"/>
      <w:divBdr>
        <w:top w:val="none" w:sz="0" w:space="0" w:color="auto"/>
        <w:left w:val="none" w:sz="0" w:space="0" w:color="auto"/>
        <w:bottom w:val="none" w:sz="0" w:space="0" w:color="auto"/>
        <w:right w:val="none" w:sz="0" w:space="0" w:color="auto"/>
      </w:divBdr>
    </w:div>
    <w:div w:id="1558587329">
      <w:bodyDiv w:val="1"/>
      <w:marLeft w:val="0"/>
      <w:marRight w:val="0"/>
      <w:marTop w:val="0"/>
      <w:marBottom w:val="0"/>
      <w:divBdr>
        <w:top w:val="none" w:sz="0" w:space="0" w:color="auto"/>
        <w:left w:val="none" w:sz="0" w:space="0" w:color="auto"/>
        <w:bottom w:val="none" w:sz="0" w:space="0" w:color="auto"/>
        <w:right w:val="none" w:sz="0" w:space="0" w:color="auto"/>
      </w:divBdr>
    </w:div>
    <w:div w:id="1605267381">
      <w:bodyDiv w:val="1"/>
      <w:marLeft w:val="0"/>
      <w:marRight w:val="0"/>
      <w:marTop w:val="0"/>
      <w:marBottom w:val="0"/>
      <w:divBdr>
        <w:top w:val="none" w:sz="0" w:space="0" w:color="auto"/>
        <w:left w:val="none" w:sz="0" w:space="0" w:color="auto"/>
        <w:bottom w:val="none" w:sz="0" w:space="0" w:color="auto"/>
        <w:right w:val="none" w:sz="0" w:space="0" w:color="auto"/>
      </w:divBdr>
    </w:div>
    <w:div w:id="1667591324">
      <w:bodyDiv w:val="1"/>
      <w:marLeft w:val="0"/>
      <w:marRight w:val="0"/>
      <w:marTop w:val="0"/>
      <w:marBottom w:val="0"/>
      <w:divBdr>
        <w:top w:val="none" w:sz="0" w:space="0" w:color="auto"/>
        <w:left w:val="none" w:sz="0" w:space="0" w:color="auto"/>
        <w:bottom w:val="none" w:sz="0" w:space="0" w:color="auto"/>
        <w:right w:val="none" w:sz="0" w:space="0" w:color="auto"/>
      </w:divBdr>
    </w:div>
    <w:div w:id="1709985316">
      <w:bodyDiv w:val="1"/>
      <w:marLeft w:val="0"/>
      <w:marRight w:val="0"/>
      <w:marTop w:val="0"/>
      <w:marBottom w:val="0"/>
      <w:divBdr>
        <w:top w:val="none" w:sz="0" w:space="0" w:color="auto"/>
        <w:left w:val="none" w:sz="0" w:space="0" w:color="auto"/>
        <w:bottom w:val="none" w:sz="0" w:space="0" w:color="auto"/>
        <w:right w:val="none" w:sz="0" w:space="0" w:color="auto"/>
      </w:divBdr>
    </w:div>
    <w:div w:id="1771657870">
      <w:bodyDiv w:val="1"/>
      <w:marLeft w:val="0"/>
      <w:marRight w:val="0"/>
      <w:marTop w:val="0"/>
      <w:marBottom w:val="0"/>
      <w:divBdr>
        <w:top w:val="none" w:sz="0" w:space="0" w:color="auto"/>
        <w:left w:val="none" w:sz="0" w:space="0" w:color="auto"/>
        <w:bottom w:val="none" w:sz="0" w:space="0" w:color="auto"/>
        <w:right w:val="none" w:sz="0" w:space="0" w:color="auto"/>
      </w:divBdr>
    </w:div>
    <w:div w:id="1879002341">
      <w:bodyDiv w:val="1"/>
      <w:marLeft w:val="0"/>
      <w:marRight w:val="0"/>
      <w:marTop w:val="0"/>
      <w:marBottom w:val="0"/>
      <w:divBdr>
        <w:top w:val="none" w:sz="0" w:space="0" w:color="auto"/>
        <w:left w:val="none" w:sz="0" w:space="0" w:color="auto"/>
        <w:bottom w:val="none" w:sz="0" w:space="0" w:color="auto"/>
        <w:right w:val="none" w:sz="0" w:space="0" w:color="auto"/>
      </w:divBdr>
    </w:div>
    <w:div w:id="1905531602">
      <w:bodyDiv w:val="1"/>
      <w:marLeft w:val="0"/>
      <w:marRight w:val="0"/>
      <w:marTop w:val="0"/>
      <w:marBottom w:val="0"/>
      <w:divBdr>
        <w:top w:val="none" w:sz="0" w:space="0" w:color="auto"/>
        <w:left w:val="none" w:sz="0" w:space="0" w:color="auto"/>
        <w:bottom w:val="none" w:sz="0" w:space="0" w:color="auto"/>
        <w:right w:val="none" w:sz="0" w:space="0" w:color="auto"/>
      </w:divBdr>
    </w:div>
    <w:div w:id="1981418164">
      <w:bodyDiv w:val="1"/>
      <w:marLeft w:val="0"/>
      <w:marRight w:val="0"/>
      <w:marTop w:val="0"/>
      <w:marBottom w:val="0"/>
      <w:divBdr>
        <w:top w:val="none" w:sz="0" w:space="0" w:color="auto"/>
        <w:left w:val="none" w:sz="0" w:space="0" w:color="auto"/>
        <w:bottom w:val="none" w:sz="0" w:space="0" w:color="auto"/>
        <w:right w:val="none" w:sz="0" w:space="0" w:color="auto"/>
      </w:divBdr>
    </w:div>
    <w:div w:id="2079396232">
      <w:bodyDiv w:val="1"/>
      <w:marLeft w:val="0"/>
      <w:marRight w:val="0"/>
      <w:marTop w:val="0"/>
      <w:marBottom w:val="0"/>
      <w:divBdr>
        <w:top w:val="none" w:sz="0" w:space="0" w:color="auto"/>
        <w:left w:val="none" w:sz="0" w:space="0" w:color="auto"/>
        <w:bottom w:val="none" w:sz="0" w:space="0" w:color="auto"/>
        <w:right w:val="none" w:sz="0" w:space="0" w:color="auto"/>
      </w:divBdr>
    </w:div>
    <w:div w:id="2110849718">
      <w:bodyDiv w:val="1"/>
      <w:marLeft w:val="0"/>
      <w:marRight w:val="0"/>
      <w:marTop w:val="0"/>
      <w:marBottom w:val="0"/>
      <w:divBdr>
        <w:top w:val="none" w:sz="0" w:space="0" w:color="auto"/>
        <w:left w:val="none" w:sz="0" w:space="0" w:color="auto"/>
        <w:bottom w:val="none" w:sz="0" w:space="0" w:color="auto"/>
        <w:right w:val="none" w:sz="0" w:space="0" w:color="auto"/>
      </w:divBdr>
      <w:divsChild>
        <w:div w:id="171844110">
          <w:marLeft w:val="274"/>
          <w:marRight w:val="0"/>
          <w:marTop w:val="0"/>
          <w:marBottom w:val="0"/>
          <w:divBdr>
            <w:top w:val="none" w:sz="0" w:space="0" w:color="auto"/>
            <w:left w:val="none" w:sz="0" w:space="0" w:color="auto"/>
            <w:bottom w:val="none" w:sz="0" w:space="0" w:color="auto"/>
            <w:right w:val="none" w:sz="0" w:space="0" w:color="auto"/>
          </w:divBdr>
        </w:div>
        <w:div w:id="799954462">
          <w:marLeft w:val="274"/>
          <w:marRight w:val="0"/>
          <w:marTop w:val="0"/>
          <w:marBottom w:val="0"/>
          <w:divBdr>
            <w:top w:val="none" w:sz="0" w:space="0" w:color="auto"/>
            <w:left w:val="none" w:sz="0" w:space="0" w:color="auto"/>
            <w:bottom w:val="none" w:sz="0" w:space="0" w:color="auto"/>
            <w:right w:val="none" w:sz="0" w:space="0" w:color="auto"/>
          </w:divBdr>
        </w:div>
        <w:div w:id="1072775002">
          <w:marLeft w:val="274"/>
          <w:marRight w:val="0"/>
          <w:marTop w:val="0"/>
          <w:marBottom w:val="0"/>
          <w:divBdr>
            <w:top w:val="none" w:sz="0" w:space="0" w:color="auto"/>
            <w:left w:val="none" w:sz="0" w:space="0" w:color="auto"/>
            <w:bottom w:val="none" w:sz="0" w:space="0" w:color="auto"/>
            <w:right w:val="none" w:sz="0" w:space="0" w:color="auto"/>
          </w:divBdr>
        </w:div>
        <w:div w:id="1103454542">
          <w:marLeft w:val="274"/>
          <w:marRight w:val="0"/>
          <w:marTop w:val="0"/>
          <w:marBottom w:val="0"/>
          <w:divBdr>
            <w:top w:val="none" w:sz="0" w:space="0" w:color="auto"/>
            <w:left w:val="none" w:sz="0" w:space="0" w:color="auto"/>
            <w:bottom w:val="none" w:sz="0" w:space="0" w:color="auto"/>
            <w:right w:val="none" w:sz="0" w:space="0" w:color="auto"/>
          </w:divBdr>
        </w:div>
        <w:div w:id="1321422124">
          <w:marLeft w:val="274"/>
          <w:marRight w:val="0"/>
          <w:marTop w:val="0"/>
          <w:marBottom w:val="0"/>
          <w:divBdr>
            <w:top w:val="none" w:sz="0" w:space="0" w:color="auto"/>
            <w:left w:val="none" w:sz="0" w:space="0" w:color="auto"/>
            <w:bottom w:val="none" w:sz="0" w:space="0" w:color="auto"/>
            <w:right w:val="none" w:sz="0" w:space="0" w:color="auto"/>
          </w:divBdr>
        </w:div>
        <w:div w:id="1414005524">
          <w:marLeft w:val="274"/>
          <w:marRight w:val="0"/>
          <w:marTop w:val="0"/>
          <w:marBottom w:val="0"/>
          <w:divBdr>
            <w:top w:val="none" w:sz="0" w:space="0" w:color="auto"/>
            <w:left w:val="none" w:sz="0" w:space="0" w:color="auto"/>
            <w:bottom w:val="none" w:sz="0" w:space="0" w:color="auto"/>
            <w:right w:val="none" w:sz="0" w:space="0" w:color="auto"/>
          </w:divBdr>
        </w:div>
        <w:div w:id="1516505082">
          <w:marLeft w:val="274"/>
          <w:marRight w:val="0"/>
          <w:marTop w:val="0"/>
          <w:marBottom w:val="0"/>
          <w:divBdr>
            <w:top w:val="none" w:sz="0" w:space="0" w:color="auto"/>
            <w:left w:val="none" w:sz="0" w:space="0" w:color="auto"/>
            <w:bottom w:val="none" w:sz="0" w:space="0" w:color="auto"/>
            <w:right w:val="none" w:sz="0" w:space="0" w:color="auto"/>
          </w:divBdr>
        </w:div>
        <w:div w:id="1645230649">
          <w:marLeft w:val="274"/>
          <w:marRight w:val="0"/>
          <w:marTop w:val="0"/>
          <w:marBottom w:val="0"/>
          <w:divBdr>
            <w:top w:val="none" w:sz="0" w:space="0" w:color="auto"/>
            <w:left w:val="none" w:sz="0" w:space="0" w:color="auto"/>
            <w:bottom w:val="none" w:sz="0" w:space="0" w:color="auto"/>
            <w:right w:val="none" w:sz="0" w:space="0" w:color="auto"/>
          </w:divBdr>
        </w:div>
        <w:div w:id="1987078714">
          <w:marLeft w:val="274"/>
          <w:marRight w:val="0"/>
          <w:marTop w:val="0"/>
          <w:marBottom w:val="0"/>
          <w:divBdr>
            <w:top w:val="none" w:sz="0" w:space="0" w:color="auto"/>
            <w:left w:val="none" w:sz="0" w:space="0" w:color="auto"/>
            <w:bottom w:val="none" w:sz="0" w:space="0" w:color="auto"/>
            <w:right w:val="none" w:sz="0" w:space="0" w:color="auto"/>
          </w:divBdr>
        </w:div>
      </w:divsChild>
    </w:div>
    <w:div w:id="2141074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british-business-bank.co.uk/wp-content/uploads/2022/06/Evaluation_of_BBLS_CBILS_and_CLBILS___Yr1_Report__accessible_.pdf" TargetMode="External"/><Relationship Id="rId42" Type="http://schemas.openxmlformats.org/officeDocument/2006/relationships/diagramLayout" Target="diagrams/layout1.xml"/><Relationship Id="rId47" Type="http://schemas.openxmlformats.org/officeDocument/2006/relationships/diagramLayout" Target="diagrams/layout2.xml"/><Relationship Id="rId63" Type="http://schemas.openxmlformats.org/officeDocument/2006/relationships/hyperlink" Target="https://www.british-business-bank.co.uk/wp-content/uploads/2022/06/Evaluation_of_BBLS_CBILS_and_CLBILS___Yr1_Report__accessible_.pdf"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chart" Target="charts/chart4.xml"/><Relationship Id="rId40" Type="http://schemas.openxmlformats.org/officeDocument/2006/relationships/image" Target="media/image10.png"/><Relationship Id="rId45" Type="http://schemas.microsoft.com/office/2007/relationships/diagramDrawing" Target="diagrams/drawing1.xm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image" Target="media/image21.png"/><Relationship Id="rId1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www.british-business-bank.co.uk/wp-content/uploads/2022/06/Evaluation_of_BBLS_CBILS_and_CLBILS___Yr1_Report__accessible_.pdf" TargetMode="External"/><Relationship Id="rId30" Type="http://schemas.openxmlformats.org/officeDocument/2006/relationships/hyperlink" Target="https://www.british-business-bank.co.uk/wp-content/uploads/2022/06/Evaluation_of_BBLS_CBILS_and_CLBILS___Yr1_Report__accessible_.pdf" TargetMode="External"/><Relationship Id="rId35" Type="http://schemas.openxmlformats.org/officeDocument/2006/relationships/chart" Target="charts/chart2.xml"/><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image" Target="media/image16.png"/><Relationship Id="rId64" Type="http://schemas.openxmlformats.org/officeDocument/2006/relationships/hyperlink" Target="https://ipsos.uk/LoanScheme"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british-business-bank.co.uk"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chart" Target="charts/chart5.xml"/><Relationship Id="rId46" Type="http://schemas.openxmlformats.org/officeDocument/2006/relationships/diagramData" Target="diagrams/data2.xml"/><Relationship Id="rId59" Type="http://schemas.openxmlformats.org/officeDocument/2006/relationships/image" Target="media/image19.png"/><Relationship Id="rId67" Type="http://schemas.openxmlformats.org/officeDocument/2006/relationships/footer" Target="footer5.xml"/><Relationship Id="rId20" Type="http://schemas.openxmlformats.org/officeDocument/2006/relationships/hyperlink" Target="https://www.british-business-bank.co.uk/wp-content/uploads/2022/06/Evaluation_of_BBLS_CBILS_and_CLBILS___Yr1_Report__accessible_.pdf" TargetMode="External"/><Relationship Id="rId41" Type="http://schemas.openxmlformats.org/officeDocument/2006/relationships/diagramData" Target="diagrams/data1.xml"/><Relationship Id="rId54" Type="http://schemas.openxmlformats.org/officeDocument/2006/relationships/image" Target="media/image14.png"/><Relationship Id="rId62" Type="http://schemas.openxmlformats.org/officeDocument/2006/relationships/hyperlink" Target="https://www.british-business-bank.co.uk/about-our-evalu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yperlink" Target="https://www.british-business-bank.co.uk/wp-content/uploads/2022/06/Evaluation_of_BBLS_CBILS_and_CLBILS___Yr1_Report__accessible_.pdf" TargetMode="External"/><Relationship Id="rId36" Type="http://schemas.openxmlformats.org/officeDocument/2006/relationships/chart" Target="charts/chart3.xml"/><Relationship Id="rId49" Type="http://schemas.openxmlformats.org/officeDocument/2006/relationships/diagramColors" Target="diagrams/colors2.xml"/><Relationship Id="rId57" Type="http://schemas.openxmlformats.org/officeDocument/2006/relationships/image" Target="media/image17.png"/><Relationship Id="rId10" Type="http://schemas.openxmlformats.org/officeDocument/2006/relationships/footnotes" Target="footnotes.xml"/><Relationship Id="rId31" Type="http://schemas.openxmlformats.org/officeDocument/2006/relationships/hyperlink" Target="https://www.british-business-bank.co.uk/wp-content/uploads/2022/06/Evaluation_of_BBLS_CBILS_and_CLBILS___Yr1_Report__accessible_.pdf" TargetMode="External"/><Relationship Id="rId44" Type="http://schemas.openxmlformats.org/officeDocument/2006/relationships/diagramColors" Target="diagrams/colors1.xm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hyperlink" Target="http://www.british-business-bank.co.u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9.PNG"/><Relationship Id="rId34" Type="http://schemas.openxmlformats.org/officeDocument/2006/relationships/chart" Target="charts/chart1.xml"/><Relationship Id="rId50" Type="http://schemas.microsoft.com/office/2007/relationships/diagramDrawing" Target="diagrams/drawing2.xml"/><Relationship Id="rId5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businessindustryandtrade/business/activitysizeandlocation/datasets/businessdemographyquarterlyexperimentalstatisticsuk" TargetMode="External"/><Relationship Id="rId13" Type="http://schemas.openxmlformats.org/officeDocument/2006/relationships/hyperlink" Target="https://www.british-business-bank.co.uk/press-release/coronavirus-loan-schemes-continue-to-support-businesses-evenly-across-the-uk-new-analysis-shows/" TargetMode="External"/><Relationship Id="rId18" Type="http://schemas.openxmlformats.org/officeDocument/2006/relationships/hyperlink" Target="http://doc.ukdataservice.ac.uk/doc/6697/mrdoc/pdf/6697_user_guide.pdf" TargetMode="External"/><Relationship Id="rId3" Type="http://schemas.openxmlformats.org/officeDocument/2006/relationships/hyperlink" Target="https://www.british-business-bank.co.uk/wp-content/uploads/2022/06/Evaluation_of_BBLS_CBILS_and_CLBILS___Yr1_Report__accessible_.pdf" TargetMode="External"/><Relationship Id="rId21" Type="http://schemas.openxmlformats.org/officeDocument/2006/relationships/hyperlink" Target="https://www.imf.org/-/media/Files/Conferences/2020/8th-stats-forum/paper-craig-mclaren.ashx" TargetMode="External"/><Relationship Id="rId7" Type="http://schemas.openxmlformats.org/officeDocument/2006/relationships/hyperlink" Target="https://www.ons.gov.uk/businessindustryandtrade/business/activitysizeandlocation/bulletins/businessdemography/2021" TargetMode="External"/><Relationship Id="rId12" Type="http://schemas.openxmlformats.org/officeDocument/2006/relationships/hyperlink" Target="https://www.gov.uk/government/collections/hm-treasury-coronavirus-covid-19-business-loan-scheme-statistics" TargetMode="External"/><Relationship Id="rId17" Type="http://schemas.openxmlformats.org/officeDocument/2006/relationships/hyperlink" Target="https://assets.publishing.service.gov.uk/government/uploads/system/uploads/attachment_data/file/922793/BPE__2020_detailed_tables.xlsx" TargetMode="External"/><Relationship Id="rId2" Type="http://schemas.openxmlformats.org/officeDocument/2006/relationships/hyperlink" Target="https://www.british-business-bank.co.uk/ourpartners/coronavirus-business-interruption-loan-scheme-cbils-2/" TargetMode="External"/><Relationship Id="rId16" Type="http://schemas.openxmlformats.org/officeDocument/2006/relationships/hyperlink" Target="https://www.gov.uk/guidance/claim-for-wage-costs-through-the-coronavirus-job-retention-scheme" TargetMode="External"/><Relationship Id="rId20" Type="http://schemas.openxmlformats.org/officeDocument/2006/relationships/hyperlink" Target="https://www.ons.gov.uk/economy/economicoutputandproductivity/output/methodologies/businessinsightsandconditionssurveybicsqmi" TargetMode="External"/><Relationship Id="rId1" Type="http://schemas.openxmlformats.org/officeDocument/2006/relationships/hyperlink" Target="https://www.british-business-bank.co.uk/ourpartners/coronavirus-business-interruption-loan-schemes/bounce-back-loans/" TargetMode="External"/><Relationship Id="rId6" Type="http://schemas.openxmlformats.org/officeDocument/2006/relationships/hyperlink" Target="https://www.gov.uk/government/statistics/business-population-estimates-2023" TargetMode="External"/><Relationship Id="rId11" Type="http://schemas.openxmlformats.org/officeDocument/2006/relationships/hyperlink" Target="https://www.bankofengland.co.uk/speech/2021/march/michael-saunders-bank-hosted-speech-supply-and-demand-during-and-after-the-pandemic" TargetMode="External"/><Relationship Id="rId24" Type="http://schemas.openxmlformats.org/officeDocument/2006/relationships/hyperlink" Target="https://www.enterpriseresearch.ac.uk/wp-content/uploads/2016/07/ERC-ResPap48-DuBonner-final.pdf" TargetMode="External"/><Relationship Id="rId5" Type="http://schemas.openxmlformats.org/officeDocument/2006/relationships/hyperlink" Target="https://www.gov.uk/government/collections/business-population-estimates" TargetMode="External"/><Relationship Id="rId15" Type="http://schemas.openxmlformats.org/officeDocument/2006/relationships/hyperlink" Target="https://www.bankofengland.co.uk/agents-summary/2021/2021-q4/latest-results-from-the-decision-maker-panel-survey-2021-q4" TargetMode="External"/><Relationship Id="rId23" Type="http://schemas.openxmlformats.org/officeDocument/2006/relationships/hyperlink" Target="https://www.yannisgalanakis.com/publication/preprint/agudagalanakishwangsavagar/AgudaGalanakisHwangSavagar_UKconcentration.pdf" TargetMode="External"/><Relationship Id="rId10" Type="http://schemas.openxmlformats.org/officeDocument/2006/relationships/hyperlink" Target="https://doi.org/10.57906/rar8-nk26" TargetMode="External"/><Relationship Id="rId19" Type="http://schemas.openxmlformats.org/officeDocument/2006/relationships/hyperlink" Target="http://doc.ukdataservice.ac.uk/doc/6697/mrdoc/pdf/6697_user_guide.pdf" TargetMode="External"/><Relationship Id="rId4" Type="http://schemas.openxmlformats.org/officeDocument/2006/relationships/hyperlink" Target="https://www.gov.uk/government/publications/covid-19-loan-guarantee-schemes-repayment-data" TargetMode="External"/><Relationship Id="rId9" Type="http://schemas.openxmlformats.org/officeDocument/2006/relationships/hyperlink" Target="https://doi.org/10.57906/7kh0-0910" TargetMode="External"/><Relationship Id="rId14" Type="http://schemas.openxmlformats.org/officeDocument/2006/relationships/hyperlink" Target="https://www.gov.uk/government/collections/business-population-estimates" TargetMode="External"/><Relationship Id="rId22" Type="http://schemas.openxmlformats.org/officeDocument/2006/relationships/hyperlink" Target="https://www.ons.gov.uk/economy/economicoutputandproductivity/output/methodologies/businessinsightsandconditionssurveybicsqm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mes.kearney\OneDrive%20-%20Ipsos\Documents\Covid%20loans%20published%20data%20Sept%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mes.kearney\OneDrive%20-%20Ipsos\Documents\Covid%20loans%20published%20data%20Sept%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mes.kearney\OneDrive%20-%20Ipsos\Documents\Covid%20loans%20published%20data%20Sept%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mes.kearney\OneDrive%20-%20Ipsos\Documents\Covid%20loans%20published%20data%20Sept%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ames.kearney\OneDrive%20-%20Ipsos\Documents\Covid%20loans%20published%20data%20Sept%2020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CBILS!$Q$43</c:f>
              <c:strCache>
                <c:ptCount val="1"/>
                <c:pt idx="0">
                  <c:v>On schedule</c:v>
                </c:pt>
              </c:strCache>
            </c:strRef>
          </c:tx>
          <c:spPr>
            <a:solidFill>
              <a:srgbClr val="142855"/>
            </a:solidFill>
            <a:ln>
              <a:noFill/>
            </a:ln>
            <a:effectLst/>
          </c:spPr>
          <c:invertIfNegative val="0"/>
          <c:cat>
            <c:strRef>
              <c:f>CBILS!$R$42:$U$42</c:f>
              <c:strCache>
                <c:ptCount val="4"/>
                <c:pt idx="0">
                  <c:v>Total</c:v>
                </c:pt>
                <c:pt idx="1">
                  <c:v>CBILS</c:v>
                </c:pt>
                <c:pt idx="2">
                  <c:v>CLBILS</c:v>
                </c:pt>
                <c:pt idx="3">
                  <c:v>BBLS</c:v>
                </c:pt>
              </c:strCache>
            </c:strRef>
          </c:cat>
          <c:val>
            <c:numRef>
              <c:f>CBILS!$R$43:$U$43</c:f>
              <c:numCache>
                <c:formatCode>0.00%</c:formatCode>
                <c:ptCount val="4"/>
                <c:pt idx="0" formatCode="0.0%">
                  <c:v>0.6653</c:v>
                </c:pt>
                <c:pt idx="1">
                  <c:v>0.62603637404541135</c:v>
                </c:pt>
                <c:pt idx="2">
                  <c:v>0.36944444444444446</c:v>
                </c:pt>
                <c:pt idx="3">
                  <c:v>0.64770135770748027</c:v>
                </c:pt>
              </c:numCache>
            </c:numRef>
          </c:val>
          <c:extLst>
            <c:ext xmlns:c16="http://schemas.microsoft.com/office/drawing/2014/chart" uri="{C3380CC4-5D6E-409C-BE32-E72D297353CC}">
              <c16:uniqueId val="{00000000-C398-4A39-B89A-8CDAA35A81E4}"/>
            </c:ext>
          </c:extLst>
        </c:ser>
        <c:ser>
          <c:idx val="1"/>
          <c:order val="1"/>
          <c:tx>
            <c:strRef>
              <c:f>CBILS!$Q$44</c:f>
              <c:strCache>
                <c:ptCount val="1"/>
                <c:pt idx="0">
                  <c:v>Fully repaid</c:v>
                </c:pt>
              </c:strCache>
            </c:strRef>
          </c:tx>
          <c:spPr>
            <a:solidFill>
              <a:srgbClr val="FFA0B4"/>
            </a:solidFill>
            <a:ln>
              <a:noFill/>
            </a:ln>
            <a:effectLst/>
          </c:spPr>
          <c:invertIfNegative val="0"/>
          <c:cat>
            <c:strRef>
              <c:f>CBILS!$R$42:$U$42</c:f>
              <c:strCache>
                <c:ptCount val="4"/>
                <c:pt idx="0">
                  <c:v>Total</c:v>
                </c:pt>
                <c:pt idx="1">
                  <c:v>CBILS</c:v>
                </c:pt>
                <c:pt idx="2">
                  <c:v>CLBILS</c:v>
                </c:pt>
                <c:pt idx="3">
                  <c:v>BBLS</c:v>
                </c:pt>
              </c:strCache>
            </c:strRef>
          </c:cat>
          <c:val>
            <c:numRef>
              <c:f>CBILS!$R$44:$U$44</c:f>
              <c:numCache>
                <c:formatCode>0.00%</c:formatCode>
                <c:ptCount val="4"/>
                <c:pt idx="0" formatCode="0.0%">
                  <c:v>0.1202</c:v>
                </c:pt>
                <c:pt idx="1">
                  <c:v>0.30045902041567418</c:v>
                </c:pt>
                <c:pt idx="2">
                  <c:v>0.60972222222222228</c:v>
                </c:pt>
                <c:pt idx="3">
                  <c:v>0.11534625216909825</c:v>
                </c:pt>
              </c:numCache>
            </c:numRef>
          </c:val>
          <c:extLst>
            <c:ext xmlns:c16="http://schemas.microsoft.com/office/drawing/2014/chart" uri="{C3380CC4-5D6E-409C-BE32-E72D297353CC}">
              <c16:uniqueId val="{00000001-C398-4A39-B89A-8CDAA35A81E4}"/>
            </c:ext>
          </c:extLst>
        </c:ser>
        <c:dLbls>
          <c:showLegendKey val="0"/>
          <c:showVal val="0"/>
          <c:showCatName val="0"/>
          <c:showSerName val="0"/>
          <c:showPercent val="0"/>
          <c:showBubbleSize val="0"/>
        </c:dLbls>
        <c:gapWidth val="150"/>
        <c:overlap val="100"/>
        <c:axId val="2088457760"/>
        <c:axId val="1472447888"/>
      </c:barChart>
      <c:catAx>
        <c:axId val="208845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447888"/>
        <c:crosses val="autoZero"/>
        <c:auto val="1"/>
        <c:lblAlgn val="ctr"/>
        <c:lblOffset val="100"/>
        <c:noMultiLvlLbl val="0"/>
      </c:catAx>
      <c:valAx>
        <c:axId val="14724478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total volume of facilities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45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7622516748673"/>
          <c:y val="4.5081967213114756E-2"/>
          <c:w val="0.86288739034751971"/>
          <c:h val="0.74209210016780691"/>
        </c:manualLayout>
      </c:layout>
      <c:barChart>
        <c:barDir val="col"/>
        <c:grouping val="stacked"/>
        <c:varyColors val="0"/>
        <c:ser>
          <c:idx val="0"/>
          <c:order val="0"/>
          <c:tx>
            <c:strRef>
              <c:f>CBILS!$Q$48</c:f>
              <c:strCache>
                <c:ptCount val="1"/>
                <c:pt idx="0">
                  <c:v>Outstanding balance on schedule</c:v>
                </c:pt>
              </c:strCache>
            </c:strRef>
          </c:tx>
          <c:spPr>
            <a:solidFill>
              <a:srgbClr val="142855"/>
            </a:solidFill>
            <a:ln>
              <a:noFill/>
            </a:ln>
            <a:effectLst/>
          </c:spPr>
          <c:invertIfNegative val="0"/>
          <c:cat>
            <c:strRef>
              <c:f>CBILS!$R$47:$U$47</c:f>
              <c:strCache>
                <c:ptCount val="4"/>
                <c:pt idx="0">
                  <c:v>Total</c:v>
                </c:pt>
                <c:pt idx="1">
                  <c:v>CBILS</c:v>
                </c:pt>
                <c:pt idx="2">
                  <c:v>CLBILS</c:v>
                </c:pt>
                <c:pt idx="3">
                  <c:v>BBLS</c:v>
                </c:pt>
              </c:strCache>
            </c:strRef>
          </c:cat>
          <c:val>
            <c:numRef>
              <c:f>CBILS!$R$48:$U$48</c:f>
              <c:numCache>
                <c:formatCode>0.00%</c:formatCode>
                <c:ptCount val="4"/>
                <c:pt idx="0" formatCode="0.0%">
                  <c:v>0.40158619994879791</c:v>
                </c:pt>
                <c:pt idx="1">
                  <c:v>0.37075947409126064</c:v>
                </c:pt>
                <c:pt idx="2">
                  <c:v>0.21099559471365639</c:v>
                </c:pt>
                <c:pt idx="3">
                  <c:v>0.43723980293436659</c:v>
                </c:pt>
              </c:numCache>
            </c:numRef>
          </c:val>
          <c:extLst>
            <c:ext xmlns:c16="http://schemas.microsoft.com/office/drawing/2014/chart" uri="{C3380CC4-5D6E-409C-BE32-E72D297353CC}">
              <c16:uniqueId val="{00000000-BCBF-47EF-8EC8-C662A36960FC}"/>
            </c:ext>
          </c:extLst>
        </c:ser>
        <c:ser>
          <c:idx val="1"/>
          <c:order val="1"/>
          <c:tx>
            <c:strRef>
              <c:f>CBILS!$Q$49</c:f>
              <c:strCache>
                <c:ptCount val="1"/>
                <c:pt idx="0">
                  <c:v>Fully repaid</c:v>
                </c:pt>
              </c:strCache>
            </c:strRef>
          </c:tx>
          <c:spPr>
            <a:solidFill>
              <a:srgbClr val="FFA0B4"/>
            </a:solidFill>
            <a:ln>
              <a:noFill/>
            </a:ln>
            <a:effectLst/>
          </c:spPr>
          <c:invertIfNegative val="0"/>
          <c:cat>
            <c:strRef>
              <c:f>CBILS!$R$47:$U$47</c:f>
              <c:strCache>
                <c:ptCount val="4"/>
                <c:pt idx="0">
                  <c:v>Total</c:v>
                </c:pt>
                <c:pt idx="1">
                  <c:v>CBILS</c:v>
                </c:pt>
                <c:pt idx="2">
                  <c:v>CLBILS</c:v>
                </c:pt>
                <c:pt idx="3">
                  <c:v>BBLS</c:v>
                </c:pt>
              </c:strCache>
            </c:strRef>
          </c:cat>
          <c:val>
            <c:numRef>
              <c:f>CBILS!$R$49:$U$49</c:f>
              <c:numCache>
                <c:formatCode>0.00%</c:formatCode>
                <c:ptCount val="4"/>
                <c:pt idx="0" formatCode="0.0%">
                  <c:v>0.22372530966613233</c:v>
                </c:pt>
                <c:pt idx="1">
                  <c:v>0.33458662026295438</c:v>
                </c:pt>
                <c:pt idx="2">
                  <c:v>0.66247136563876652</c:v>
                </c:pt>
                <c:pt idx="3">
                  <c:v>0.11952251130862662</c:v>
                </c:pt>
              </c:numCache>
            </c:numRef>
          </c:val>
          <c:extLst>
            <c:ext xmlns:c16="http://schemas.microsoft.com/office/drawing/2014/chart" uri="{C3380CC4-5D6E-409C-BE32-E72D297353CC}">
              <c16:uniqueId val="{00000001-BCBF-47EF-8EC8-C662A36960FC}"/>
            </c:ext>
          </c:extLst>
        </c:ser>
        <c:ser>
          <c:idx val="2"/>
          <c:order val="2"/>
          <c:tx>
            <c:strRef>
              <c:f>CBILS!$Q$50</c:f>
              <c:strCache>
                <c:ptCount val="1"/>
                <c:pt idx="0">
                  <c:v>Outstanding balance in arrears</c:v>
                </c:pt>
              </c:strCache>
            </c:strRef>
          </c:tx>
          <c:spPr>
            <a:solidFill>
              <a:srgbClr val="50C5A7"/>
            </a:solidFill>
            <a:ln>
              <a:noFill/>
            </a:ln>
            <a:effectLst/>
          </c:spPr>
          <c:invertIfNegative val="0"/>
          <c:cat>
            <c:strRef>
              <c:f>CBILS!$R$47:$U$47</c:f>
              <c:strCache>
                <c:ptCount val="4"/>
                <c:pt idx="0">
                  <c:v>Total</c:v>
                </c:pt>
                <c:pt idx="1">
                  <c:v>CBILS</c:v>
                </c:pt>
                <c:pt idx="2">
                  <c:v>CLBILS</c:v>
                </c:pt>
                <c:pt idx="3">
                  <c:v>BBLS</c:v>
                </c:pt>
              </c:strCache>
            </c:strRef>
          </c:cat>
          <c:val>
            <c:numRef>
              <c:f>CBILS!$R$50:$U$50</c:f>
              <c:numCache>
                <c:formatCode>0.0%</c:formatCode>
                <c:ptCount val="4"/>
                <c:pt idx="0">
                  <c:v>2.8938263065488294E-2</c:v>
                </c:pt>
                <c:pt idx="1">
                  <c:v>9.7211910286156226E-3</c:v>
                </c:pt>
                <c:pt idx="2">
                  <c:v>1.2136563876651981E-3</c:v>
                </c:pt>
                <c:pt idx="3">
                  <c:v>4.2295507517781113E-2</c:v>
                </c:pt>
              </c:numCache>
            </c:numRef>
          </c:val>
          <c:extLst>
            <c:ext xmlns:c16="http://schemas.microsoft.com/office/drawing/2014/chart" uri="{C3380CC4-5D6E-409C-BE32-E72D297353CC}">
              <c16:uniqueId val="{00000002-BCBF-47EF-8EC8-C662A36960FC}"/>
            </c:ext>
          </c:extLst>
        </c:ser>
        <c:ser>
          <c:idx val="3"/>
          <c:order val="3"/>
          <c:tx>
            <c:strRef>
              <c:f>CBILS!$Q$51</c:f>
              <c:strCache>
                <c:ptCount val="1"/>
                <c:pt idx="0">
                  <c:v>Outstanding balance in default</c:v>
                </c:pt>
              </c:strCache>
            </c:strRef>
          </c:tx>
          <c:spPr>
            <a:solidFill>
              <a:srgbClr val="FFB500"/>
            </a:solidFill>
            <a:ln>
              <a:noFill/>
            </a:ln>
            <a:effectLst/>
          </c:spPr>
          <c:invertIfNegative val="0"/>
          <c:cat>
            <c:strRef>
              <c:f>CBILS!$R$47:$U$47</c:f>
              <c:strCache>
                <c:ptCount val="4"/>
                <c:pt idx="0">
                  <c:v>Total</c:v>
                </c:pt>
                <c:pt idx="1">
                  <c:v>CBILS</c:v>
                </c:pt>
                <c:pt idx="2">
                  <c:v>CLBILS</c:v>
                </c:pt>
                <c:pt idx="3">
                  <c:v>BBLS</c:v>
                </c:pt>
              </c:strCache>
            </c:strRef>
          </c:cat>
          <c:val>
            <c:numRef>
              <c:f>CBILS!$R$51:$U$51</c:f>
              <c:numCache>
                <c:formatCode>0.0%</c:formatCode>
                <c:ptCount val="4"/>
                <c:pt idx="0">
                  <c:v>9.7972013337466902E-3</c:v>
                </c:pt>
                <c:pt idx="1">
                  <c:v>8.5193348801237429E-3</c:v>
                </c:pt>
                <c:pt idx="2">
                  <c:v>6.0132158590308368E-4</c:v>
                </c:pt>
                <c:pt idx="3">
                  <c:v>1.1401274595673168E-2</c:v>
                </c:pt>
              </c:numCache>
            </c:numRef>
          </c:val>
          <c:extLst>
            <c:ext xmlns:c16="http://schemas.microsoft.com/office/drawing/2014/chart" uri="{C3380CC4-5D6E-409C-BE32-E72D297353CC}">
              <c16:uniqueId val="{00000003-BCBF-47EF-8EC8-C662A36960FC}"/>
            </c:ext>
          </c:extLst>
        </c:ser>
        <c:dLbls>
          <c:showLegendKey val="0"/>
          <c:showVal val="0"/>
          <c:showCatName val="0"/>
          <c:showSerName val="0"/>
          <c:showPercent val="0"/>
          <c:showBubbleSize val="0"/>
        </c:dLbls>
        <c:gapWidth val="150"/>
        <c:overlap val="100"/>
        <c:axId val="2094067888"/>
        <c:axId val="2096425584"/>
      </c:barChart>
      <c:catAx>
        <c:axId val="20940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425584"/>
        <c:crosses val="autoZero"/>
        <c:auto val="1"/>
        <c:lblAlgn val="ctr"/>
        <c:lblOffset val="100"/>
        <c:noMultiLvlLbl val="0"/>
      </c:catAx>
      <c:valAx>
        <c:axId val="209642558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total drawn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067888"/>
        <c:crosses val="autoZero"/>
        <c:crossBetween val="between"/>
      </c:valAx>
      <c:spPr>
        <a:noFill/>
        <a:ln>
          <a:noFill/>
        </a:ln>
        <a:effectLst/>
      </c:spPr>
    </c:plotArea>
    <c:legend>
      <c:legendPos val="b"/>
      <c:layout>
        <c:manualLayout>
          <c:xMode val="edge"/>
          <c:yMode val="edge"/>
          <c:x val="1.4137426659537725E-2"/>
          <c:y val="0.87131534787659737"/>
          <c:w val="0.97970185674143406"/>
          <c:h val="0.124586291467664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CBILS!$A$59</c:f>
              <c:strCache>
                <c:ptCount val="1"/>
                <c:pt idx="0">
                  <c:v>Arrears</c:v>
                </c:pt>
              </c:strCache>
            </c:strRef>
          </c:tx>
          <c:spPr>
            <a:solidFill>
              <a:srgbClr val="142855"/>
            </a:solidFill>
            <a:ln>
              <a:noFill/>
            </a:ln>
            <a:effectLst/>
          </c:spPr>
          <c:invertIfNegative val="0"/>
          <c:cat>
            <c:strRef>
              <c:f>CBILS!$B$58:$E$58</c:f>
              <c:strCache>
                <c:ptCount val="4"/>
                <c:pt idx="0">
                  <c:v>Total</c:v>
                </c:pt>
                <c:pt idx="1">
                  <c:v>CBILS</c:v>
                </c:pt>
                <c:pt idx="2">
                  <c:v>CLBILS</c:v>
                </c:pt>
                <c:pt idx="3">
                  <c:v>BBLS</c:v>
                </c:pt>
              </c:strCache>
            </c:strRef>
          </c:cat>
          <c:val>
            <c:numRef>
              <c:f>CBILS!$B$59:$E$59</c:f>
              <c:numCache>
                <c:formatCode>0.0%</c:formatCode>
                <c:ptCount val="4"/>
                <c:pt idx="0">
                  <c:v>5.8099999999999999E-2</c:v>
                </c:pt>
                <c:pt idx="1">
                  <c:v>1.4445341811750514E-2</c:v>
                </c:pt>
                <c:pt idx="2">
                  <c:v>4.1666666666666666E-3</c:v>
                </c:pt>
                <c:pt idx="3">
                  <c:v>5.5450837351627827E-2</c:v>
                </c:pt>
              </c:numCache>
            </c:numRef>
          </c:val>
          <c:extLst>
            <c:ext xmlns:c16="http://schemas.microsoft.com/office/drawing/2014/chart" uri="{C3380CC4-5D6E-409C-BE32-E72D297353CC}">
              <c16:uniqueId val="{00000000-1B4D-4449-A402-09B2ED75F6D3}"/>
            </c:ext>
          </c:extLst>
        </c:ser>
        <c:ser>
          <c:idx val="1"/>
          <c:order val="1"/>
          <c:tx>
            <c:strRef>
              <c:f>CBILS!$A$60</c:f>
              <c:strCache>
                <c:ptCount val="1"/>
                <c:pt idx="0">
                  <c:v>Defaulted</c:v>
                </c:pt>
              </c:strCache>
            </c:strRef>
          </c:tx>
          <c:spPr>
            <a:solidFill>
              <a:srgbClr val="FFA0B4"/>
            </a:solidFill>
            <a:ln>
              <a:noFill/>
            </a:ln>
            <a:effectLst/>
          </c:spPr>
          <c:invertIfNegative val="0"/>
          <c:cat>
            <c:strRef>
              <c:f>CBILS!$B$58:$E$58</c:f>
              <c:strCache>
                <c:ptCount val="4"/>
                <c:pt idx="0">
                  <c:v>Total</c:v>
                </c:pt>
                <c:pt idx="1">
                  <c:v>CBILS</c:v>
                </c:pt>
                <c:pt idx="2">
                  <c:v>CLBILS</c:v>
                </c:pt>
                <c:pt idx="3">
                  <c:v>BBLS</c:v>
                </c:pt>
              </c:strCache>
            </c:strRef>
          </c:cat>
          <c:val>
            <c:numRef>
              <c:f>CBILS!$B$60:$E$60</c:f>
              <c:numCache>
                <c:formatCode>0.0%</c:formatCode>
                <c:ptCount val="4"/>
                <c:pt idx="0">
                  <c:v>1.7600000000000001E-2</c:v>
                </c:pt>
                <c:pt idx="1">
                  <c:v>1.3146998987905988E-2</c:v>
                </c:pt>
                <c:pt idx="2">
                  <c:v>2.7777777777777779E-3</c:v>
                </c:pt>
                <c:pt idx="3">
                  <c:v>1.3107957491855511E-2</c:v>
                </c:pt>
              </c:numCache>
            </c:numRef>
          </c:val>
          <c:extLst>
            <c:ext xmlns:c16="http://schemas.microsoft.com/office/drawing/2014/chart" uri="{C3380CC4-5D6E-409C-BE32-E72D297353CC}">
              <c16:uniqueId val="{00000001-1B4D-4449-A402-09B2ED75F6D3}"/>
            </c:ext>
          </c:extLst>
        </c:ser>
        <c:ser>
          <c:idx val="2"/>
          <c:order val="2"/>
          <c:tx>
            <c:strRef>
              <c:f>CBILS!$A$61</c:f>
              <c:strCache>
                <c:ptCount val="1"/>
                <c:pt idx="0">
                  <c:v>Claimed</c:v>
                </c:pt>
              </c:strCache>
            </c:strRef>
          </c:tx>
          <c:spPr>
            <a:solidFill>
              <a:srgbClr val="FFB500"/>
            </a:solidFill>
            <a:ln>
              <a:noFill/>
            </a:ln>
            <a:effectLst/>
          </c:spPr>
          <c:invertIfNegative val="0"/>
          <c:cat>
            <c:strRef>
              <c:f>CBILS!$B$58:$E$58</c:f>
              <c:strCache>
                <c:ptCount val="4"/>
                <c:pt idx="0">
                  <c:v>Total</c:v>
                </c:pt>
                <c:pt idx="1">
                  <c:v>CBILS</c:v>
                </c:pt>
                <c:pt idx="2">
                  <c:v>CLBILS</c:v>
                </c:pt>
                <c:pt idx="3">
                  <c:v>BBLS</c:v>
                </c:pt>
              </c:strCache>
            </c:strRef>
          </c:cat>
          <c:val>
            <c:numRef>
              <c:f>CBILS!$B$61:$E$61</c:f>
              <c:numCache>
                <c:formatCode>0.0%</c:formatCode>
                <c:ptCount val="4"/>
                <c:pt idx="0">
                  <c:v>2.35E-2</c:v>
                </c:pt>
                <c:pt idx="1">
                  <c:v>8.9452753611335457E-3</c:v>
                </c:pt>
                <c:pt idx="2">
                  <c:v>4.1666666666666666E-3</c:v>
                </c:pt>
                <c:pt idx="3">
                  <c:v>2.3187798525501176E-2</c:v>
                </c:pt>
              </c:numCache>
            </c:numRef>
          </c:val>
          <c:extLst>
            <c:ext xmlns:c16="http://schemas.microsoft.com/office/drawing/2014/chart" uri="{C3380CC4-5D6E-409C-BE32-E72D297353CC}">
              <c16:uniqueId val="{00000002-1B4D-4449-A402-09B2ED75F6D3}"/>
            </c:ext>
          </c:extLst>
        </c:ser>
        <c:ser>
          <c:idx val="3"/>
          <c:order val="3"/>
          <c:tx>
            <c:strRef>
              <c:f>CBILS!$A$62</c:f>
              <c:strCache>
                <c:ptCount val="1"/>
                <c:pt idx="0">
                  <c:v>Settled</c:v>
                </c:pt>
              </c:strCache>
            </c:strRef>
          </c:tx>
          <c:spPr>
            <a:solidFill>
              <a:srgbClr val="50C5A7"/>
            </a:solidFill>
            <a:ln>
              <a:noFill/>
            </a:ln>
            <a:effectLst/>
          </c:spPr>
          <c:invertIfNegative val="0"/>
          <c:cat>
            <c:strRef>
              <c:f>CBILS!$B$58:$E$58</c:f>
              <c:strCache>
                <c:ptCount val="4"/>
                <c:pt idx="0">
                  <c:v>Total</c:v>
                </c:pt>
                <c:pt idx="1">
                  <c:v>CBILS</c:v>
                </c:pt>
                <c:pt idx="2">
                  <c:v>CLBILS</c:v>
                </c:pt>
                <c:pt idx="3">
                  <c:v>BBLS</c:v>
                </c:pt>
              </c:strCache>
            </c:strRef>
          </c:cat>
          <c:val>
            <c:numRef>
              <c:f>CBILS!$B$62:$E$62</c:f>
              <c:numCache>
                <c:formatCode>0.00%</c:formatCode>
                <c:ptCount val="4"/>
                <c:pt idx="0" formatCode="0.0%">
                  <c:v>0.1152</c:v>
                </c:pt>
                <c:pt idx="1">
                  <c:v>3.6966989378124454E-2</c:v>
                </c:pt>
                <c:pt idx="2">
                  <c:v>9.7222222222222224E-3</c:v>
                </c:pt>
                <c:pt idx="3">
                  <c:v>0.14520579675443693</c:v>
                </c:pt>
              </c:numCache>
            </c:numRef>
          </c:val>
          <c:extLst>
            <c:ext xmlns:c16="http://schemas.microsoft.com/office/drawing/2014/chart" uri="{C3380CC4-5D6E-409C-BE32-E72D297353CC}">
              <c16:uniqueId val="{00000003-1B4D-4449-A402-09B2ED75F6D3}"/>
            </c:ext>
          </c:extLst>
        </c:ser>
        <c:dLbls>
          <c:showLegendKey val="0"/>
          <c:showVal val="0"/>
          <c:showCatName val="0"/>
          <c:showSerName val="0"/>
          <c:showPercent val="0"/>
          <c:showBubbleSize val="0"/>
        </c:dLbls>
        <c:gapWidth val="150"/>
        <c:overlap val="100"/>
        <c:axId val="938646272"/>
        <c:axId val="938649632"/>
      </c:barChart>
      <c:catAx>
        <c:axId val="93864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649632"/>
        <c:crosses val="autoZero"/>
        <c:auto val="1"/>
        <c:lblAlgn val="ctr"/>
        <c:lblOffset val="100"/>
        <c:noMultiLvlLbl val="0"/>
      </c:catAx>
      <c:valAx>
        <c:axId val="938649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total volume of facilities</a:t>
                </a:r>
              </a:p>
            </c:rich>
          </c:tx>
          <c:layout>
            <c:manualLayout>
              <c:xMode val="edge"/>
              <c:yMode val="edge"/>
              <c:x val="0.4079061354954393"/>
              <c:y val="0.7987811696477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64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CBILS!$F$59</c:f>
              <c:strCache>
                <c:ptCount val="1"/>
                <c:pt idx="0">
                  <c:v>Arrears</c:v>
                </c:pt>
              </c:strCache>
            </c:strRef>
          </c:tx>
          <c:spPr>
            <a:solidFill>
              <a:srgbClr val="142855"/>
            </a:solidFill>
            <a:ln>
              <a:noFill/>
            </a:ln>
            <a:effectLst/>
          </c:spPr>
          <c:invertIfNegative val="0"/>
          <c:cat>
            <c:strRef>
              <c:f>CBILS!$G$58:$J$58</c:f>
              <c:strCache>
                <c:ptCount val="4"/>
                <c:pt idx="0">
                  <c:v>Total</c:v>
                </c:pt>
                <c:pt idx="1">
                  <c:v>CBILS</c:v>
                </c:pt>
                <c:pt idx="2">
                  <c:v>CLBILS</c:v>
                </c:pt>
                <c:pt idx="3">
                  <c:v>BBLS</c:v>
                </c:pt>
              </c:strCache>
            </c:strRef>
          </c:cat>
          <c:val>
            <c:numRef>
              <c:f>CBILS!$G$59:$J$59</c:f>
              <c:numCache>
                <c:formatCode>0.0%</c:formatCode>
                <c:ptCount val="4"/>
                <c:pt idx="0">
                  <c:v>2.8937556796053483E-2</c:v>
                </c:pt>
                <c:pt idx="1">
                  <c:v>9.7211910286156226E-3</c:v>
                </c:pt>
                <c:pt idx="2">
                  <c:v>1.2136563876651981E-3</c:v>
                </c:pt>
                <c:pt idx="3">
                  <c:v>4.2293802273214672E-2</c:v>
                </c:pt>
              </c:numCache>
            </c:numRef>
          </c:val>
          <c:extLst>
            <c:ext xmlns:c16="http://schemas.microsoft.com/office/drawing/2014/chart" uri="{C3380CC4-5D6E-409C-BE32-E72D297353CC}">
              <c16:uniqueId val="{00000000-69A5-4E7E-A9E1-750B1D7861E2}"/>
            </c:ext>
          </c:extLst>
        </c:ser>
        <c:ser>
          <c:idx val="1"/>
          <c:order val="1"/>
          <c:tx>
            <c:strRef>
              <c:f>CBILS!$F$60</c:f>
              <c:strCache>
                <c:ptCount val="1"/>
                <c:pt idx="0">
                  <c:v>Defaulted</c:v>
                </c:pt>
              </c:strCache>
            </c:strRef>
          </c:tx>
          <c:spPr>
            <a:solidFill>
              <a:srgbClr val="FFA0B4"/>
            </a:solidFill>
            <a:ln>
              <a:noFill/>
            </a:ln>
            <a:effectLst/>
          </c:spPr>
          <c:invertIfNegative val="0"/>
          <c:cat>
            <c:strRef>
              <c:f>CBILS!$G$58:$J$58</c:f>
              <c:strCache>
                <c:ptCount val="4"/>
                <c:pt idx="0">
                  <c:v>Total</c:v>
                </c:pt>
                <c:pt idx="1">
                  <c:v>CBILS</c:v>
                </c:pt>
                <c:pt idx="2">
                  <c:v>CLBILS</c:v>
                </c:pt>
                <c:pt idx="3">
                  <c:v>BBLS</c:v>
                </c:pt>
              </c:strCache>
            </c:strRef>
          </c:cat>
          <c:val>
            <c:numRef>
              <c:f>CBILS!$G$60:$J$60</c:f>
              <c:numCache>
                <c:formatCode>0.0%</c:formatCode>
                <c:ptCount val="4"/>
                <c:pt idx="0">
                  <c:v>9.7969622225107106E-3</c:v>
                </c:pt>
                <c:pt idx="1">
                  <c:v>8.5193348801237429E-3</c:v>
                </c:pt>
                <c:pt idx="2">
                  <c:v>6.0132158590308368E-4</c:v>
                </c:pt>
                <c:pt idx="3">
                  <c:v>1.1400814926013296E-2</c:v>
                </c:pt>
              </c:numCache>
            </c:numRef>
          </c:val>
          <c:extLst>
            <c:ext xmlns:c16="http://schemas.microsoft.com/office/drawing/2014/chart" uri="{C3380CC4-5D6E-409C-BE32-E72D297353CC}">
              <c16:uniqueId val="{00000001-69A5-4E7E-A9E1-750B1D7861E2}"/>
            </c:ext>
          </c:extLst>
        </c:ser>
        <c:ser>
          <c:idx val="2"/>
          <c:order val="2"/>
          <c:tx>
            <c:strRef>
              <c:f>CBILS!$F$61</c:f>
              <c:strCache>
                <c:ptCount val="1"/>
                <c:pt idx="0">
                  <c:v>Claimed</c:v>
                </c:pt>
              </c:strCache>
            </c:strRef>
          </c:tx>
          <c:spPr>
            <a:solidFill>
              <a:srgbClr val="FFB500"/>
            </a:solidFill>
            <a:ln>
              <a:noFill/>
            </a:ln>
            <a:effectLst/>
          </c:spPr>
          <c:invertIfNegative val="0"/>
          <c:cat>
            <c:strRef>
              <c:f>CBILS!$G$58:$J$58</c:f>
              <c:strCache>
                <c:ptCount val="4"/>
                <c:pt idx="0">
                  <c:v>Total</c:v>
                </c:pt>
                <c:pt idx="1">
                  <c:v>CBILS</c:v>
                </c:pt>
                <c:pt idx="2">
                  <c:v>CLBILS</c:v>
                </c:pt>
                <c:pt idx="3">
                  <c:v>BBLS</c:v>
                </c:pt>
              </c:strCache>
            </c:strRef>
          </c:cat>
          <c:val>
            <c:numRef>
              <c:f>CBILS!$G$61:$J$61</c:f>
              <c:numCache>
                <c:formatCode>0.0%</c:formatCode>
                <c:ptCount val="4"/>
                <c:pt idx="0">
                  <c:v>1.4622744385304426E-2</c:v>
                </c:pt>
                <c:pt idx="1">
                  <c:v>4.1469450889404487E-3</c:v>
                </c:pt>
                <c:pt idx="2">
                  <c:v>4.196035242290749E-3</c:v>
                </c:pt>
                <c:pt idx="3">
                  <c:v>2.1447565944670812E-2</c:v>
                </c:pt>
              </c:numCache>
            </c:numRef>
          </c:val>
          <c:extLst>
            <c:ext xmlns:c16="http://schemas.microsoft.com/office/drawing/2014/chart" uri="{C3380CC4-5D6E-409C-BE32-E72D297353CC}">
              <c16:uniqueId val="{00000002-69A5-4E7E-A9E1-750B1D7861E2}"/>
            </c:ext>
          </c:extLst>
        </c:ser>
        <c:ser>
          <c:idx val="3"/>
          <c:order val="3"/>
          <c:tx>
            <c:strRef>
              <c:f>CBILS!$F$62</c:f>
              <c:strCache>
                <c:ptCount val="1"/>
                <c:pt idx="0">
                  <c:v>Settled</c:v>
                </c:pt>
              </c:strCache>
            </c:strRef>
          </c:tx>
          <c:spPr>
            <a:solidFill>
              <a:srgbClr val="50C5A7"/>
            </a:solidFill>
            <a:ln>
              <a:noFill/>
            </a:ln>
            <a:effectLst/>
          </c:spPr>
          <c:invertIfNegative val="0"/>
          <c:cat>
            <c:strRef>
              <c:f>CBILS!$G$58:$J$58</c:f>
              <c:strCache>
                <c:ptCount val="4"/>
                <c:pt idx="0">
                  <c:v>Total</c:v>
                </c:pt>
                <c:pt idx="1">
                  <c:v>CBILS</c:v>
                </c:pt>
                <c:pt idx="2">
                  <c:v>CLBILS</c:v>
                </c:pt>
                <c:pt idx="3">
                  <c:v>BBLS</c:v>
                </c:pt>
              </c:strCache>
            </c:strRef>
          </c:cat>
          <c:val>
            <c:numRef>
              <c:f>CBILS!$G$62:$J$62</c:f>
              <c:numCache>
                <c:formatCode>0.0%</c:formatCode>
                <c:ptCount val="4"/>
                <c:pt idx="0">
                  <c:v>9.5886797351681166E-2</c:v>
                </c:pt>
                <c:pt idx="1">
                  <c:v>1.8419566898685229E-2</c:v>
                </c:pt>
                <c:pt idx="2">
                  <c:v>4.0572687224669605E-3</c:v>
                </c:pt>
                <c:pt idx="3">
                  <c:v>0.14778919150761313</c:v>
                </c:pt>
              </c:numCache>
            </c:numRef>
          </c:val>
          <c:extLst>
            <c:ext xmlns:c16="http://schemas.microsoft.com/office/drawing/2014/chart" uri="{C3380CC4-5D6E-409C-BE32-E72D297353CC}">
              <c16:uniqueId val="{00000003-69A5-4E7E-A9E1-750B1D7861E2}"/>
            </c:ext>
          </c:extLst>
        </c:ser>
        <c:dLbls>
          <c:showLegendKey val="0"/>
          <c:showVal val="0"/>
          <c:showCatName val="0"/>
          <c:showSerName val="0"/>
          <c:showPercent val="0"/>
          <c:showBubbleSize val="0"/>
        </c:dLbls>
        <c:gapWidth val="150"/>
        <c:overlap val="100"/>
        <c:axId val="1443181904"/>
        <c:axId val="1443183344"/>
      </c:barChart>
      <c:catAx>
        <c:axId val="144318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3183344"/>
        <c:crosses val="autoZero"/>
        <c:auto val="1"/>
        <c:lblAlgn val="ctr"/>
        <c:lblOffset val="100"/>
        <c:noMultiLvlLbl val="0"/>
      </c:catAx>
      <c:valAx>
        <c:axId val="1443183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total drawn value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318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42855"/>
            </a:solidFill>
            <a:ln>
              <a:noFill/>
            </a:ln>
            <a:effectLst/>
          </c:spPr>
          <c:invertIfNegative val="0"/>
          <c:cat>
            <c:strRef>
              <c:f>Fraud!$A$14:$A$16</c:f>
              <c:strCache>
                <c:ptCount val="3"/>
                <c:pt idx="0">
                  <c:v>CBILS</c:v>
                </c:pt>
                <c:pt idx="1">
                  <c:v>CLBILS</c:v>
                </c:pt>
                <c:pt idx="2">
                  <c:v>BBLS</c:v>
                </c:pt>
              </c:strCache>
            </c:strRef>
          </c:cat>
          <c:val>
            <c:numRef>
              <c:f>Fraud!$B$14:$B$16</c:f>
              <c:numCache>
                <c:formatCode>0%</c:formatCode>
                <c:ptCount val="3"/>
                <c:pt idx="0" formatCode="0.00%">
                  <c:v>1.4906794830300352E-3</c:v>
                </c:pt>
                <c:pt idx="1">
                  <c:v>0</c:v>
                </c:pt>
                <c:pt idx="2" formatCode="0.00%">
                  <c:v>3.5392376960512235E-2</c:v>
                </c:pt>
              </c:numCache>
            </c:numRef>
          </c:val>
          <c:extLst>
            <c:ext xmlns:c16="http://schemas.microsoft.com/office/drawing/2014/chart" uri="{C3380CC4-5D6E-409C-BE32-E72D297353CC}">
              <c16:uniqueId val="{00000000-368B-424E-ADEE-87616DE7CA74}"/>
            </c:ext>
          </c:extLst>
        </c:ser>
        <c:dLbls>
          <c:showLegendKey val="0"/>
          <c:showVal val="0"/>
          <c:showCatName val="0"/>
          <c:showSerName val="0"/>
          <c:showPercent val="0"/>
          <c:showBubbleSize val="0"/>
        </c:dLbls>
        <c:gapWidth val="219"/>
        <c:overlap val="-27"/>
        <c:axId val="1441965744"/>
        <c:axId val="1441966224"/>
      </c:barChart>
      <c:catAx>
        <c:axId val="144196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966224"/>
        <c:crosses val="autoZero"/>
        <c:auto val="1"/>
        <c:lblAlgn val="ctr"/>
        <c:lblOffset val="100"/>
        <c:noMultiLvlLbl val="0"/>
      </c:catAx>
      <c:valAx>
        <c:axId val="144196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value of portfolio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965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6CF0A6-6446-4351-89B4-30C555FAF8E9}"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6175D836-EB5E-4A93-91B2-638526C9771F}">
      <dgm:prSet phldrT="[Text]" custT="1"/>
      <dgm:spPr/>
      <dgm:t>
        <a:bodyPr/>
        <a:lstStyle/>
        <a:p>
          <a:r>
            <a:rPr lang="en-GB" sz="1200"/>
            <a:t>Additional job losses that could have occurred in the absence of the Covid-19 Loan Guarantee Schemes</a:t>
          </a:r>
        </a:p>
      </dgm:t>
    </dgm:pt>
    <dgm:pt modelId="{D552DA95-3C9E-4E5D-AD68-69133723A054}" type="parTrans" cxnId="{6600664B-E42F-4C09-AADB-FF8EAD3D7BCF}">
      <dgm:prSet/>
      <dgm:spPr/>
      <dgm:t>
        <a:bodyPr/>
        <a:lstStyle/>
        <a:p>
          <a:endParaRPr lang="en-GB" sz="1200"/>
        </a:p>
      </dgm:t>
    </dgm:pt>
    <dgm:pt modelId="{5C5A14DD-0DE7-4FE2-8B85-DE2DE18143F2}" type="sibTrans" cxnId="{6600664B-E42F-4C09-AADB-FF8EAD3D7BCF}">
      <dgm:prSet/>
      <dgm:spPr/>
      <dgm:t>
        <a:bodyPr/>
        <a:lstStyle/>
        <a:p>
          <a:endParaRPr lang="en-GB" sz="1200"/>
        </a:p>
      </dgm:t>
    </dgm:pt>
    <dgm:pt modelId="{3A007E70-C2C3-45C7-BD44-C12639BD5163}">
      <dgm:prSet phldrT="[Text]" custT="1"/>
      <dgm:spPr/>
      <dgm:t>
        <a:bodyPr/>
        <a:lstStyle/>
        <a:p>
          <a:r>
            <a:rPr lang="en-GB" sz="1200"/>
            <a:t>Job losses avoided due to the avoidance of business closure </a:t>
          </a:r>
        </a:p>
      </dgm:t>
    </dgm:pt>
    <dgm:pt modelId="{0B7E2EC8-E636-4B65-9757-E8F3E26652D4}" type="parTrans" cxnId="{B8ABAA7B-840A-4C9E-ABF4-81DC82827A4A}">
      <dgm:prSet/>
      <dgm:spPr/>
      <dgm:t>
        <a:bodyPr/>
        <a:lstStyle/>
        <a:p>
          <a:endParaRPr lang="en-GB" sz="1200"/>
        </a:p>
      </dgm:t>
    </dgm:pt>
    <dgm:pt modelId="{480F37FE-812D-44DD-94AC-41E976E6079C}" type="sibTrans" cxnId="{B8ABAA7B-840A-4C9E-ABF4-81DC82827A4A}">
      <dgm:prSet/>
      <dgm:spPr/>
      <dgm:t>
        <a:bodyPr/>
        <a:lstStyle/>
        <a:p>
          <a:endParaRPr lang="en-GB" sz="1200"/>
        </a:p>
      </dgm:t>
    </dgm:pt>
    <dgm:pt modelId="{41F1F678-B7AF-420A-9CE5-2BF6F4FA6486}">
      <dgm:prSet phldrT="[Text]" custT="1"/>
      <dgm:spPr/>
      <dgm:t>
        <a:bodyPr/>
        <a:lstStyle/>
        <a:p>
          <a:r>
            <a:rPr lang="en-GB" sz="1200"/>
            <a:t>Job losses avoided due to surviving businesses having higher post-pandemic employment than without the schemes</a:t>
          </a:r>
        </a:p>
      </dgm:t>
    </dgm:pt>
    <dgm:pt modelId="{F225C316-926F-4104-B457-B5F0FC98DCE1}" type="parTrans" cxnId="{45C791DC-5323-49C5-90D7-1DF97444E17E}">
      <dgm:prSet/>
      <dgm:spPr/>
      <dgm:t>
        <a:bodyPr/>
        <a:lstStyle/>
        <a:p>
          <a:endParaRPr lang="en-GB" sz="1200"/>
        </a:p>
      </dgm:t>
    </dgm:pt>
    <dgm:pt modelId="{9D75BE41-E0AB-4683-A6A6-A98C4A0952D3}" type="sibTrans" cxnId="{45C791DC-5323-49C5-90D7-1DF97444E17E}">
      <dgm:prSet/>
      <dgm:spPr/>
      <dgm:t>
        <a:bodyPr/>
        <a:lstStyle/>
        <a:p>
          <a:endParaRPr lang="en-GB" sz="1200"/>
        </a:p>
      </dgm:t>
    </dgm:pt>
    <dgm:pt modelId="{8A186790-7E26-4F8E-BA5A-D12B1707D599}" type="pres">
      <dgm:prSet presAssocID="{566CF0A6-6446-4351-89B4-30C555FAF8E9}" presName="hierChild1" presStyleCnt="0">
        <dgm:presLayoutVars>
          <dgm:orgChart val="1"/>
          <dgm:chPref val="1"/>
          <dgm:dir/>
          <dgm:animOne val="branch"/>
          <dgm:animLvl val="lvl"/>
          <dgm:resizeHandles/>
        </dgm:presLayoutVars>
      </dgm:prSet>
      <dgm:spPr/>
    </dgm:pt>
    <dgm:pt modelId="{F2B939AF-80DD-431E-A9F0-6B0A972837B6}" type="pres">
      <dgm:prSet presAssocID="{6175D836-EB5E-4A93-91B2-638526C9771F}" presName="hierRoot1" presStyleCnt="0">
        <dgm:presLayoutVars>
          <dgm:hierBranch val="init"/>
        </dgm:presLayoutVars>
      </dgm:prSet>
      <dgm:spPr/>
    </dgm:pt>
    <dgm:pt modelId="{4C5B1CA5-FA70-4AF2-B2E3-DB56A8AF1409}" type="pres">
      <dgm:prSet presAssocID="{6175D836-EB5E-4A93-91B2-638526C9771F}" presName="rootComposite1" presStyleCnt="0"/>
      <dgm:spPr/>
    </dgm:pt>
    <dgm:pt modelId="{AFED7D46-D350-4924-B0CC-AE03140FF7BC}" type="pres">
      <dgm:prSet presAssocID="{6175D836-EB5E-4A93-91B2-638526C9771F}" presName="rootText1" presStyleLbl="node0" presStyleIdx="0" presStyleCnt="1">
        <dgm:presLayoutVars>
          <dgm:chPref val="3"/>
        </dgm:presLayoutVars>
      </dgm:prSet>
      <dgm:spPr/>
    </dgm:pt>
    <dgm:pt modelId="{6A290BB9-82C3-4D53-9407-E9438A69E4F8}" type="pres">
      <dgm:prSet presAssocID="{6175D836-EB5E-4A93-91B2-638526C9771F}" presName="rootConnector1" presStyleLbl="node1" presStyleIdx="0" presStyleCnt="0"/>
      <dgm:spPr/>
    </dgm:pt>
    <dgm:pt modelId="{309049A7-7C9C-45AC-A3CE-8FCB776DB221}" type="pres">
      <dgm:prSet presAssocID="{6175D836-EB5E-4A93-91B2-638526C9771F}" presName="hierChild2" presStyleCnt="0"/>
      <dgm:spPr/>
    </dgm:pt>
    <dgm:pt modelId="{0629FC8B-0AF8-4B5A-BA39-5B463086834C}" type="pres">
      <dgm:prSet presAssocID="{0B7E2EC8-E636-4B65-9757-E8F3E26652D4}" presName="Name37" presStyleLbl="parChTrans1D2" presStyleIdx="0" presStyleCnt="2"/>
      <dgm:spPr/>
    </dgm:pt>
    <dgm:pt modelId="{7C084DB2-5627-49BF-9C37-55A290DDCC9D}" type="pres">
      <dgm:prSet presAssocID="{3A007E70-C2C3-45C7-BD44-C12639BD5163}" presName="hierRoot2" presStyleCnt="0">
        <dgm:presLayoutVars>
          <dgm:hierBranch val="init"/>
        </dgm:presLayoutVars>
      </dgm:prSet>
      <dgm:spPr/>
    </dgm:pt>
    <dgm:pt modelId="{F1096B7D-99FC-455E-8F07-5D7A76FB3943}" type="pres">
      <dgm:prSet presAssocID="{3A007E70-C2C3-45C7-BD44-C12639BD5163}" presName="rootComposite" presStyleCnt="0"/>
      <dgm:spPr/>
    </dgm:pt>
    <dgm:pt modelId="{BC6D9E37-01AE-439F-B13E-85E694EE51D6}" type="pres">
      <dgm:prSet presAssocID="{3A007E70-C2C3-45C7-BD44-C12639BD5163}" presName="rootText" presStyleLbl="node2" presStyleIdx="0" presStyleCnt="2">
        <dgm:presLayoutVars>
          <dgm:chPref val="3"/>
        </dgm:presLayoutVars>
      </dgm:prSet>
      <dgm:spPr/>
    </dgm:pt>
    <dgm:pt modelId="{F8DD9417-4912-450A-BAB1-121CFD5FD623}" type="pres">
      <dgm:prSet presAssocID="{3A007E70-C2C3-45C7-BD44-C12639BD5163}" presName="rootConnector" presStyleLbl="node2" presStyleIdx="0" presStyleCnt="2"/>
      <dgm:spPr/>
    </dgm:pt>
    <dgm:pt modelId="{746F5D24-CBCD-4385-8F12-1B2AE4EA694D}" type="pres">
      <dgm:prSet presAssocID="{3A007E70-C2C3-45C7-BD44-C12639BD5163}" presName="hierChild4" presStyleCnt="0"/>
      <dgm:spPr/>
    </dgm:pt>
    <dgm:pt modelId="{F4990286-522A-43C0-9F36-94869A671426}" type="pres">
      <dgm:prSet presAssocID="{3A007E70-C2C3-45C7-BD44-C12639BD5163}" presName="hierChild5" presStyleCnt="0"/>
      <dgm:spPr/>
    </dgm:pt>
    <dgm:pt modelId="{274101A5-FDB1-42D1-97B3-990B9D021DD2}" type="pres">
      <dgm:prSet presAssocID="{F225C316-926F-4104-B457-B5F0FC98DCE1}" presName="Name37" presStyleLbl="parChTrans1D2" presStyleIdx="1" presStyleCnt="2"/>
      <dgm:spPr/>
    </dgm:pt>
    <dgm:pt modelId="{8FBF04DA-BA1D-4DF3-A383-C0EFE9602EDC}" type="pres">
      <dgm:prSet presAssocID="{41F1F678-B7AF-420A-9CE5-2BF6F4FA6486}" presName="hierRoot2" presStyleCnt="0">
        <dgm:presLayoutVars>
          <dgm:hierBranch val="init"/>
        </dgm:presLayoutVars>
      </dgm:prSet>
      <dgm:spPr/>
    </dgm:pt>
    <dgm:pt modelId="{9032775E-D49A-4C98-94F7-2A791B6FAEDD}" type="pres">
      <dgm:prSet presAssocID="{41F1F678-B7AF-420A-9CE5-2BF6F4FA6486}" presName="rootComposite" presStyleCnt="0"/>
      <dgm:spPr/>
    </dgm:pt>
    <dgm:pt modelId="{129615F0-2214-4EB7-9476-6D06C818A15A}" type="pres">
      <dgm:prSet presAssocID="{41F1F678-B7AF-420A-9CE5-2BF6F4FA6486}" presName="rootText" presStyleLbl="node2" presStyleIdx="1" presStyleCnt="2">
        <dgm:presLayoutVars>
          <dgm:chPref val="3"/>
        </dgm:presLayoutVars>
      </dgm:prSet>
      <dgm:spPr/>
    </dgm:pt>
    <dgm:pt modelId="{70EB5EC8-1B5D-4D52-910F-B5740DB4AF09}" type="pres">
      <dgm:prSet presAssocID="{41F1F678-B7AF-420A-9CE5-2BF6F4FA6486}" presName="rootConnector" presStyleLbl="node2" presStyleIdx="1" presStyleCnt="2"/>
      <dgm:spPr/>
    </dgm:pt>
    <dgm:pt modelId="{1654107E-B523-4002-9AC7-728C6DBB73E2}" type="pres">
      <dgm:prSet presAssocID="{41F1F678-B7AF-420A-9CE5-2BF6F4FA6486}" presName="hierChild4" presStyleCnt="0"/>
      <dgm:spPr/>
    </dgm:pt>
    <dgm:pt modelId="{C9B6CDF8-9017-4976-91FF-847F0443ED42}" type="pres">
      <dgm:prSet presAssocID="{41F1F678-B7AF-420A-9CE5-2BF6F4FA6486}" presName="hierChild5" presStyleCnt="0"/>
      <dgm:spPr/>
    </dgm:pt>
    <dgm:pt modelId="{999CA9FE-7905-4329-B289-277AF4485203}" type="pres">
      <dgm:prSet presAssocID="{6175D836-EB5E-4A93-91B2-638526C9771F}" presName="hierChild3" presStyleCnt="0"/>
      <dgm:spPr/>
    </dgm:pt>
  </dgm:ptLst>
  <dgm:cxnLst>
    <dgm:cxn modelId="{11504313-5258-4571-AC91-45D91B619E7C}" type="presOf" srcId="{6175D836-EB5E-4A93-91B2-638526C9771F}" destId="{6A290BB9-82C3-4D53-9407-E9438A69E4F8}" srcOrd="1" destOrd="0" presId="urn:microsoft.com/office/officeart/2005/8/layout/orgChart1"/>
    <dgm:cxn modelId="{3AB95D15-04A7-412F-A042-98BD1B5E5355}" type="presOf" srcId="{3A007E70-C2C3-45C7-BD44-C12639BD5163}" destId="{BC6D9E37-01AE-439F-B13E-85E694EE51D6}" srcOrd="0" destOrd="0" presId="urn:microsoft.com/office/officeart/2005/8/layout/orgChart1"/>
    <dgm:cxn modelId="{197AD437-3209-4CDA-B88B-50D38F9704D2}" type="presOf" srcId="{6175D836-EB5E-4A93-91B2-638526C9771F}" destId="{AFED7D46-D350-4924-B0CC-AE03140FF7BC}" srcOrd="0" destOrd="0" presId="urn:microsoft.com/office/officeart/2005/8/layout/orgChart1"/>
    <dgm:cxn modelId="{8860D26A-4494-4A26-A7AD-57F0C288641D}" type="presOf" srcId="{566CF0A6-6446-4351-89B4-30C555FAF8E9}" destId="{8A186790-7E26-4F8E-BA5A-D12B1707D599}" srcOrd="0" destOrd="0" presId="urn:microsoft.com/office/officeart/2005/8/layout/orgChart1"/>
    <dgm:cxn modelId="{6600664B-E42F-4C09-AADB-FF8EAD3D7BCF}" srcId="{566CF0A6-6446-4351-89B4-30C555FAF8E9}" destId="{6175D836-EB5E-4A93-91B2-638526C9771F}" srcOrd="0" destOrd="0" parTransId="{D552DA95-3C9E-4E5D-AD68-69133723A054}" sibTransId="{5C5A14DD-0DE7-4FE2-8B85-DE2DE18143F2}"/>
    <dgm:cxn modelId="{12E48578-EBBF-42CE-BE4F-416C27C8B567}" type="presOf" srcId="{41F1F678-B7AF-420A-9CE5-2BF6F4FA6486}" destId="{70EB5EC8-1B5D-4D52-910F-B5740DB4AF09}" srcOrd="1" destOrd="0" presId="urn:microsoft.com/office/officeart/2005/8/layout/orgChart1"/>
    <dgm:cxn modelId="{B8ABAA7B-840A-4C9E-ABF4-81DC82827A4A}" srcId="{6175D836-EB5E-4A93-91B2-638526C9771F}" destId="{3A007E70-C2C3-45C7-BD44-C12639BD5163}" srcOrd="0" destOrd="0" parTransId="{0B7E2EC8-E636-4B65-9757-E8F3E26652D4}" sibTransId="{480F37FE-812D-44DD-94AC-41E976E6079C}"/>
    <dgm:cxn modelId="{66717BB3-5BF2-4D15-805C-CCC04131EC00}" type="presOf" srcId="{41F1F678-B7AF-420A-9CE5-2BF6F4FA6486}" destId="{129615F0-2214-4EB7-9476-6D06C818A15A}" srcOrd="0" destOrd="0" presId="urn:microsoft.com/office/officeart/2005/8/layout/orgChart1"/>
    <dgm:cxn modelId="{F0B2C5BA-9E2E-4CD3-900D-3E1FE0125C53}" type="presOf" srcId="{F225C316-926F-4104-B457-B5F0FC98DCE1}" destId="{274101A5-FDB1-42D1-97B3-990B9D021DD2}" srcOrd="0" destOrd="0" presId="urn:microsoft.com/office/officeart/2005/8/layout/orgChart1"/>
    <dgm:cxn modelId="{45C791DC-5323-49C5-90D7-1DF97444E17E}" srcId="{6175D836-EB5E-4A93-91B2-638526C9771F}" destId="{41F1F678-B7AF-420A-9CE5-2BF6F4FA6486}" srcOrd="1" destOrd="0" parTransId="{F225C316-926F-4104-B457-B5F0FC98DCE1}" sibTransId="{9D75BE41-E0AB-4683-A6A6-A98C4A0952D3}"/>
    <dgm:cxn modelId="{CED076F5-18C2-43EC-80F7-5FB220427DFD}" type="presOf" srcId="{0B7E2EC8-E636-4B65-9757-E8F3E26652D4}" destId="{0629FC8B-0AF8-4B5A-BA39-5B463086834C}" srcOrd="0" destOrd="0" presId="urn:microsoft.com/office/officeart/2005/8/layout/orgChart1"/>
    <dgm:cxn modelId="{EDA4C3FE-5A85-4784-BE24-C41BF7B2F849}" type="presOf" srcId="{3A007E70-C2C3-45C7-BD44-C12639BD5163}" destId="{F8DD9417-4912-450A-BAB1-121CFD5FD623}" srcOrd="1" destOrd="0" presId="urn:microsoft.com/office/officeart/2005/8/layout/orgChart1"/>
    <dgm:cxn modelId="{00560B03-E7E3-46F7-869C-ED5ABAD373B2}" type="presParOf" srcId="{8A186790-7E26-4F8E-BA5A-D12B1707D599}" destId="{F2B939AF-80DD-431E-A9F0-6B0A972837B6}" srcOrd="0" destOrd="0" presId="urn:microsoft.com/office/officeart/2005/8/layout/orgChart1"/>
    <dgm:cxn modelId="{156D399D-1F20-4DFC-9BB9-BD5BEABC7E34}" type="presParOf" srcId="{F2B939AF-80DD-431E-A9F0-6B0A972837B6}" destId="{4C5B1CA5-FA70-4AF2-B2E3-DB56A8AF1409}" srcOrd="0" destOrd="0" presId="urn:microsoft.com/office/officeart/2005/8/layout/orgChart1"/>
    <dgm:cxn modelId="{77D4C8F7-D2C0-4AA5-9F96-17D67F28AC5B}" type="presParOf" srcId="{4C5B1CA5-FA70-4AF2-B2E3-DB56A8AF1409}" destId="{AFED7D46-D350-4924-B0CC-AE03140FF7BC}" srcOrd="0" destOrd="0" presId="urn:microsoft.com/office/officeart/2005/8/layout/orgChart1"/>
    <dgm:cxn modelId="{33C0882D-1633-482F-983E-A40B1D596041}" type="presParOf" srcId="{4C5B1CA5-FA70-4AF2-B2E3-DB56A8AF1409}" destId="{6A290BB9-82C3-4D53-9407-E9438A69E4F8}" srcOrd="1" destOrd="0" presId="urn:microsoft.com/office/officeart/2005/8/layout/orgChart1"/>
    <dgm:cxn modelId="{5BFFE661-999F-4A1F-9D18-5C3F7E24EEE1}" type="presParOf" srcId="{F2B939AF-80DD-431E-A9F0-6B0A972837B6}" destId="{309049A7-7C9C-45AC-A3CE-8FCB776DB221}" srcOrd="1" destOrd="0" presId="urn:microsoft.com/office/officeart/2005/8/layout/orgChart1"/>
    <dgm:cxn modelId="{8BC76CDA-DC2D-454A-B1A3-E3D6741AC0CE}" type="presParOf" srcId="{309049A7-7C9C-45AC-A3CE-8FCB776DB221}" destId="{0629FC8B-0AF8-4B5A-BA39-5B463086834C}" srcOrd="0" destOrd="0" presId="urn:microsoft.com/office/officeart/2005/8/layout/orgChart1"/>
    <dgm:cxn modelId="{F6E5F27E-49B3-4773-9A6A-57C124039963}" type="presParOf" srcId="{309049A7-7C9C-45AC-A3CE-8FCB776DB221}" destId="{7C084DB2-5627-49BF-9C37-55A290DDCC9D}" srcOrd="1" destOrd="0" presId="urn:microsoft.com/office/officeart/2005/8/layout/orgChart1"/>
    <dgm:cxn modelId="{F0CE78BF-5D23-4042-8C45-D8FD04A346BE}" type="presParOf" srcId="{7C084DB2-5627-49BF-9C37-55A290DDCC9D}" destId="{F1096B7D-99FC-455E-8F07-5D7A76FB3943}" srcOrd="0" destOrd="0" presId="urn:microsoft.com/office/officeart/2005/8/layout/orgChart1"/>
    <dgm:cxn modelId="{19934FAF-A3D7-41A1-BBF4-CE32DE7B123F}" type="presParOf" srcId="{F1096B7D-99FC-455E-8F07-5D7A76FB3943}" destId="{BC6D9E37-01AE-439F-B13E-85E694EE51D6}" srcOrd="0" destOrd="0" presId="urn:microsoft.com/office/officeart/2005/8/layout/orgChart1"/>
    <dgm:cxn modelId="{BDDFAB95-ED85-4B3C-B242-0B575B8E48FA}" type="presParOf" srcId="{F1096B7D-99FC-455E-8F07-5D7A76FB3943}" destId="{F8DD9417-4912-450A-BAB1-121CFD5FD623}" srcOrd="1" destOrd="0" presId="urn:microsoft.com/office/officeart/2005/8/layout/orgChart1"/>
    <dgm:cxn modelId="{46EE200B-905C-4086-933C-C66C06375221}" type="presParOf" srcId="{7C084DB2-5627-49BF-9C37-55A290DDCC9D}" destId="{746F5D24-CBCD-4385-8F12-1B2AE4EA694D}" srcOrd="1" destOrd="0" presId="urn:microsoft.com/office/officeart/2005/8/layout/orgChart1"/>
    <dgm:cxn modelId="{4185ED37-B3AB-42AB-A52C-1977BEC4A9FB}" type="presParOf" srcId="{7C084DB2-5627-49BF-9C37-55A290DDCC9D}" destId="{F4990286-522A-43C0-9F36-94869A671426}" srcOrd="2" destOrd="0" presId="urn:microsoft.com/office/officeart/2005/8/layout/orgChart1"/>
    <dgm:cxn modelId="{CA163A79-42F6-47E1-BC8C-05C8D256AD40}" type="presParOf" srcId="{309049A7-7C9C-45AC-A3CE-8FCB776DB221}" destId="{274101A5-FDB1-42D1-97B3-990B9D021DD2}" srcOrd="2" destOrd="0" presId="urn:microsoft.com/office/officeart/2005/8/layout/orgChart1"/>
    <dgm:cxn modelId="{9D0843F9-1F84-4173-96BE-1EDCAF75AC95}" type="presParOf" srcId="{309049A7-7C9C-45AC-A3CE-8FCB776DB221}" destId="{8FBF04DA-BA1D-4DF3-A383-C0EFE9602EDC}" srcOrd="3" destOrd="0" presId="urn:microsoft.com/office/officeart/2005/8/layout/orgChart1"/>
    <dgm:cxn modelId="{7FBC316A-DE9F-4B34-A05A-745D20D48133}" type="presParOf" srcId="{8FBF04DA-BA1D-4DF3-A383-C0EFE9602EDC}" destId="{9032775E-D49A-4C98-94F7-2A791B6FAEDD}" srcOrd="0" destOrd="0" presId="urn:microsoft.com/office/officeart/2005/8/layout/orgChart1"/>
    <dgm:cxn modelId="{41618A66-5593-40B1-93B1-ABD848EDDE04}" type="presParOf" srcId="{9032775E-D49A-4C98-94F7-2A791B6FAEDD}" destId="{129615F0-2214-4EB7-9476-6D06C818A15A}" srcOrd="0" destOrd="0" presId="urn:microsoft.com/office/officeart/2005/8/layout/orgChart1"/>
    <dgm:cxn modelId="{20210EF9-74E9-4778-AC49-180C3191A846}" type="presParOf" srcId="{9032775E-D49A-4C98-94F7-2A791B6FAEDD}" destId="{70EB5EC8-1B5D-4D52-910F-B5740DB4AF09}" srcOrd="1" destOrd="0" presId="urn:microsoft.com/office/officeart/2005/8/layout/orgChart1"/>
    <dgm:cxn modelId="{70D22849-F454-498C-8575-3503D0F9BC82}" type="presParOf" srcId="{8FBF04DA-BA1D-4DF3-A383-C0EFE9602EDC}" destId="{1654107E-B523-4002-9AC7-728C6DBB73E2}" srcOrd="1" destOrd="0" presId="urn:microsoft.com/office/officeart/2005/8/layout/orgChart1"/>
    <dgm:cxn modelId="{A3129604-55C9-43A4-9184-3F39F3F450C6}" type="presParOf" srcId="{8FBF04DA-BA1D-4DF3-A383-C0EFE9602EDC}" destId="{C9B6CDF8-9017-4976-91FF-847F0443ED42}" srcOrd="2" destOrd="0" presId="urn:microsoft.com/office/officeart/2005/8/layout/orgChart1"/>
    <dgm:cxn modelId="{6E0557AE-3C80-4571-A8FB-0D45CA3B8F21}" type="presParOf" srcId="{F2B939AF-80DD-431E-A9F0-6B0A972837B6}" destId="{999CA9FE-7905-4329-B289-277AF4485203}"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EEE1DC-6EA5-491D-A524-D1ECAB857A8E}" type="doc">
      <dgm:prSet loTypeId="urn:microsoft.com/office/officeart/2005/8/layout/chevron1" loCatId="process" qsTypeId="urn:microsoft.com/office/officeart/2005/8/quickstyle/simple1" qsCatId="simple" csTypeId="urn:microsoft.com/office/officeart/2005/8/colors/accent2_2" csCatId="accent2" phldr="1"/>
      <dgm:spPr/>
    </dgm:pt>
    <dgm:pt modelId="{985EBDD2-BCD8-42D2-95C3-DC31A3F7F186}">
      <dgm:prSet phldrT="[Text]"/>
      <dgm:spPr/>
      <dgm:t>
        <a:bodyPr/>
        <a:lstStyle/>
        <a:p>
          <a:pPr algn="ctr"/>
          <a:r>
            <a:rPr lang="en-GB"/>
            <a:t>I: Competitiveness of the market</a:t>
          </a:r>
        </a:p>
      </dgm:t>
    </dgm:pt>
    <dgm:pt modelId="{F788870A-91F3-4BC8-B12B-A7E864DC29E1}" type="parTrans" cxnId="{7B54A6A3-9CD0-4224-8794-E01BB32C6AEB}">
      <dgm:prSet/>
      <dgm:spPr/>
      <dgm:t>
        <a:bodyPr/>
        <a:lstStyle/>
        <a:p>
          <a:pPr algn="ctr"/>
          <a:endParaRPr lang="en-GB"/>
        </a:p>
      </dgm:t>
    </dgm:pt>
    <dgm:pt modelId="{12E8A1DB-0887-49D6-A524-0DF3BCF9A0BB}" type="sibTrans" cxnId="{7B54A6A3-9CD0-4224-8794-E01BB32C6AEB}">
      <dgm:prSet/>
      <dgm:spPr/>
      <dgm:t>
        <a:bodyPr/>
        <a:lstStyle/>
        <a:p>
          <a:pPr algn="ctr"/>
          <a:endParaRPr lang="en-GB"/>
        </a:p>
      </dgm:t>
    </dgm:pt>
    <dgm:pt modelId="{2F7CD46A-C3AA-4EDF-99FE-6FCC29CA0BBA}">
      <dgm:prSet phldrT="[Text]"/>
      <dgm:spPr/>
      <dgm:t>
        <a:bodyPr/>
        <a:lstStyle/>
        <a:p>
          <a:pPr algn="ctr"/>
          <a:r>
            <a:rPr lang="en-GB"/>
            <a:t>II: Share of sales that would be taken up by competitors</a:t>
          </a:r>
        </a:p>
      </dgm:t>
    </dgm:pt>
    <dgm:pt modelId="{E0CFE806-9345-4292-BBD7-4EAB607BE960}" type="parTrans" cxnId="{B68305D0-1D2E-4346-9035-96D129291F4B}">
      <dgm:prSet/>
      <dgm:spPr/>
      <dgm:t>
        <a:bodyPr/>
        <a:lstStyle/>
        <a:p>
          <a:pPr algn="ctr"/>
          <a:endParaRPr lang="en-GB"/>
        </a:p>
      </dgm:t>
    </dgm:pt>
    <dgm:pt modelId="{EB586454-B364-4902-AEDF-5A1A65D81028}" type="sibTrans" cxnId="{B68305D0-1D2E-4346-9035-96D129291F4B}">
      <dgm:prSet/>
      <dgm:spPr/>
      <dgm:t>
        <a:bodyPr/>
        <a:lstStyle/>
        <a:p>
          <a:pPr algn="ctr"/>
          <a:endParaRPr lang="en-GB"/>
        </a:p>
      </dgm:t>
    </dgm:pt>
    <dgm:pt modelId="{DA86C907-07DC-4350-8CDA-02CEE13AA906}">
      <dgm:prSet phldrT="[Text]"/>
      <dgm:spPr/>
      <dgm:t>
        <a:bodyPr/>
        <a:lstStyle/>
        <a:p>
          <a:pPr algn="ctr"/>
          <a:r>
            <a:rPr lang="en-GB"/>
            <a:t>III: Extent to which competitiors are UK-based</a:t>
          </a:r>
        </a:p>
      </dgm:t>
    </dgm:pt>
    <dgm:pt modelId="{7FB4B650-D3A1-4CF8-8DA1-1A0533898383}" type="parTrans" cxnId="{54A24C89-BFE5-434D-86D3-FFCE43CB8BEF}">
      <dgm:prSet/>
      <dgm:spPr/>
      <dgm:t>
        <a:bodyPr/>
        <a:lstStyle/>
        <a:p>
          <a:pPr algn="ctr"/>
          <a:endParaRPr lang="en-GB"/>
        </a:p>
      </dgm:t>
    </dgm:pt>
    <dgm:pt modelId="{144DE181-E51E-4823-BDED-C639FA5E2231}" type="sibTrans" cxnId="{54A24C89-BFE5-434D-86D3-FFCE43CB8BEF}">
      <dgm:prSet/>
      <dgm:spPr/>
      <dgm:t>
        <a:bodyPr/>
        <a:lstStyle/>
        <a:p>
          <a:pPr algn="ctr"/>
          <a:endParaRPr lang="en-GB"/>
        </a:p>
      </dgm:t>
    </dgm:pt>
    <dgm:pt modelId="{5AF331D0-7E80-4384-9575-D2B6327D3830}" type="pres">
      <dgm:prSet presAssocID="{62EEE1DC-6EA5-491D-A524-D1ECAB857A8E}" presName="Name0" presStyleCnt="0">
        <dgm:presLayoutVars>
          <dgm:dir/>
          <dgm:animLvl val="lvl"/>
          <dgm:resizeHandles val="exact"/>
        </dgm:presLayoutVars>
      </dgm:prSet>
      <dgm:spPr/>
    </dgm:pt>
    <dgm:pt modelId="{F8ADB643-6B64-4291-AA22-99C55C51BBCC}" type="pres">
      <dgm:prSet presAssocID="{985EBDD2-BCD8-42D2-95C3-DC31A3F7F186}" presName="parTxOnly" presStyleLbl="node1" presStyleIdx="0" presStyleCnt="3">
        <dgm:presLayoutVars>
          <dgm:chMax val="0"/>
          <dgm:chPref val="0"/>
          <dgm:bulletEnabled val="1"/>
        </dgm:presLayoutVars>
      </dgm:prSet>
      <dgm:spPr/>
    </dgm:pt>
    <dgm:pt modelId="{DAA1CDE4-EC76-46F9-B9DC-2DC4D56F7FD2}" type="pres">
      <dgm:prSet presAssocID="{12E8A1DB-0887-49D6-A524-0DF3BCF9A0BB}" presName="parTxOnlySpace" presStyleCnt="0"/>
      <dgm:spPr/>
    </dgm:pt>
    <dgm:pt modelId="{C217FA86-BC3B-4020-A64B-223B2D046C1A}" type="pres">
      <dgm:prSet presAssocID="{2F7CD46A-C3AA-4EDF-99FE-6FCC29CA0BBA}" presName="parTxOnly" presStyleLbl="node1" presStyleIdx="1" presStyleCnt="3">
        <dgm:presLayoutVars>
          <dgm:chMax val="0"/>
          <dgm:chPref val="0"/>
          <dgm:bulletEnabled val="1"/>
        </dgm:presLayoutVars>
      </dgm:prSet>
      <dgm:spPr/>
    </dgm:pt>
    <dgm:pt modelId="{108BAE9E-0D3B-4ECD-9EE6-EBB54DF4E382}" type="pres">
      <dgm:prSet presAssocID="{EB586454-B364-4902-AEDF-5A1A65D81028}" presName="parTxOnlySpace" presStyleCnt="0"/>
      <dgm:spPr/>
    </dgm:pt>
    <dgm:pt modelId="{A959349A-78E5-4B09-A52A-BAE62CEBBBCE}" type="pres">
      <dgm:prSet presAssocID="{DA86C907-07DC-4350-8CDA-02CEE13AA906}" presName="parTxOnly" presStyleLbl="node1" presStyleIdx="2" presStyleCnt="3">
        <dgm:presLayoutVars>
          <dgm:chMax val="0"/>
          <dgm:chPref val="0"/>
          <dgm:bulletEnabled val="1"/>
        </dgm:presLayoutVars>
      </dgm:prSet>
      <dgm:spPr/>
    </dgm:pt>
  </dgm:ptLst>
  <dgm:cxnLst>
    <dgm:cxn modelId="{54A24C89-BFE5-434D-86D3-FFCE43CB8BEF}" srcId="{62EEE1DC-6EA5-491D-A524-D1ECAB857A8E}" destId="{DA86C907-07DC-4350-8CDA-02CEE13AA906}" srcOrd="2" destOrd="0" parTransId="{7FB4B650-D3A1-4CF8-8DA1-1A0533898383}" sibTransId="{144DE181-E51E-4823-BDED-C639FA5E2231}"/>
    <dgm:cxn modelId="{7B54A6A3-9CD0-4224-8794-E01BB32C6AEB}" srcId="{62EEE1DC-6EA5-491D-A524-D1ECAB857A8E}" destId="{985EBDD2-BCD8-42D2-95C3-DC31A3F7F186}" srcOrd="0" destOrd="0" parTransId="{F788870A-91F3-4BC8-B12B-A7E864DC29E1}" sibTransId="{12E8A1DB-0887-49D6-A524-0DF3BCF9A0BB}"/>
    <dgm:cxn modelId="{C41BDBC3-5F82-4B82-B009-0EFED257E547}" type="presOf" srcId="{2F7CD46A-C3AA-4EDF-99FE-6FCC29CA0BBA}" destId="{C217FA86-BC3B-4020-A64B-223B2D046C1A}" srcOrd="0" destOrd="0" presId="urn:microsoft.com/office/officeart/2005/8/layout/chevron1"/>
    <dgm:cxn modelId="{B68305D0-1D2E-4346-9035-96D129291F4B}" srcId="{62EEE1DC-6EA5-491D-A524-D1ECAB857A8E}" destId="{2F7CD46A-C3AA-4EDF-99FE-6FCC29CA0BBA}" srcOrd="1" destOrd="0" parTransId="{E0CFE806-9345-4292-BBD7-4EAB607BE960}" sibTransId="{EB586454-B364-4902-AEDF-5A1A65D81028}"/>
    <dgm:cxn modelId="{D102B7D6-C529-4E59-9F48-B7CEC455B89C}" type="presOf" srcId="{985EBDD2-BCD8-42D2-95C3-DC31A3F7F186}" destId="{F8ADB643-6B64-4291-AA22-99C55C51BBCC}" srcOrd="0" destOrd="0" presId="urn:microsoft.com/office/officeart/2005/8/layout/chevron1"/>
    <dgm:cxn modelId="{ECD5A0DC-96DC-42F5-A634-F6AA1B8C20DD}" type="presOf" srcId="{62EEE1DC-6EA5-491D-A524-D1ECAB857A8E}" destId="{5AF331D0-7E80-4384-9575-D2B6327D3830}" srcOrd="0" destOrd="0" presId="urn:microsoft.com/office/officeart/2005/8/layout/chevron1"/>
    <dgm:cxn modelId="{9CFC3FDF-344B-43C3-83B4-D7BB3532A13C}" type="presOf" srcId="{DA86C907-07DC-4350-8CDA-02CEE13AA906}" destId="{A959349A-78E5-4B09-A52A-BAE62CEBBBCE}" srcOrd="0" destOrd="0" presId="urn:microsoft.com/office/officeart/2005/8/layout/chevron1"/>
    <dgm:cxn modelId="{F585212E-2BE4-4528-8BBB-C53B19F4FE34}" type="presParOf" srcId="{5AF331D0-7E80-4384-9575-D2B6327D3830}" destId="{F8ADB643-6B64-4291-AA22-99C55C51BBCC}" srcOrd="0" destOrd="0" presId="urn:microsoft.com/office/officeart/2005/8/layout/chevron1"/>
    <dgm:cxn modelId="{46B8B048-0452-44E6-8BE8-784F97215141}" type="presParOf" srcId="{5AF331D0-7E80-4384-9575-D2B6327D3830}" destId="{DAA1CDE4-EC76-46F9-B9DC-2DC4D56F7FD2}" srcOrd="1" destOrd="0" presId="urn:microsoft.com/office/officeart/2005/8/layout/chevron1"/>
    <dgm:cxn modelId="{B3D312E8-3A63-400A-9680-0F9420890232}" type="presParOf" srcId="{5AF331D0-7E80-4384-9575-D2B6327D3830}" destId="{C217FA86-BC3B-4020-A64B-223B2D046C1A}" srcOrd="2" destOrd="0" presId="urn:microsoft.com/office/officeart/2005/8/layout/chevron1"/>
    <dgm:cxn modelId="{F4805503-717B-4FAA-9659-C84914DD68CC}" type="presParOf" srcId="{5AF331D0-7E80-4384-9575-D2B6327D3830}" destId="{108BAE9E-0D3B-4ECD-9EE6-EBB54DF4E382}" srcOrd="3" destOrd="0" presId="urn:microsoft.com/office/officeart/2005/8/layout/chevron1"/>
    <dgm:cxn modelId="{73A3F800-2B33-4D8D-A0ED-F9E3A0F91C70}" type="presParOf" srcId="{5AF331D0-7E80-4384-9575-D2B6327D3830}" destId="{A959349A-78E5-4B09-A52A-BAE62CEBBBCE}" srcOrd="4"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4101A5-FDB1-42D1-97B3-990B9D021DD2}">
      <dsp:nvSpPr>
        <dsp:cNvPr id="0" name=""/>
        <dsp:cNvSpPr/>
      </dsp:nvSpPr>
      <dsp:spPr>
        <a:xfrm>
          <a:off x="3125972" y="997646"/>
          <a:ext cx="1205094" cy="418297"/>
        </a:xfrm>
        <a:custGeom>
          <a:avLst/>
          <a:gdLst/>
          <a:ahLst/>
          <a:cxnLst/>
          <a:rect l="0" t="0" r="0" b="0"/>
          <a:pathLst>
            <a:path>
              <a:moveTo>
                <a:pt x="0" y="0"/>
              </a:moveTo>
              <a:lnTo>
                <a:pt x="0" y="209148"/>
              </a:lnTo>
              <a:lnTo>
                <a:pt x="1205094" y="209148"/>
              </a:lnTo>
              <a:lnTo>
                <a:pt x="1205094" y="41829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29FC8B-0AF8-4B5A-BA39-5B463086834C}">
      <dsp:nvSpPr>
        <dsp:cNvPr id="0" name=""/>
        <dsp:cNvSpPr/>
      </dsp:nvSpPr>
      <dsp:spPr>
        <a:xfrm>
          <a:off x="1920877" y="997646"/>
          <a:ext cx="1205094" cy="418297"/>
        </a:xfrm>
        <a:custGeom>
          <a:avLst/>
          <a:gdLst/>
          <a:ahLst/>
          <a:cxnLst/>
          <a:rect l="0" t="0" r="0" b="0"/>
          <a:pathLst>
            <a:path>
              <a:moveTo>
                <a:pt x="1205094" y="0"/>
              </a:moveTo>
              <a:lnTo>
                <a:pt x="1205094" y="209148"/>
              </a:lnTo>
              <a:lnTo>
                <a:pt x="0" y="209148"/>
              </a:lnTo>
              <a:lnTo>
                <a:pt x="0" y="41829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ED7D46-D350-4924-B0CC-AE03140FF7BC}">
      <dsp:nvSpPr>
        <dsp:cNvPr id="0" name=""/>
        <dsp:cNvSpPr/>
      </dsp:nvSpPr>
      <dsp:spPr>
        <a:xfrm>
          <a:off x="2130026" y="1701"/>
          <a:ext cx="1991891" cy="99594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Additional job losses that could have occurred in the absence of the Covid-19 Loan Guarantee Schemes</a:t>
          </a:r>
        </a:p>
      </dsp:txBody>
      <dsp:txXfrm>
        <a:off x="2130026" y="1701"/>
        <a:ext cx="1991891" cy="995945"/>
      </dsp:txXfrm>
    </dsp:sp>
    <dsp:sp modelId="{BC6D9E37-01AE-439F-B13E-85E694EE51D6}">
      <dsp:nvSpPr>
        <dsp:cNvPr id="0" name=""/>
        <dsp:cNvSpPr/>
      </dsp:nvSpPr>
      <dsp:spPr>
        <a:xfrm>
          <a:off x="924932" y="1415944"/>
          <a:ext cx="1991891" cy="99594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Job losses avoided due to the avoidance of business closure </a:t>
          </a:r>
        </a:p>
      </dsp:txBody>
      <dsp:txXfrm>
        <a:off x="924932" y="1415944"/>
        <a:ext cx="1991891" cy="995945"/>
      </dsp:txXfrm>
    </dsp:sp>
    <dsp:sp modelId="{129615F0-2214-4EB7-9476-6D06C818A15A}">
      <dsp:nvSpPr>
        <dsp:cNvPr id="0" name=""/>
        <dsp:cNvSpPr/>
      </dsp:nvSpPr>
      <dsp:spPr>
        <a:xfrm>
          <a:off x="3335120" y="1415944"/>
          <a:ext cx="1991891" cy="99594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Job losses avoided due to surviving businesses having higher post-pandemic employment than without the schemes</a:t>
          </a:r>
        </a:p>
      </dsp:txBody>
      <dsp:txXfrm>
        <a:off x="3335120" y="1415944"/>
        <a:ext cx="1991891" cy="9959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ADB643-6B64-4291-AA22-99C55C51BBCC}">
      <dsp:nvSpPr>
        <dsp:cNvPr id="0" name=""/>
        <dsp:cNvSpPr/>
      </dsp:nvSpPr>
      <dsp:spPr>
        <a:xfrm>
          <a:off x="1816" y="109797"/>
          <a:ext cx="2213264" cy="885305"/>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t>I: Competitiveness of the market</a:t>
          </a:r>
        </a:p>
      </dsp:txBody>
      <dsp:txXfrm>
        <a:off x="444469" y="109797"/>
        <a:ext cx="1327959" cy="885305"/>
      </dsp:txXfrm>
    </dsp:sp>
    <dsp:sp modelId="{C217FA86-BC3B-4020-A64B-223B2D046C1A}">
      <dsp:nvSpPr>
        <dsp:cNvPr id="0" name=""/>
        <dsp:cNvSpPr/>
      </dsp:nvSpPr>
      <dsp:spPr>
        <a:xfrm>
          <a:off x="1993755" y="109797"/>
          <a:ext cx="2213264" cy="885305"/>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t>II: Share of sales that would be taken up by competitors</a:t>
          </a:r>
        </a:p>
      </dsp:txBody>
      <dsp:txXfrm>
        <a:off x="2436408" y="109797"/>
        <a:ext cx="1327959" cy="885305"/>
      </dsp:txXfrm>
    </dsp:sp>
    <dsp:sp modelId="{A959349A-78E5-4B09-A52A-BAE62CEBBBCE}">
      <dsp:nvSpPr>
        <dsp:cNvPr id="0" name=""/>
        <dsp:cNvSpPr/>
      </dsp:nvSpPr>
      <dsp:spPr>
        <a:xfrm>
          <a:off x="3985693" y="109797"/>
          <a:ext cx="2213264" cy="885305"/>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t>III: Extent to which competitiors are UK-based</a:t>
          </a:r>
        </a:p>
      </dsp:txBody>
      <dsp:txXfrm>
        <a:off x="4428346" y="109797"/>
        <a:ext cx="1327959" cy="8853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BB 1">
      <a:dk1>
        <a:srgbClr val="1D1D1B"/>
      </a:dk1>
      <a:lt1>
        <a:sysClr val="window" lastClr="FFFFFF"/>
      </a:lt1>
      <a:dk2>
        <a:srgbClr val="142855"/>
      </a:dk2>
      <a:lt2>
        <a:srgbClr val="FFFFFF"/>
      </a:lt2>
      <a:accent1>
        <a:srgbClr val="FF3246"/>
      </a:accent1>
      <a:accent2>
        <a:srgbClr val="0054BA"/>
      </a:accent2>
      <a:accent3>
        <a:srgbClr val="7E89C1"/>
      </a:accent3>
      <a:accent4>
        <a:srgbClr val="3C3786"/>
      </a:accent4>
      <a:accent5>
        <a:srgbClr val="025F71"/>
      </a:accent5>
      <a:accent6>
        <a:srgbClr val="F06603"/>
      </a:accent6>
      <a:hlink>
        <a:srgbClr val="FF3246"/>
      </a:hlink>
      <a:folHlink>
        <a:srgbClr val="14285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8899ca00-cb3a-44dc-80ac-37b6f5846730" ContentTypeId="0x010100480CB59BB45EF54FBF22AC331A671B29"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umentClassification xmlns="28151370-5e02-4f6c-aff6-f20a019dd6fd">Official</DocumentClassification>
    <PD xmlns="28151370-5e02-4f6c-aff6-f20a019dd6fd">N</PD>
    <AR xmlns="28151370-5e02-4f6c-aff6-f20a019dd6fd">N</AR>
    <SC-PD xmlns="28151370-5e02-4f6c-aff6-f20a019dd6fd">N</SC-PD>
  </documentManagement>
</p:properties>
</file>

<file path=customXml/item5.xml><?xml version="1.0" encoding="utf-8"?>
<ct:contentTypeSchema xmlns:ct="http://schemas.microsoft.com/office/2006/metadata/contentType" xmlns:ma="http://schemas.microsoft.com/office/2006/metadata/properties/metaAttributes" ct:_="" ma:_="" ma:contentTypeName="BBB Document" ma:contentTypeID="0x010100480CB59BB45EF54FBF22AC331A671B29008070173E8F773E4AA123B5499EE12898" ma:contentTypeVersion="3" ma:contentTypeDescription="Default content type for all libraries" ma:contentTypeScope="" ma:versionID="0c22cbf1af9904d892bbbb676232839b">
  <xsd:schema xmlns:xsd="http://www.w3.org/2001/XMLSchema" xmlns:xs="http://www.w3.org/2001/XMLSchema" xmlns:p="http://schemas.microsoft.com/office/2006/metadata/properties" xmlns:ns2="28151370-5e02-4f6c-aff6-f20a019dd6fd" targetNamespace="http://schemas.microsoft.com/office/2006/metadata/properties" ma:root="true" ma:fieldsID="4f0afca67ba9d016ddeaf7fc39bab545" ns2:_="">
    <xsd:import namespace="28151370-5e02-4f6c-aff6-f20a019dd6fd"/>
    <xsd:element name="properties">
      <xsd:complexType>
        <xsd:sequence>
          <xsd:element name="documentManagement">
            <xsd:complexType>
              <xsd:all>
                <xsd:element ref="ns2:DocumentClassification" minOccurs="0"/>
                <xsd:element ref="ns2:PD" minOccurs="0"/>
                <xsd:element ref="ns2:SC-PD" minOccurs="0"/>
                <xsd:element ref="ns2: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51370-5e02-4f6c-aff6-f20a019dd6fd" elementFormDefault="qualified">
    <xsd:import namespace="http://schemas.microsoft.com/office/2006/documentManagement/types"/>
    <xsd:import namespace="http://schemas.microsoft.com/office/infopath/2007/PartnerControls"/>
    <xsd:element name="DocumentClassification" ma:index="8" nillable="true" ma:displayName="Document Classification" ma:default="Official" ma:format="Dropdown" ma:internalName="DocumentClassification">
      <xsd:simpleType>
        <xsd:restriction base="dms:Choice">
          <xsd:enumeration value="Official"/>
          <xsd:enumeration value="Official - Sensitive"/>
          <xsd:enumeration value="Official - Sensitive: Personal Data"/>
        </xsd:restriction>
      </xsd:simpleType>
    </xsd:element>
    <xsd:element name="PD" ma:index="9" nillable="true" ma:displayName="PD" ma:default="N" ma:format="Dropdown" ma:internalName="PD">
      <xsd:simpleType>
        <xsd:restriction base="dms:Choice">
          <xsd:enumeration value="N"/>
          <xsd:enumeration value="Y"/>
        </xsd:restriction>
      </xsd:simpleType>
    </xsd:element>
    <xsd:element name="SC-PD" ma:index="10" nillable="true" ma:displayName="SC-PD" ma:default="N" ma:format="Dropdown" ma:internalName="SC_x002d_PD">
      <xsd:simpleType>
        <xsd:restriction base="dms:Choice">
          <xsd:enumeration value="N"/>
          <xsd:enumeration value="Y"/>
        </xsd:restriction>
      </xsd:simpleType>
    </xsd:element>
    <xsd:element name="AR" ma:index="11" nillable="true" ma:displayName="AR" ma:default="N" ma:format="Dropdown" ma:internalName="AR">
      <xsd:simpleType>
        <xsd:restriction base="dms:Choice">
          <xsd:enumeration value="N"/>
          <xsd:enumeration value="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27E722-095B-4259-BC75-4974CCE5099C}">
  <ds:schemaRefs>
    <ds:schemaRef ds:uri="http://schemas.microsoft.com/sharepoint/v3/contenttype/forms"/>
  </ds:schemaRefs>
</ds:datastoreItem>
</file>

<file path=customXml/itemProps2.xml><?xml version="1.0" encoding="utf-8"?>
<ds:datastoreItem xmlns:ds="http://schemas.openxmlformats.org/officeDocument/2006/customXml" ds:itemID="{096130FF-F1C0-45CC-B1E5-1A68513FF2A3}">
  <ds:schemaRefs>
    <ds:schemaRef ds:uri="Microsoft.SharePoint.Taxonomy.ContentTypeSync"/>
  </ds:schemaRefs>
</ds:datastoreItem>
</file>

<file path=customXml/itemProps3.xml><?xml version="1.0" encoding="utf-8"?>
<ds:datastoreItem xmlns:ds="http://schemas.openxmlformats.org/officeDocument/2006/customXml" ds:itemID="{BD28D692-4C0A-4AD8-8636-AE0DA45963EC}">
  <ds:schemaRefs>
    <ds:schemaRef ds:uri="http://schemas.openxmlformats.org/officeDocument/2006/bibliography"/>
  </ds:schemaRefs>
</ds:datastoreItem>
</file>

<file path=customXml/itemProps4.xml><?xml version="1.0" encoding="utf-8"?>
<ds:datastoreItem xmlns:ds="http://schemas.openxmlformats.org/officeDocument/2006/customXml" ds:itemID="{60AE7B19-79E4-49F7-BBDC-71D47D20205A}">
  <ds:schemaRefs>
    <ds:schemaRef ds:uri="http://schemas.microsoft.com/office/2006/metadata/properties"/>
    <ds:schemaRef ds:uri="http://schemas.microsoft.com/office/infopath/2007/PartnerControls"/>
    <ds:schemaRef ds:uri="28151370-5e02-4f6c-aff6-f20a019dd6fd"/>
  </ds:schemaRefs>
</ds:datastoreItem>
</file>

<file path=customXml/itemProps5.xml><?xml version="1.0" encoding="utf-8"?>
<ds:datastoreItem xmlns:ds="http://schemas.openxmlformats.org/officeDocument/2006/customXml" ds:itemID="{C7C159BF-A84C-4970-9A2D-5AD9D85D6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51370-5e02-4f6c-aff6-f20a019dd6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276</Pages>
  <Words>60407</Words>
  <Characters>344326</Characters>
  <Application>Microsoft Office Word</Application>
  <DocSecurity>0</DocSecurity>
  <Lines>2869</Lines>
  <Paragraphs>807</Paragraphs>
  <ScaleCrop>false</ScaleCrop>
  <HeadingPairs>
    <vt:vector size="2" baseType="variant">
      <vt:variant>
        <vt:lpstr>Title</vt:lpstr>
      </vt:variant>
      <vt:variant>
        <vt:i4>1</vt:i4>
      </vt:variant>
    </vt:vector>
  </HeadingPairs>
  <TitlesOfParts>
    <vt:vector size="1" baseType="lpstr">
      <vt:lpstr>Add title of document</vt:lpstr>
    </vt:vector>
  </TitlesOfParts>
  <Company/>
  <LinksUpToDate>false</LinksUpToDate>
  <CharactersWithSpaces>403926</CharactersWithSpaces>
  <SharedDoc>false</SharedDoc>
  <HLinks>
    <vt:vector size="504" baseType="variant">
      <vt:variant>
        <vt:i4>2883642</vt:i4>
      </vt:variant>
      <vt:variant>
        <vt:i4>790</vt:i4>
      </vt:variant>
      <vt:variant>
        <vt:i4>0</vt:i4>
      </vt:variant>
      <vt:variant>
        <vt:i4>5</vt:i4>
      </vt:variant>
      <vt:variant>
        <vt:lpwstr>http://www.british-business-bank.co.uk/</vt:lpwstr>
      </vt:variant>
      <vt:variant>
        <vt:lpwstr/>
      </vt:variant>
      <vt:variant>
        <vt:i4>3145844</vt:i4>
      </vt:variant>
      <vt:variant>
        <vt:i4>652</vt:i4>
      </vt:variant>
      <vt:variant>
        <vt:i4>0</vt:i4>
      </vt:variant>
      <vt:variant>
        <vt:i4>5</vt:i4>
      </vt:variant>
      <vt:variant>
        <vt:lpwstr>https://ipsos.uk/LoanScheme</vt:lpwstr>
      </vt:variant>
      <vt:variant>
        <vt:lpwstr/>
      </vt:variant>
      <vt:variant>
        <vt:i4>6422646</vt:i4>
      </vt:variant>
      <vt:variant>
        <vt:i4>649</vt:i4>
      </vt:variant>
      <vt:variant>
        <vt:i4>0</vt:i4>
      </vt:variant>
      <vt:variant>
        <vt:i4>5</vt:i4>
      </vt:variant>
      <vt:variant>
        <vt:lpwstr>https://www.british-business-bank.co.uk/wp-content/uploads/2022/06/Evaluation_of_BBLS_CBILS_and_CLBILS___Yr1_Report__accessible_.pdf</vt:lpwstr>
      </vt:variant>
      <vt:variant>
        <vt:lpwstr/>
      </vt:variant>
      <vt:variant>
        <vt:i4>3932217</vt:i4>
      </vt:variant>
      <vt:variant>
        <vt:i4>646</vt:i4>
      </vt:variant>
      <vt:variant>
        <vt:i4>0</vt:i4>
      </vt:variant>
      <vt:variant>
        <vt:i4>5</vt:i4>
      </vt:variant>
      <vt:variant>
        <vt:lpwstr>https://www.british-business-bank.co.uk/about-our-evaluations/</vt:lpwstr>
      </vt:variant>
      <vt:variant>
        <vt:lpwstr/>
      </vt:variant>
      <vt:variant>
        <vt:i4>6422646</vt:i4>
      </vt:variant>
      <vt:variant>
        <vt:i4>309</vt:i4>
      </vt:variant>
      <vt:variant>
        <vt:i4>0</vt:i4>
      </vt:variant>
      <vt:variant>
        <vt:i4>5</vt:i4>
      </vt:variant>
      <vt:variant>
        <vt:lpwstr>https://www.british-business-bank.co.uk/wp-content/uploads/2022/06/Evaluation_of_BBLS_CBILS_and_CLBILS___Yr1_Report__accessible_.pdf</vt:lpwstr>
      </vt:variant>
      <vt:variant>
        <vt:lpwstr/>
      </vt:variant>
      <vt:variant>
        <vt:i4>6422646</vt:i4>
      </vt:variant>
      <vt:variant>
        <vt:i4>306</vt:i4>
      </vt:variant>
      <vt:variant>
        <vt:i4>0</vt:i4>
      </vt:variant>
      <vt:variant>
        <vt:i4>5</vt:i4>
      </vt:variant>
      <vt:variant>
        <vt:lpwstr>https://www.british-business-bank.co.uk/wp-content/uploads/2022/06/Evaluation_of_BBLS_CBILS_and_CLBILS___Yr1_Report__accessible_.pdf</vt:lpwstr>
      </vt:variant>
      <vt:variant>
        <vt:lpwstr/>
      </vt:variant>
      <vt:variant>
        <vt:i4>6422646</vt:i4>
      </vt:variant>
      <vt:variant>
        <vt:i4>300</vt:i4>
      </vt:variant>
      <vt:variant>
        <vt:i4>0</vt:i4>
      </vt:variant>
      <vt:variant>
        <vt:i4>5</vt:i4>
      </vt:variant>
      <vt:variant>
        <vt:lpwstr>https://www.british-business-bank.co.uk/wp-content/uploads/2022/06/Evaluation_of_BBLS_CBILS_and_CLBILS___Yr1_Report__accessible_.pdf</vt:lpwstr>
      </vt:variant>
      <vt:variant>
        <vt:lpwstr/>
      </vt:variant>
      <vt:variant>
        <vt:i4>6422646</vt:i4>
      </vt:variant>
      <vt:variant>
        <vt:i4>297</vt:i4>
      </vt:variant>
      <vt:variant>
        <vt:i4>0</vt:i4>
      </vt:variant>
      <vt:variant>
        <vt:i4>5</vt:i4>
      </vt:variant>
      <vt:variant>
        <vt:lpwstr>https://www.british-business-bank.co.uk/wp-content/uploads/2022/06/Evaluation_of_BBLS_CBILS_and_CLBILS___Yr1_Report__accessible_.pdf</vt:lpwstr>
      </vt:variant>
      <vt:variant>
        <vt:lpwstr/>
      </vt:variant>
      <vt:variant>
        <vt:i4>6422646</vt:i4>
      </vt:variant>
      <vt:variant>
        <vt:i4>279</vt:i4>
      </vt:variant>
      <vt:variant>
        <vt:i4>0</vt:i4>
      </vt:variant>
      <vt:variant>
        <vt:i4>5</vt:i4>
      </vt:variant>
      <vt:variant>
        <vt:lpwstr>https://www.british-business-bank.co.uk/wp-content/uploads/2022/06/Evaluation_of_BBLS_CBILS_and_CLBILS___Yr1_Report__accessible_.pdf</vt:lpwstr>
      </vt:variant>
      <vt:variant>
        <vt:lpwstr/>
      </vt:variant>
      <vt:variant>
        <vt:i4>6422646</vt:i4>
      </vt:variant>
      <vt:variant>
        <vt:i4>276</vt:i4>
      </vt:variant>
      <vt:variant>
        <vt:i4>0</vt:i4>
      </vt:variant>
      <vt:variant>
        <vt:i4>5</vt:i4>
      </vt:variant>
      <vt:variant>
        <vt:lpwstr>https://www.british-business-bank.co.uk/wp-content/uploads/2022/06/Evaluation_of_BBLS_CBILS_and_CLBILS___Yr1_Report__accessible_.pdf</vt:lpwstr>
      </vt:variant>
      <vt:variant>
        <vt:lpwstr/>
      </vt:variant>
      <vt:variant>
        <vt:i4>1966141</vt:i4>
      </vt:variant>
      <vt:variant>
        <vt:i4>269</vt:i4>
      </vt:variant>
      <vt:variant>
        <vt:i4>0</vt:i4>
      </vt:variant>
      <vt:variant>
        <vt:i4>5</vt:i4>
      </vt:variant>
      <vt:variant>
        <vt:lpwstr/>
      </vt:variant>
      <vt:variant>
        <vt:lpwstr>_Toc151549909</vt:lpwstr>
      </vt:variant>
      <vt:variant>
        <vt:i4>1966141</vt:i4>
      </vt:variant>
      <vt:variant>
        <vt:i4>263</vt:i4>
      </vt:variant>
      <vt:variant>
        <vt:i4>0</vt:i4>
      </vt:variant>
      <vt:variant>
        <vt:i4>5</vt:i4>
      </vt:variant>
      <vt:variant>
        <vt:lpwstr/>
      </vt:variant>
      <vt:variant>
        <vt:lpwstr>_Toc151549908</vt:lpwstr>
      </vt:variant>
      <vt:variant>
        <vt:i4>1966141</vt:i4>
      </vt:variant>
      <vt:variant>
        <vt:i4>257</vt:i4>
      </vt:variant>
      <vt:variant>
        <vt:i4>0</vt:i4>
      </vt:variant>
      <vt:variant>
        <vt:i4>5</vt:i4>
      </vt:variant>
      <vt:variant>
        <vt:lpwstr/>
      </vt:variant>
      <vt:variant>
        <vt:lpwstr>_Toc151549907</vt:lpwstr>
      </vt:variant>
      <vt:variant>
        <vt:i4>1966141</vt:i4>
      </vt:variant>
      <vt:variant>
        <vt:i4>251</vt:i4>
      </vt:variant>
      <vt:variant>
        <vt:i4>0</vt:i4>
      </vt:variant>
      <vt:variant>
        <vt:i4>5</vt:i4>
      </vt:variant>
      <vt:variant>
        <vt:lpwstr/>
      </vt:variant>
      <vt:variant>
        <vt:lpwstr>_Toc151549906</vt:lpwstr>
      </vt:variant>
      <vt:variant>
        <vt:i4>1966141</vt:i4>
      </vt:variant>
      <vt:variant>
        <vt:i4>245</vt:i4>
      </vt:variant>
      <vt:variant>
        <vt:i4>0</vt:i4>
      </vt:variant>
      <vt:variant>
        <vt:i4>5</vt:i4>
      </vt:variant>
      <vt:variant>
        <vt:lpwstr/>
      </vt:variant>
      <vt:variant>
        <vt:lpwstr>_Toc151549905</vt:lpwstr>
      </vt:variant>
      <vt:variant>
        <vt:i4>1966141</vt:i4>
      </vt:variant>
      <vt:variant>
        <vt:i4>239</vt:i4>
      </vt:variant>
      <vt:variant>
        <vt:i4>0</vt:i4>
      </vt:variant>
      <vt:variant>
        <vt:i4>5</vt:i4>
      </vt:variant>
      <vt:variant>
        <vt:lpwstr/>
      </vt:variant>
      <vt:variant>
        <vt:lpwstr>_Toc151549904</vt:lpwstr>
      </vt:variant>
      <vt:variant>
        <vt:i4>1966141</vt:i4>
      </vt:variant>
      <vt:variant>
        <vt:i4>233</vt:i4>
      </vt:variant>
      <vt:variant>
        <vt:i4>0</vt:i4>
      </vt:variant>
      <vt:variant>
        <vt:i4>5</vt:i4>
      </vt:variant>
      <vt:variant>
        <vt:lpwstr/>
      </vt:variant>
      <vt:variant>
        <vt:lpwstr>_Toc151549903</vt:lpwstr>
      </vt:variant>
      <vt:variant>
        <vt:i4>1966141</vt:i4>
      </vt:variant>
      <vt:variant>
        <vt:i4>227</vt:i4>
      </vt:variant>
      <vt:variant>
        <vt:i4>0</vt:i4>
      </vt:variant>
      <vt:variant>
        <vt:i4>5</vt:i4>
      </vt:variant>
      <vt:variant>
        <vt:lpwstr/>
      </vt:variant>
      <vt:variant>
        <vt:lpwstr>_Toc151549902</vt:lpwstr>
      </vt:variant>
      <vt:variant>
        <vt:i4>1966141</vt:i4>
      </vt:variant>
      <vt:variant>
        <vt:i4>221</vt:i4>
      </vt:variant>
      <vt:variant>
        <vt:i4>0</vt:i4>
      </vt:variant>
      <vt:variant>
        <vt:i4>5</vt:i4>
      </vt:variant>
      <vt:variant>
        <vt:lpwstr/>
      </vt:variant>
      <vt:variant>
        <vt:lpwstr>_Toc151549901</vt:lpwstr>
      </vt:variant>
      <vt:variant>
        <vt:i4>1966141</vt:i4>
      </vt:variant>
      <vt:variant>
        <vt:i4>215</vt:i4>
      </vt:variant>
      <vt:variant>
        <vt:i4>0</vt:i4>
      </vt:variant>
      <vt:variant>
        <vt:i4>5</vt:i4>
      </vt:variant>
      <vt:variant>
        <vt:lpwstr/>
      </vt:variant>
      <vt:variant>
        <vt:lpwstr>_Toc151549900</vt:lpwstr>
      </vt:variant>
      <vt:variant>
        <vt:i4>1507388</vt:i4>
      </vt:variant>
      <vt:variant>
        <vt:i4>209</vt:i4>
      </vt:variant>
      <vt:variant>
        <vt:i4>0</vt:i4>
      </vt:variant>
      <vt:variant>
        <vt:i4>5</vt:i4>
      </vt:variant>
      <vt:variant>
        <vt:lpwstr/>
      </vt:variant>
      <vt:variant>
        <vt:lpwstr>_Toc151549899</vt:lpwstr>
      </vt:variant>
      <vt:variant>
        <vt:i4>1507388</vt:i4>
      </vt:variant>
      <vt:variant>
        <vt:i4>203</vt:i4>
      </vt:variant>
      <vt:variant>
        <vt:i4>0</vt:i4>
      </vt:variant>
      <vt:variant>
        <vt:i4>5</vt:i4>
      </vt:variant>
      <vt:variant>
        <vt:lpwstr/>
      </vt:variant>
      <vt:variant>
        <vt:lpwstr>_Toc151549898</vt:lpwstr>
      </vt:variant>
      <vt:variant>
        <vt:i4>1507388</vt:i4>
      </vt:variant>
      <vt:variant>
        <vt:i4>197</vt:i4>
      </vt:variant>
      <vt:variant>
        <vt:i4>0</vt:i4>
      </vt:variant>
      <vt:variant>
        <vt:i4>5</vt:i4>
      </vt:variant>
      <vt:variant>
        <vt:lpwstr/>
      </vt:variant>
      <vt:variant>
        <vt:lpwstr>_Toc151549897</vt:lpwstr>
      </vt:variant>
      <vt:variant>
        <vt:i4>1507388</vt:i4>
      </vt:variant>
      <vt:variant>
        <vt:i4>191</vt:i4>
      </vt:variant>
      <vt:variant>
        <vt:i4>0</vt:i4>
      </vt:variant>
      <vt:variant>
        <vt:i4>5</vt:i4>
      </vt:variant>
      <vt:variant>
        <vt:lpwstr/>
      </vt:variant>
      <vt:variant>
        <vt:lpwstr>_Toc151549896</vt:lpwstr>
      </vt:variant>
      <vt:variant>
        <vt:i4>1507388</vt:i4>
      </vt:variant>
      <vt:variant>
        <vt:i4>185</vt:i4>
      </vt:variant>
      <vt:variant>
        <vt:i4>0</vt:i4>
      </vt:variant>
      <vt:variant>
        <vt:i4>5</vt:i4>
      </vt:variant>
      <vt:variant>
        <vt:lpwstr/>
      </vt:variant>
      <vt:variant>
        <vt:lpwstr>_Toc151549895</vt:lpwstr>
      </vt:variant>
      <vt:variant>
        <vt:i4>1507388</vt:i4>
      </vt:variant>
      <vt:variant>
        <vt:i4>179</vt:i4>
      </vt:variant>
      <vt:variant>
        <vt:i4>0</vt:i4>
      </vt:variant>
      <vt:variant>
        <vt:i4>5</vt:i4>
      </vt:variant>
      <vt:variant>
        <vt:lpwstr/>
      </vt:variant>
      <vt:variant>
        <vt:lpwstr>_Toc151549894</vt:lpwstr>
      </vt:variant>
      <vt:variant>
        <vt:i4>1507388</vt:i4>
      </vt:variant>
      <vt:variant>
        <vt:i4>173</vt:i4>
      </vt:variant>
      <vt:variant>
        <vt:i4>0</vt:i4>
      </vt:variant>
      <vt:variant>
        <vt:i4>5</vt:i4>
      </vt:variant>
      <vt:variant>
        <vt:lpwstr/>
      </vt:variant>
      <vt:variant>
        <vt:lpwstr>_Toc151549893</vt:lpwstr>
      </vt:variant>
      <vt:variant>
        <vt:i4>1507388</vt:i4>
      </vt:variant>
      <vt:variant>
        <vt:i4>167</vt:i4>
      </vt:variant>
      <vt:variant>
        <vt:i4>0</vt:i4>
      </vt:variant>
      <vt:variant>
        <vt:i4>5</vt:i4>
      </vt:variant>
      <vt:variant>
        <vt:lpwstr/>
      </vt:variant>
      <vt:variant>
        <vt:lpwstr>_Toc151549892</vt:lpwstr>
      </vt:variant>
      <vt:variant>
        <vt:i4>1507388</vt:i4>
      </vt:variant>
      <vt:variant>
        <vt:i4>161</vt:i4>
      </vt:variant>
      <vt:variant>
        <vt:i4>0</vt:i4>
      </vt:variant>
      <vt:variant>
        <vt:i4>5</vt:i4>
      </vt:variant>
      <vt:variant>
        <vt:lpwstr/>
      </vt:variant>
      <vt:variant>
        <vt:lpwstr>_Toc151549891</vt:lpwstr>
      </vt:variant>
      <vt:variant>
        <vt:i4>1507388</vt:i4>
      </vt:variant>
      <vt:variant>
        <vt:i4>155</vt:i4>
      </vt:variant>
      <vt:variant>
        <vt:i4>0</vt:i4>
      </vt:variant>
      <vt:variant>
        <vt:i4>5</vt:i4>
      </vt:variant>
      <vt:variant>
        <vt:lpwstr/>
      </vt:variant>
      <vt:variant>
        <vt:lpwstr>_Toc151549890</vt:lpwstr>
      </vt:variant>
      <vt:variant>
        <vt:i4>1441852</vt:i4>
      </vt:variant>
      <vt:variant>
        <vt:i4>149</vt:i4>
      </vt:variant>
      <vt:variant>
        <vt:i4>0</vt:i4>
      </vt:variant>
      <vt:variant>
        <vt:i4>5</vt:i4>
      </vt:variant>
      <vt:variant>
        <vt:lpwstr/>
      </vt:variant>
      <vt:variant>
        <vt:lpwstr>_Toc151549889</vt:lpwstr>
      </vt:variant>
      <vt:variant>
        <vt:i4>1441852</vt:i4>
      </vt:variant>
      <vt:variant>
        <vt:i4>143</vt:i4>
      </vt:variant>
      <vt:variant>
        <vt:i4>0</vt:i4>
      </vt:variant>
      <vt:variant>
        <vt:i4>5</vt:i4>
      </vt:variant>
      <vt:variant>
        <vt:lpwstr/>
      </vt:variant>
      <vt:variant>
        <vt:lpwstr>_Toc151549888</vt:lpwstr>
      </vt:variant>
      <vt:variant>
        <vt:i4>1441852</vt:i4>
      </vt:variant>
      <vt:variant>
        <vt:i4>137</vt:i4>
      </vt:variant>
      <vt:variant>
        <vt:i4>0</vt:i4>
      </vt:variant>
      <vt:variant>
        <vt:i4>5</vt:i4>
      </vt:variant>
      <vt:variant>
        <vt:lpwstr/>
      </vt:variant>
      <vt:variant>
        <vt:lpwstr>_Toc151549887</vt:lpwstr>
      </vt:variant>
      <vt:variant>
        <vt:i4>1441852</vt:i4>
      </vt:variant>
      <vt:variant>
        <vt:i4>131</vt:i4>
      </vt:variant>
      <vt:variant>
        <vt:i4>0</vt:i4>
      </vt:variant>
      <vt:variant>
        <vt:i4>5</vt:i4>
      </vt:variant>
      <vt:variant>
        <vt:lpwstr/>
      </vt:variant>
      <vt:variant>
        <vt:lpwstr>_Toc151549886</vt:lpwstr>
      </vt:variant>
      <vt:variant>
        <vt:i4>1441852</vt:i4>
      </vt:variant>
      <vt:variant>
        <vt:i4>125</vt:i4>
      </vt:variant>
      <vt:variant>
        <vt:i4>0</vt:i4>
      </vt:variant>
      <vt:variant>
        <vt:i4>5</vt:i4>
      </vt:variant>
      <vt:variant>
        <vt:lpwstr/>
      </vt:variant>
      <vt:variant>
        <vt:lpwstr>_Toc151549885</vt:lpwstr>
      </vt:variant>
      <vt:variant>
        <vt:i4>1441852</vt:i4>
      </vt:variant>
      <vt:variant>
        <vt:i4>119</vt:i4>
      </vt:variant>
      <vt:variant>
        <vt:i4>0</vt:i4>
      </vt:variant>
      <vt:variant>
        <vt:i4>5</vt:i4>
      </vt:variant>
      <vt:variant>
        <vt:lpwstr/>
      </vt:variant>
      <vt:variant>
        <vt:lpwstr>_Toc151549884</vt:lpwstr>
      </vt:variant>
      <vt:variant>
        <vt:i4>1441852</vt:i4>
      </vt:variant>
      <vt:variant>
        <vt:i4>113</vt:i4>
      </vt:variant>
      <vt:variant>
        <vt:i4>0</vt:i4>
      </vt:variant>
      <vt:variant>
        <vt:i4>5</vt:i4>
      </vt:variant>
      <vt:variant>
        <vt:lpwstr/>
      </vt:variant>
      <vt:variant>
        <vt:lpwstr>_Toc151549883</vt:lpwstr>
      </vt:variant>
      <vt:variant>
        <vt:i4>1441852</vt:i4>
      </vt:variant>
      <vt:variant>
        <vt:i4>107</vt:i4>
      </vt:variant>
      <vt:variant>
        <vt:i4>0</vt:i4>
      </vt:variant>
      <vt:variant>
        <vt:i4>5</vt:i4>
      </vt:variant>
      <vt:variant>
        <vt:lpwstr/>
      </vt:variant>
      <vt:variant>
        <vt:lpwstr>_Toc151549882</vt:lpwstr>
      </vt:variant>
      <vt:variant>
        <vt:i4>1441852</vt:i4>
      </vt:variant>
      <vt:variant>
        <vt:i4>101</vt:i4>
      </vt:variant>
      <vt:variant>
        <vt:i4>0</vt:i4>
      </vt:variant>
      <vt:variant>
        <vt:i4>5</vt:i4>
      </vt:variant>
      <vt:variant>
        <vt:lpwstr/>
      </vt:variant>
      <vt:variant>
        <vt:lpwstr>_Toc151549881</vt:lpwstr>
      </vt:variant>
      <vt:variant>
        <vt:i4>1441852</vt:i4>
      </vt:variant>
      <vt:variant>
        <vt:i4>95</vt:i4>
      </vt:variant>
      <vt:variant>
        <vt:i4>0</vt:i4>
      </vt:variant>
      <vt:variant>
        <vt:i4>5</vt:i4>
      </vt:variant>
      <vt:variant>
        <vt:lpwstr/>
      </vt:variant>
      <vt:variant>
        <vt:lpwstr>_Toc151549880</vt:lpwstr>
      </vt:variant>
      <vt:variant>
        <vt:i4>1638460</vt:i4>
      </vt:variant>
      <vt:variant>
        <vt:i4>89</vt:i4>
      </vt:variant>
      <vt:variant>
        <vt:i4>0</vt:i4>
      </vt:variant>
      <vt:variant>
        <vt:i4>5</vt:i4>
      </vt:variant>
      <vt:variant>
        <vt:lpwstr/>
      </vt:variant>
      <vt:variant>
        <vt:lpwstr>_Toc151549879</vt:lpwstr>
      </vt:variant>
      <vt:variant>
        <vt:i4>1638460</vt:i4>
      </vt:variant>
      <vt:variant>
        <vt:i4>83</vt:i4>
      </vt:variant>
      <vt:variant>
        <vt:i4>0</vt:i4>
      </vt:variant>
      <vt:variant>
        <vt:i4>5</vt:i4>
      </vt:variant>
      <vt:variant>
        <vt:lpwstr/>
      </vt:variant>
      <vt:variant>
        <vt:lpwstr>_Toc151549878</vt:lpwstr>
      </vt:variant>
      <vt:variant>
        <vt:i4>1638460</vt:i4>
      </vt:variant>
      <vt:variant>
        <vt:i4>77</vt:i4>
      </vt:variant>
      <vt:variant>
        <vt:i4>0</vt:i4>
      </vt:variant>
      <vt:variant>
        <vt:i4>5</vt:i4>
      </vt:variant>
      <vt:variant>
        <vt:lpwstr/>
      </vt:variant>
      <vt:variant>
        <vt:lpwstr>_Toc151549877</vt:lpwstr>
      </vt:variant>
      <vt:variant>
        <vt:i4>1638460</vt:i4>
      </vt:variant>
      <vt:variant>
        <vt:i4>71</vt:i4>
      </vt:variant>
      <vt:variant>
        <vt:i4>0</vt:i4>
      </vt:variant>
      <vt:variant>
        <vt:i4>5</vt:i4>
      </vt:variant>
      <vt:variant>
        <vt:lpwstr/>
      </vt:variant>
      <vt:variant>
        <vt:lpwstr>_Toc151549876</vt:lpwstr>
      </vt:variant>
      <vt:variant>
        <vt:i4>1638460</vt:i4>
      </vt:variant>
      <vt:variant>
        <vt:i4>65</vt:i4>
      </vt:variant>
      <vt:variant>
        <vt:i4>0</vt:i4>
      </vt:variant>
      <vt:variant>
        <vt:i4>5</vt:i4>
      </vt:variant>
      <vt:variant>
        <vt:lpwstr/>
      </vt:variant>
      <vt:variant>
        <vt:lpwstr>_Toc151549875</vt:lpwstr>
      </vt:variant>
      <vt:variant>
        <vt:i4>1638460</vt:i4>
      </vt:variant>
      <vt:variant>
        <vt:i4>59</vt:i4>
      </vt:variant>
      <vt:variant>
        <vt:i4>0</vt:i4>
      </vt:variant>
      <vt:variant>
        <vt:i4>5</vt:i4>
      </vt:variant>
      <vt:variant>
        <vt:lpwstr/>
      </vt:variant>
      <vt:variant>
        <vt:lpwstr>_Toc151549874</vt:lpwstr>
      </vt:variant>
      <vt:variant>
        <vt:i4>1638460</vt:i4>
      </vt:variant>
      <vt:variant>
        <vt:i4>53</vt:i4>
      </vt:variant>
      <vt:variant>
        <vt:i4>0</vt:i4>
      </vt:variant>
      <vt:variant>
        <vt:i4>5</vt:i4>
      </vt:variant>
      <vt:variant>
        <vt:lpwstr/>
      </vt:variant>
      <vt:variant>
        <vt:lpwstr>_Toc151549873</vt:lpwstr>
      </vt:variant>
      <vt:variant>
        <vt:i4>1638460</vt:i4>
      </vt:variant>
      <vt:variant>
        <vt:i4>47</vt:i4>
      </vt:variant>
      <vt:variant>
        <vt:i4>0</vt:i4>
      </vt:variant>
      <vt:variant>
        <vt:i4>5</vt:i4>
      </vt:variant>
      <vt:variant>
        <vt:lpwstr/>
      </vt:variant>
      <vt:variant>
        <vt:lpwstr>_Toc151549872</vt:lpwstr>
      </vt:variant>
      <vt:variant>
        <vt:i4>1638460</vt:i4>
      </vt:variant>
      <vt:variant>
        <vt:i4>41</vt:i4>
      </vt:variant>
      <vt:variant>
        <vt:i4>0</vt:i4>
      </vt:variant>
      <vt:variant>
        <vt:i4>5</vt:i4>
      </vt:variant>
      <vt:variant>
        <vt:lpwstr/>
      </vt:variant>
      <vt:variant>
        <vt:lpwstr>_Toc151549871</vt:lpwstr>
      </vt:variant>
      <vt:variant>
        <vt:i4>1638460</vt:i4>
      </vt:variant>
      <vt:variant>
        <vt:i4>35</vt:i4>
      </vt:variant>
      <vt:variant>
        <vt:i4>0</vt:i4>
      </vt:variant>
      <vt:variant>
        <vt:i4>5</vt:i4>
      </vt:variant>
      <vt:variant>
        <vt:lpwstr/>
      </vt:variant>
      <vt:variant>
        <vt:lpwstr>_Toc151549870</vt:lpwstr>
      </vt:variant>
      <vt:variant>
        <vt:i4>1572924</vt:i4>
      </vt:variant>
      <vt:variant>
        <vt:i4>29</vt:i4>
      </vt:variant>
      <vt:variant>
        <vt:i4>0</vt:i4>
      </vt:variant>
      <vt:variant>
        <vt:i4>5</vt:i4>
      </vt:variant>
      <vt:variant>
        <vt:lpwstr/>
      </vt:variant>
      <vt:variant>
        <vt:lpwstr>_Toc151549869</vt:lpwstr>
      </vt:variant>
      <vt:variant>
        <vt:i4>1572924</vt:i4>
      </vt:variant>
      <vt:variant>
        <vt:i4>23</vt:i4>
      </vt:variant>
      <vt:variant>
        <vt:i4>0</vt:i4>
      </vt:variant>
      <vt:variant>
        <vt:i4>5</vt:i4>
      </vt:variant>
      <vt:variant>
        <vt:lpwstr/>
      </vt:variant>
      <vt:variant>
        <vt:lpwstr>_Toc151549868</vt:lpwstr>
      </vt:variant>
      <vt:variant>
        <vt:i4>1572924</vt:i4>
      </vt:variant>
      <vt:variant>
        <vt:i4>17</vt:i4>
      </vt:variant>
      <vt:variant>
        <vt:i4>0</vt:i4>
      </vt:variant>
      <vt:variant>
        <vt:i4>5</vt:i4>
      </vt:variant>
      <vt:variant>
        <vt:lpwstr/>
      </vt:variant>
      <vt:variant>
        <vt:lpwstr>_Toc151549867</vt:lpwstr>
      </vt:variant>
      <vt:variant>
        <vt:i4>1572924</vt:i4>
      </vt:variant>
      <vt:variant>
        <vt:i4>11</vt:i4>
      </vt:variant>
      <vt:variant>
        <vt:i4>0</vt:i4>
      </vt:variant>
      <vt:variant>
        <vt:i4>5</vt:i4>
      </vt:variant>
      <vt:variant>
        <vt:lpwstr/>
      </vt:variant>
      <vt:variant>
        <vt:lpwstr>_Toc151549866</vt:lpwstr>
      </vt:variant>
      <vt:variant>
        <vt:i4>1572924</vt:i4>
      </vt:variant>
      <vt:variant>
        <vt:i4>5</vt:i4>
      </vt:variant>
      <vt:variant>
        <vt:i4>0</vt:i4>
      </vt:variant>
      <vt:variant>
        <vt:i4>5</vt:i4>
      </vt:variant>
      <vt:variant>
        <vt:lpwstr/>
      </vt:variant>
      <vt:variant>
        <vt:lpwstr>_Toc151549865</vt:lpwstr>
      </vt:variant>
      <vt:variant>
        <vt:i4>2883642</vt:i4>
      </vt:variant>
      <vt:variant>
        <vt:i4>0</vt:i4>
      </vt:variant>
      <vt:variant>
        <vt:i4>0</vt:i4>
      </vt:variant>
      <vt:variant>
        <vt:i4>5</vt:i4>
      </vt:variant>
      <vt:variant>
        <vt:lpwstr>http://www.british-business-bank.co.uk/</vt:lpwstr>
      </vt:variant>
      <vt:variant>
        <vt:lpwstr/>
      </vt:variant>
      <vt:variant>
        <vt:i4>2883623</vt:i4>
      </vt:variant>
      <vt:variant>
        <vt:i4>135</vt:i4>
      </vt:variant>
      <vt:variant>
        <vt:i4>0</vt:i4>
      </vt:variant>
      <vt:variant>
        <vt:i4>5</vt:i4>
      </vt:variant>
      <vt:variant>
        <vt:lpwstr>https://www.enterpriseresearch.ac.uk/wp-content/uploads/2016/07/ERC-ResPap48-DuBonner-final.pdf</vt:lpwstr>
      </vt:variant>
      <vt:variant>
        <vt:lpwstr/>
      </vt:variant>
      <vt:variant>
        <vt:i4>3145734</vt:i4>
      </vt:variant>
      <vt:variant>
        <vt:i4>132</vt:i4>
      </vt:variant>
      <vt:variant>
        <vt:i4>0</vt:i4>
      </vt:variant>
      <vt:variant>
        <vt:i4>5</vt:i4>
      </vt:variant>
      <vt:variant>
        <vt:lpwstr>https://www.yannisgalanakis.com/publication/preprint/agudagalanakishwangsavagar/AgudaGalanakisHwangSavagar_UKconcentration.pdf</vt:lpwstr>
      </vt:variant>
      <vt:variant>
        <vt:lpwstr/>
      </vt:variant>
      <vt:variant>
        <vt:i4>5898244</vt:i4>
      </vt:variant>
      <vt:variant>
        <vt:i4>129</vt:i4>
      </vt:variant>
      <vt:variant>
        <vt:i4>0</vt:i4>
      </vt:variant>
      <vt:variant>
        <vt:i4>5</vt:i4>
      </vt:variant>
      <vt:variant>
        <vt:lpwstr>https://www.ons.gov.uk/economy/economicoutputandproductivity/output/methodologies/businessinsightsandconditionssurveybicsqmi</vt:lpwstr>
      </vt:variant>
      <vt:variant>
        <vt:lpwstr/>
      </vt:variant>
      <vt:variant>
        <vt:i4>7143469</vt:i4>
      </vt:variant>
      <vt:variant>
        <vt:i4>126</vt:i4>
      </vt:variant>
      <vt:variant>
        <vt:i4>0</vt:i4>
      </vt:variant>
      <vt:variant>
        <vt:i4>5</vt:i4>
      </vt:variant>
      <vt:variant>
        <vt:lpwstr>https://www.imf.org/-/media/Files/Conferences/2020/8th-stats-forum/paper-craig-mclaren.ashx</vt:lpwstr>
      </vt:variant>
      <vt:variant>
        <vt:lpwstr/>
      </vt:variant>
      <vt:variant>
        <vt:i4>5898244</vt:i4>
      </vt:variant>
      <vt:variant>
        <vt:i4>123</vt:i4>
      </vt:variant>
      <vt:variant>
        <vt:i4>0</vt:i4>
      </vt:variant>
      <vt:variant>
        <vt:i4>5</vt:i4>
      </vt:variant>
      <vt:variant>
        <vt:lpwstr>https://www.ons.gov.uk/economy/economicoutputandproductivity/output/methodologies/businessinsightsandconditionssurveybicsqmi</vt:lpwstr>
      </vt:variant>
      <vt:variant>
        <vt:lpwstr/>
      </vt:variant>
      <vt:variant>
        <vt:i4>2818099</vt:i4>
      </vt:variant>
      <vt:variant>
        <vt:i4>120</vt:i4>
      </vt:variant>
      <vt:variant>
        <vt:i4>0</vt:i4>
      </vt:variant>
      <vt:variant>
        <vt:i4>5</vt:i4>
      </vt:variant>
      <vt:variant>
        <vt:lpwstr>http://doc.ukdataservice.ac.uk/doc/6697/mrdoc/pdf/6697_user_guide.pdf</vt:lpwstr>
      </vt:variant>
      <vt:variant>
        <vt:lpwstr/>
      </vt:variant>
      <vt:variant>
        <vt:i4>2818099</vt:i4>
      </vt:variant>
      <vt:variant>
        <vt:i4>117</vt:i4>
      </vt:variant>
      <vt:variant>
        <vt:i4>0</vt:i4>
      </vt:variant>
      <vt:variant>
        <vt:i4>5</vt:i4>
      </vt:variant>
      <vt:variant>
        <vt:lpwstr>http://doc.ukdataservice.ac.uk/doc/6697/mrdoc/pdf/6697_user_guide.pdf</vt:lpwstr>
      </vt:variant>
      <vt:variant>
        <vt:lpwstr/>
      </vt:variant>
      <vt:variant>
        <vt:i4>7602245</vt:i4>
      </vt:variant>
      <vt:variant>
        <vt:i4>111</vt:i4>
      </vt:variant>
      <vt:variant>
        <vt:i4>0</vt:i4>
      </vt:variant>
      <vt:variant>
        <vt:i4>5</vt:i4>
      </vt:variant>
      <vt:variant>
        <vt:lpwstr>https://assets.publishing.service.gov.uk/government/uploads/system/uploads/attachment_data/file/922793/BPE__2020_detailed_tables.xlsx</vt:lpwstr>
      </vt:variant>
      <vt:variant>
        <vt:lpwstr/>
      </vt:variant>
      <vt:variant>
        <vt:i4>6225995</vt:i4>
      </vt:variant>
      <vt:variant>
        <vt:i4>108</vt:i4>
      </vt:variant>
      <vt:variant>
        <vt:i4>0</vt:i4>
      </vt:variant>
      <vt:variant>
        <vt:i4>5</vt:i4>
      </vt:variant>
      <vt:variant>
        <vt:lpwstr>https://www.gov.uk/guidance/claim-for-wage-costs-through-the-coronavirus-job-retention-scheme</vt:lpwstr>
      </vt:variant>
      <vt:variant>
        <vt:lpwstr/>
      </vt:variant>
      <vt:variant>
        <vt:i4>6553698</vt:i4>
      </vt:variant>
      <vt:variant>
        <vt:i4>105</vt:i4>
      </vt:variant>
      <vt:variant>
        <vt:i4>0</vt:i4>
      </vt:variant>
      <vt:variant>
        <vt:i4>5</vt:i4>
      </vt:variant>
      <vt:variant>
        <vt:lpwstr>https://www.bankofengland.co.uk/agents-summary/2021/2021-q4/latest-results-from-the-decision-maker-panel-survey-2021-q4</vt:lpwstr>
      </vt:variant>
      <vt:variant>
        <vt:lpwstr/>
      </vt:variant>
      <vt:variant>
        <vt:i4>2818089</vt:i4>
      </vt:variant>
      <vt:variant>
        <vt:i4>102</vt:i4>
      </vt:variant>
      <vt:variant>
        <vt:i4>0</vt:i4>
      </vt:variant>
      <vt:variant>
        <vt:i4>5</vt:i4>
      </vt:variant>
      <vt:variant>
        <vt:lpwstr>https://www.gov.uk/government/collections/business-population-estimates</vt:lpwstr>
      </vt:variant>
      <vt:variant>
        <vt:lpwstr/>
      </vt:variant>
      <vt:variant>
        <vt:i4>3145829</vt:i4>
      </vt:variant>
      <vt:variant>
        <vt:i4>99</vt:i4>
      </vt:variant>
      <vt:variant>
        <vt:i4>0</vt:i4>
      </vt:variant>
      <vt:variant>
        <vt:i4>5</vt:i4>
      </vt:variant>
      <vt:variant>
        <vt:lpwstr>https://www.british-business-bank.co.uk/press-release/coronavirus-loan-schemes-continue-to-support-businesses-evenly-across-the-uk-new-analysis-shows/</vt:lpwstr>
      </vt:variant>
      <vt:variant>
        <vt:lpwstr/>
      </vt:variant>
      <vt:variant>
        <vt:i4>6553703</vt:i4>
      </vt:variant>
      <vt:variant>
        <vt:i4>96</vt:i4>
      </vt:variant>
      <vt:variant>
        <vt:i4>0</vt:i4>
      </vt:variant>
      <vt:variant>
        <vt:i4>5</vt:i4>
      </vt:variant>
      <vt:variant>
        <vt:lpwstr>https://www.gov.uk/government/collections/hm-treasury-coronavirus-covid-19-business-loan-scheme-statistics</vt:lpwstr>
      </vt:variant>
      <vt:variant>
        <vt:lpwstr>Coronavirus-Business-Interruption-Loan-Scheme</vt:lpwstr>
      </vt:variant>
      <vt:variant>
        <vt:i4>5439552</vt:i4>
      </vt:variant>
      <vt:variant>
        <vt:i4>93</vt:i4>
      </vt:variant>
      <vt:variant>
        <vt:i4>0</vt:i4>
      </vt:variant>
      <vt:variant>
        <vt:i4>5</vt:i4>
      </vt:variant>
      <vt:variant>
        <vt:lpwstr>https://www.bankofengland.co.uk/speech/2021/march/michael-saunders-bank-hosted-speech-supply-and-demand-during-and-after-the-pandemic</vt:lpwstr>
      </vt:variant>
      <vt:variant>
        <vt:lpwstr/>
      </vt:variant>
      <vt:variant>
        <vt:i4>7798903</vt:i4>
      </vt:variant>
      <vt:variant>
        <vt:i4>87</vt:i4>
      </vt:variant>
      <vt:variant>
        <vt:i4>0</vt:i4>
      </vt:variant>
      <vt:variant>
        <vt:i4>5</vt:i4>
      </vt:variant>
      <vt:variant>
        <vt:lpwstr>https://doi.org/10.57906/rar8-nk26</vt:lpwstr>
      </vt:variant>
      <vt:variant>
        <vt:lpwstr/>
      </vt:variant>
      <vt:variant>
        <vt:i4>8126504</vt:i4>
      </vt:variant>
      <vt:variant>
        <vt:i4>81</vt:i4>
      </vt:variant>
      <vt:variant>
        <vt:i4>0</vt:i4>
      </vt:variant>
      <vt:variant>
        <vt:i4>5</vt:i4>
      </vt:variant>
      <vt:variant>
        <vt:lpwstr>https://doi.org/10.57906/7kh0-0910</vt:lpwstr>
      </vt:variant>
      <vt:variant>
        <vt:lpwstr/>
      </vt:variant>
      <vt:variant>
        <vt:i4>5701639</vt:i4>
      </vt:variant>
      <vt:variant>
        <vt:i4>33</vt:i4>
      </vt:variant>
      <vt:variant>
        <vt:i4>0</vt:i4>
      </vt:variant>
      <vt:variant>
        <vt:i4>5</vt:i4>
      </vt:variant>
      <vt:variant>
        <vt:lpwstr>https://www.ons.gov.uk/businessindustryandtrade/business/activitysizeandlocation/datasets/businessdemographyquarterlyexperimentalstatisticsuk</vt:lpwstr>
      </vt:variant>
      <vt:variant>
        <vt:lpwstr/>
      </vt:variant>
      <vt:variant>
        <vt:i4>3276834</vt:i4>
      </vt:variant>
      <vt:variant>
        <vt:i4>30</vt:i4>
      </vt:variant>
      <vt:variant>
        <vt:i4>0</vt:i4>
      </vt:variant>
      <vt:variant>
        <vt:i4>5</vt:i4>
      </vt:variant>
      <vt:variant>
        <vt:lpwstr>https://www.ons.gov.uk/businessindustryandtrade/business/activitysizeandlocation/bulletins/businessdemography/2021</vt:lpwstr>
      </vt:variant>
      <vt:variant>
        <vt:lpwstr/>
      </vt:variant>
      <vt:variant>
        <vt:i4>6422638</vt:i4>
      </vt:variant>
      <vt:variant>
        <vt:i4>27</vt:i4>
      </vt:variant>
      <vt:variant>
        <vt:i4>0</vt:i4>
      </vt:variant>
      <vt:variant>
        <vt:i4>5</vt:i4>
      </vt:variant>
      <vt:variant>
        <vt:lpwstr>https://www.gov.uk/government/statistics/business-population-estimates-2023</vt:lpwstr>
      </vt:variant>
      <vt:variant>
        <vt:lpwstr/>
      </vt:variant>
      <vt:variant>
        <vt:i4>2818089</vt:i4>
      </vt:variant>
      <vt:variant>
        <vt:i4>24</vt:i4>
      </vt:variant>
      <vt:variant>
        <vt:i4>0</vt:i4>
      </vt:variant>
      <vt:variant>
        <vt:i4>5</vt:i4>
      </vt:variant>
      <vt:variant>
        <vt:lpwstr>https://www.gov.uk/government/collections/business-population-estimates</vt:lpwstr>
      </vt:variant>
      <vt:variant>
        <vt:lpwstr/>
      </vt:variant>
      <vt:variant>
        <vt:i4>5898330</vt:i4>
      </vt:variant>
      <vt:variant>
        <vt:i4>12</vt:i4>
      </vt:variant>
      <vt:variant>
        <vt:i4>0</vt:i4>
      </vt:variant>
      <vt:variant>
        <vt:i4>5</vt:i4>
      </vt:variant>
      <vt:variant>
        <vt:lpwstr>https://www.gov.uk/government/publications/covid-19-loan-guarantee-schemes-repayment-data</vt:lpwstr>
      </vt:variant>
      <vt:variant>
        <vt:lpwstr/>
      </vt:variant>
      <vt:variant>
        <vt:i4>6422646</vt:i4>
      </vt:variant>
      <vt:variant>
        <vt:i4>9</vt:i4>
      </vt:variant>
      <vt:variant>
        <vt:i4>0</vt:i4>
      </vt:variant>
      <vt:variant>
        <vt:i4>5</vt:i4>
      </vt:variant>
      <vt:variant>
        <vt:lpwstr>https://www.british-business-bank.co.uk/wp-content/uploads/2022/06/Evaluation_of_BBLS_CBILS_and_CLBILS___Yr1_Report__accessible_.pdf</vt:lpwstr>
      </vt:variant>
      <vt:variant>
        <vt:lpwstr/>
      </vt:variant>
      <vt:variant>
        <vt:i4>6881398</vt:i4>
      </vt:variant>
      <vt:variant>
        <vt:i4>6</vt:i4>
      </vt:variant>
      <vt:variant>
        <vt:i4>0</vt:i4>
      </vt:variant>
      <vt:variant>
        <vt:i4>5</vt:i4>
      </vt:variant>
      <vt:variant>
        <vt:lpwstr>https://www.british-business-bank.co.uk/ourpartners/coronavirus-business-interruption-loan-scheme-cbils-2/</vt:lpwstr>
      </vt:variant>
      <vt:variant>
        <vt:lpwstr/>
      </vt:variant>
      <vt:variant>
        <vt:i4>1441883</vt:i4>
      </vt:variant>
      <vt:variant>
        <vt:i4>3</vt:i4>
      </vt:variant>
      <vt:variant>
        <vt:i4>0</vt:i4>
      </vt:variant>
      <vt:variant>
        <vt:i4>5</vt:i4>
      </vt:variant>
      <vt:variant>
        <vt:lpwstr>https://www.british-business-bank.co.uk/ourpartners/coronavirus-business-interruption-loan-schemes/bounce-back-loans/</vt:lpwstr>
      </vt:variant>
      <vt:variant>
        <vt:lpwstr/>
      </vt:variant>
      <vt:variant>
        <vt:i4>2883683</vt:i4>
      </vt:variant>
      <vt:variant>
        <vt:i4>18</vt:i4>
      </vt:variant>
      <vt:variant>
        <vt:i4>0</vt:i4>
      </vt:variant>
      <vt:variant>
        <vt:i4>5</vt:i4>
      </vt:variant>
      <vt:variant>
        <vt:lpwstr>http://british-business-bank.co.uk/</vt:lpwstr>
      </vt:variant>
      <vt:variant>
        <vt:lpwstr/>
      </vt:variant>
      <vt:variant>
        <vt:i4>2883683</vt:i4>
      </vt:variant>
      <vt:variant>
        <vt:i4>12</vt:i4>
      </vt:variant>
      <vt:variant>
        <vt:i4>0</vt:i4>
      </vt:variant>
      <vt:variant>
        <vt:i4>5</vt:i4>
      </vt:variant>
      <vt:variant>
        <vt:lpwstr>http://british-business-bank.co.uk/</vt:lpwstr>
      </vt:variant>
      <vt:variant>
        <vt:lpwstr/>
      </vt:variant>
      <vt:variant>
        <vt:i4>2883683</vt:i4>
      </vt:variant>
      <vt:variant>
        <vt:i4>6</vt:i4>
      </vt:variant>
      <vt:variant>
        <vt:i4>0</vt:i4>
      </vt:variant>
      <vt:variant>
        <vt:i4>5</vt:i4>
      </vt:variant>
      <vt:variant>
        <vt:lpwstr>http://british-business-bank.co.uk/</vt:lpwstr>
      </vt:variant>
      <vt:variant>
        <vt:lpwstr/>
      </vt:variant>
      <vt:variant>
        <vt:i4>2883683</vt:i4>
      </vt:variant>
      <vt:variant>
        <vt:i4>0</vt:i4>
      </vt:variant>
      <vt:variant>
        <vt:i4>0</vt:i4>
      </vt:variant>
      <vt:variant>
        <vt:i4>5</vt:i4>
      </vt:variant>
      <vt:variant>
        <vt:lpwstr>http://british-business-bank.co.uk/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title of document</dc:title>
  <dc:subject/>
  <dc:creator>Jo Harwood</dc:creator>
  <cp:keywords/>
  <dc:description/>
  <cp:lastModifiedBy>Naren Mistry</cp:lastModifiedBy>
  <cp:revision>2</cp:revision>
  <dcterms:created xsi:type="dcterms:W3CDTF">2023-11-27T09:57:00Z</dcterms:created>
  <dcterms:modified xsi:type="dcterms:W3CDTF">2023-11-27T09:57:00Z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0x010100480CB59BB45EF54FBF22AC331A671B29008070173E8F773E4AA123B5499EE12898</vt:lpwstr>
  </property>
  <property fmtid="{D5CDD505-2E9C-101B-9397-08002B2CF9AE}" pid="3" name="SharedWithUsers">
    <vt:lpwstr>18;#Matt Adey;#12;#Naren Mistry;#43;#Jacob Somes;#32;#Richard Bowen;#27;#Wyndham North;#36;#Phoebe Phillips;#33;#Karen Howard;#35;#Luke Aylward;#34;#Richard Bearman;#39;#Reinald de Monchy;#38;#April Li;#40;#Katy Shrimplin;#44;#Michael Strevens;#45;#Sean Hutchinson</vt:lpwstr>
  </property>
  <property fmtid="{D5CDD505-2E9C-101B-9397-08002B2CF9AE}" pid="4" name="Business Unit">
    <vt:lpwstr>1;#BEIS:Science Innovation and Growth:Business Growth - SIG|ed7cbae0-e1d8-4ebe-a479-13f4258b6697</vt:lpwstr>
  </property>
  <property fmtid="{D5CDD505-2E9C-101B-9397-08002B2CF9AE}" pid="5" name="_dlc_DocIdItemGuid">
    <vt:lpwstr>9f718f47-4bf3-4d59-9e9f-61e169bda9d4</vt:lpwstr>
  </property>
  <property fmtid="{D5CDD505-2E9C-101B-9397-08002B2CF9AE}" pid="6" name="MediaServiceImageTags">
    <vt:lpwstr/>
  </property>
  <property fmtid="{D5CDD505-2E9C-101B-9397-08002B2CF9AE}" pid="7" name="MSIP_Label_ba62f585-b40f-4ab9-bafe-39150f03d124_Enabled">
    <vt:lpwstr>true</vt:lpwstr>
  </property>
  <property fmtid="{D5CDD505-2E9C-101B-9397-08002B2CF9AE}" pid="8" name="MSIP_Label_ba62f585-b40f-4ab9-bafe-39150f03d124_SetDate">
    <vt:lpwstr>2023-09-06T12:49:07Z</vt:lpwstr>
  </property>
  <property fmtid="{D5CDD505-2E9C-101B-9397-08002B2CF9AE}" pid="9" name="MSIP_Label_ba62f585-b40f-4ab9-bafe-39150f03d124_Method">
    <vt:lpwstr>Standard</vt:lpwstr>
  </property>
  <property fmtid="{D5CDD505-2E9C-101B-9397-08002B2CF9AE}" pid="10" name="MSIP_Label_ba62f585-b40f-4ab9-bafe-39150f03d124_Name">
    <vt:lpwstr>OFFICIAL</vt:lpwstr>
  </property>
  <property fmtid="{D5CDD505-2E9C-101B-9397-08002B2CF9AE}" pid="11" name="MSIP_Label_ba62f585-b40f-4ab9-bafe-39150f03d124_SiteId">
    <vt:lpwstr>cbac7005-02c1-43eb-b497-e6492d1b2dd8</vt:lpwstr>
  </property>
  <property fmtid="{D5CDD505-2E9C-101B-9397-08002B2CF9AE}" pid="12" name="MSIP_Label_ba62f585-b40f-4ab9-bafe-39150f03d124_ActionId">
    <vt:lpwstr>2b4e6cb3-3a62-4c1b-a068-7c50e3d5ee1f</vt:lpwstr>
  </property>
  <property fmtid="{D5CDD505-2E9C-101B-9397-08002B2CF9AE}" pid="13" name="MSIP_Label_ba62f585-b40f-4ab9-bafe-39150f03d124_ContentBits">
    <vt:lpwstr>0</vt:lpwstr>
  </property>
  <property fmtid="{D5CDD505-2E9C-101B-9397-08002B2CF9AE}" pid="14" name="MSIP_Label_c1c05e37-788c-4c59-b50e-5c98323c0a70_Enabled">
    <vt:lpwstr>true</vt:lpwstr>
  </property>
  <property fmtid="{D5CDD505-2E9C-101B-9397-08002B2CF9AE}" pid="15" name="MSIP_Label_c1c05e37-788c-4c59-b50e-5c98323c0a70_SetDate">
    <vt:lpwstr>2023-11-17T10:18:22Z</vt:lpwstr>
  </property>
  <property fmtid="{D5CDD505-2E9C-101B-9397-08002B2CF9AE}" pid="16" name="MSIP_Label_c1c05e37-788c-4c59-b50e-5c98323c0a70_Method">
    <vt:lpwstr>Standard</vt:lpwstr>
  </property>
  <property fmtid="{D5CDD505-2E9C-101B-9397-08002B2CF9AE}" pid="17" name="MSIP_Label_c1c05e37-788c-4c59-b50e-5c98323c0a70_Name">
    <vt:lpwstr>OFFICIAL</vt:lpwstr>
  </property>
  <property fmtid="{D5CDD505-2E9C-101B-9397-08002B2CF9AE}" pid="18" name="MSIP_Label_c1c05e37-788c-4c59-b50e-5c98323c0a70_SiteId">
    <vt:lpwstr>8fa217ec-33aa-46fb-ad96-dfe68006bb86</vt:lpwstr>
  </property>
  <property fmtid="{D5CDD505-2E9C-101B-9397-08002B2CF9AE}" pid="19" name="MSIP_Label_c1c05e37-788c-4c59-b50e-5c98323c0a70_ActionId">
    <vt:lpwstr>3e96b797-c75a-4c72-b3ed-72ed1bf9adec</vt:lpwstr>
  </property>
  <property fmtid="{D5CDD505-2E9C-101B-9397-08002B2CF9AE}" pid="20" name="MSIP_Label_c1c05e37-788c-4c59-b50e-5c98323c0a70_ContentBits">
    <vt:lpwstr>0</vt:lpwstr>
  </property>
</Properties>
</file>